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64A01">
      <w:pPr>
        <w:pageBreakBefore w:val="0"/>
        <w:kinsoku/>
        <w:wordWrap/>
        <w:overflowPunct/>
        <w:topLinePunct w:val="0"/>
        <w:autoSpaceDE/>
        <w:autoSpaceDN/>
        <w:bidi w:val="0"/>
        <w:adjustRightInd/>
        <w:snapToGrid/>
        <w:spacing w:line="560" w:lineRule="exact"/>
        <w:ind w:left="0" w:leftChars="0"/>
        <w:rPr>
          <w:rFonts w:eastAsia="华文中宋"/>
          <w:b/>
          <w:kern w:val="0"/>
          <w:sz w:val="72"/>
          <w:szCs w:val="72"/>
        </w:rPr>
      </w:pPr>
    </w:p>
    <w:p w14:paraId="1732F7B6">
      <w:pPr>
        <w:pageBreakBefore w:val="0"/>
        <w:kinsoku/>
        <w:wordWrap/>
        <w:overflowPunct/>
        <w:topLinePunct w:val="0"/>
        <w:autoSpaceDE/>
        <w:autoSpaceDN/>
        <w:bidi w:val="0"/>
        <w:adjustRightInd/>
        <w:snapToGrid/>
        <w:spacing w:line="560" w:lineRule="exact"/>
        <w:ind w:left="0" w:leftChars="0"/>
        <w:jc w:val="center"/>
        <w:rPr>
          <w:rFonts w:eastAsia="华文中宋"/>
          <w:b/>
          <w:kern w:val="0"/>
          <w:sz w:val="52"/>
          <w:szCs w:val="52"/>
        </w:rPr>
      </w:pPr>
    </w:p>
    <w:p w14:paraId="0325CDC9">
      <w:pPr>
        <w:pageBreakBefore w:val="0"/>
        <w:kinsoku/>
        <w:wordWrap/>
        <w:overflowPunct/>
        <w:topLinePunct w:val="0"/>
        <w:autoSpaceDE/>
        <w:autoSpaceDN/>
        <w:bidi w:val="0"/>
        <w:adjustRightInd/>
        <w:snapToGrid/>
        <w:spacing w:line="560" w:lineRule="exact"/>
        <w:ind w:left="0" w:leftChars="0"/>
        <w:jc w:val="center"/>
        <w:rPr>
          <w:rFonts w:eastAsia="华文中宋"/>
          <w:b/>
          <w:kern w:val="0"/>
          <w:sz w:val="52"/>
          <w:szCs w:val="52"/>
        </w:rPr>
      </w:pPr>
    </w:p>
    <w:p w14:paraId="5AD31ECB">
      <w:pPr>
        <w:pageBreakBefore w:val="0"/>
        <w:kinsoku/>
        <w:wordWrap/>
        <w:overflowPunct/>
        <w:topLinePunct w:val="0"/>
        <w:autoSpaceDE/>
        <w:autoSpaceDN/>
        <w:bidi w:val="0"/>
        <w:adjustRightInd/>
        <w:snapToGrid/>
        <w:spacing w:line="560" w:lineRule="exact"/>
        <w:ind w:left="0" w:leftChars="0"/>
        <w:jc w:val="center"/>
        <w:rPr>
          <w:rFonts w:eastAsia="方正小标宋_GBK"/>
          <w:kern w:val="0"/>
          <w:sz w:val="48"/>
          <w:szCs w:val="48"/>
        </w:rPr>
      </w:pPr>
      <w:r>
        <w:rPr>
          <w:rFonts w:hint="eastAsia" w:eastAsia="方正小标宋_GBK"/>
          <w:kern w:val="0"/>
          <w:sz w:val="48"/>
          <w:szCs w:val="48"/>
        </w:rPr>
        <w:t>自治区工艺美术大师及食品工业企业食品安全培训</w:t>
      </w:r>
      <w:r>
        <w:rPr>
          <w:rFonts w:eastAsia="方正小标宋_GBK"/>
          <w:kern w:val="0"/>
          <w:sz w:val="48"/>
          <w:szCs w:val="48"/>
        </w:rPr>
        <w:t>资金项目支出绩效评价</w:t>
      </w:r>
    </w:p>
    <w:p w14:paraId="0CA2E70F">
      <w:pPr>
        <w:pageBreakBefore w:val="0"/>
        <w:kinsoku/>
        <w:wordWrap/>
        <w:overflowPunct/>
        <w:topLinePunct w:val="0"/>
        <w:autoSpaceDE/>
        <w:autoSpaceDN/>
        <w:bidi w:val="0"/>
        <w:adjustRightInd/>
        <w:snapToGrid/>
        <w:spacing w:line="560" w:lineRule="exact"/>
        <w:ind w:left="0" w:leftChars="0"/>
        <w:jc w:val="center"/>
        <w:rPr>
          <w:rFonts w:eastAsia="方正小标宋_GBK"/>
          <w:kern w:val="0"/>
          <w:sz w:val="48"/>
          <w:szCs w:val="48"/>
        </w:rPr>
      </w:pPr>
      <w:r>
        <w:rPr>
          <w:rFonts w:eastAsia="方正小标宋_GBK"/>
          <w:kern w:val="0"/>
          <w:sz w:val="48"/>
          <w:szCs w:val="48"/>
        </w:rPr>
        <w:t>报告</w:t>
      </w:r>
    </w:p>
    <w:p w14:paraId="6AF2523B">
      <w:pPr>
        <w:pageBreakBefore w:val="0"/>
        <w:kinsoku/>
        <w:wordWrap/>
        <w:overflowPunct/>
        <w:topLinePunct w:val="0"/>
        <w:autoSpaceDE/>
        <w:autoSpaceDN/>
        <w:bidi w:val="0"/>
        <w:adjustRightInd/>
        <w:snapToGrid/>
        <w:spacing w:line="560" w:lineRule="exact"/>
        <w:ind w:left="0" w:leftChars="0"/>
        <w:jc w:val="center"/>
        <w:rPr>
          <w:rFonts w:eastAsia="华文中宋"/>
          <w:b/>
          <w:kern w:val="0"/>
          <w:sz w:val="52"/>
          <w:szCs w:val="52"/>
        </w:rPr>
      </w:pPr>
    </w:p>
    <w:p w14:paraId="59EF38F1">
      <w:pPr>
        <w:pageBreakBefore w:val="0"/>
        <w:kinsoku/>
        <w:wordWrap/>
        <w:overflowPunct/>
        <w:topLinePunct w:val="0"/>
        <w:autoSpaceDE/>
        <w:autoSpaceDN/>
        <w:bidi w:val="0"/>
        <w:adjustRightInd/>
        <w:snapToGrid/>
        <w:spacing w:line="560" w:lineRule="exact"/>
        <w:ind w:left="0" w:leftChars="0"/>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4CCA6DEF">
      <w:pPr>
        <w:pageBreakBefore w:val="0"/>
        <w:kinsoku/>
        <w:wordWrap/>
        <w:overflowPunct/>
        <w:topLinePunct w:val="0"/>
        <w:autoSpaceDE/>
        <w:autoSpaceDN/>
        <w:bidi w:val="0"/>
        <w:adjustRightInd/>
        <w:snapToGrid/>
        <w:spacing w:line="560" w:lineRule="exact"/>
        <w:ind w:left="0" w:leftChars="0"/>
        <w:jc w:val="center"/>
        <w:rPr>
          <w:rFonts w:eastAsia="仿宋_GB2312"/>
          <w:kern w:val="0"/>
          <w:sz w:val="30"/>
          <w:szCs w:val="30"/>
        </w:rPr>
      </w:pPr>
    </w:p>
    <w:p w14:paraId="500DF4D1">
      <w:pPr>
        <w:pageBreakBefore w:val="0"/>
        <w:kinsoku/>
        <w:wordWrap/>
        <w:overflowPunct/>
        <w:topLinePunct w:val="0"/>
        <w:autoSpaceDE/>
        <w:autoSpaceDN/>
        <w:bidi w:val="0"/>
        <w:adjustRightInd/>
        <w:snapToGrid/>
        <w:spacing w:line="560" w:lineRule="exact"/>
        <w:ind w:left="0" w:leftChars="0"/>
        <w:jc w:val="center"/>
        <w:rPr>
          <w:rFonts w:eastAsia="仿宋_GB2312"/>
          <w:kern w:val="0"/>
          <w:sz w:val="30"/>
          <w:szCs w:val="30"/>
        </w:rPr>
      </w:pPr>
    </w:p>
    <w:p w14:paraId="1FE73942">
      <w:pPr>
        <w:pageBreakBefore w:val="0"/>
        <w:kinsoku/>
        <w:wordWrap/>
        <w:overflowPunct/>
        <w:topLinePunct w:val="0"/>
        <w:autoSpaceDE/>
        <w:autoSpaceDN/>
        <w:bidi w:val="0"/>
        <w:adjustRightInd/>
        <w:snapToGrid/>
        <w:spacing w:line="560" w:lineRule="exact"/>
        <w:ind w:left="0" w:leftChars="0"/>
        <w:jc w:val="center"/>
        <w:rPr>
          <w:rFonts w:eastAsia="仿宋_GB2312"/>
          <w:kern w:val="0"/>
          <w:sz w:val="30"/>
          <w:szCs w:val="30"/>
        </w:rPr>
      </w:pPr>
    </w:p>
    <w:p w14:paraId="41F37739">
      <w:pPr>
        <w:pageBreakBefore w:val="0"/>
        <w:kinsoku/>
        <w:wordWrap/>
        <w:overflowPunct/>
        <w:topLinePunct w:val="0"/>
        <w:autoSpaceDE/>
        <w:autoSpaceDN/>
        <w:bidi w:val="0"/>
        <w:adjustRightInd/>
        <w:snapToGrid/>
        <w:spacing w:line="560" w:lineRule="exact"/>
        <w:ind w:left="0" w:leftChars="0"/>
        <w:jc w:val="center"/>
        <w:rPr>
          <w:rFonts w:eastAsia="仿宋_GB2312"/>
          <w:kern w:val="0"/>
          <w:sz w:val="30"/>
          <w:szCs w:val="30"/>
        </w:rPr>
      </w:pPr>
    </w:p>
    <w:p w14:paraId="19E7BD1B">
      <w:pPr>
        <w:pageBreakBefore w:val="0"/>
        <w:kinsoku/>
        <w:wordWrap/>
        <w:overflowPunct/>
        <w:topLinePunct w:val="0"/>
        <w:autoSpaceDE/>
        <w:autoSpaceDN/>
        <w:bidi w:val="0"/>
        <w:adjustRightInd/>
        <w:snapToGrid/>
        <w:spacing w:line="560" w:lineRule="exact"/>
        <w:ind w:left="0" w:leftChars="0"/>
        <w:rPr>
          <w:rFonts w:eastAsia="仿宋_GB2312"/>
          <w:kern w:val="0"/>
          <w:sz w:val="30"/>
          <w:szCs w:val="30"/>
        </w:rPr>
      </w:pPr>
    </w:p>
    <w:p w14:paraId="275F6DA5">
      <w:pPr>
        <w:pageBreakBefore w:val="0"/>
        <w:kinsoku/>
        <w:wordWrap/>
        <w:overflowPunct/>
        <w:topLinePunct w:val="0"/>
        <w:autoSpaceDE/>
        <w:autoSpaceDN/>
        <w:bidi w:val="0"/>
        <w:adjustRightInd/>
        <w:snapToGrid/>
        <w:spacing w:line="560" w:lineRule="exact"/>
        <w:ind w:left="3236" w:leftChars="684" w:hanging="1800" w:hangingChars="5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自治区工艺美术大师及食品工业企业食品安全培训项目</w:t>
      </w:r>
    </w:p>
    <w:p w14:paraId="23A89852">
      <w:pPr>
        <w:pageBreakBefore w:val="0"/>
        <w:kinsoku/>
        <w:wordWrap/>
        <w:overflowPunct/>
        <w:topLinePunct w:val="0"/>
        <w:autoSpaceDE/>
        <w:autoSpaceDN/>
        <w:bidi w:val="0"/>
        <w:adjustRightInd/>
        <w:snapToGrid/>
        <w:spacing w:line="560" w:lineRule="exact"/>
        <w:ind w:left="0" w:leftChars="0" w:firstLine="1440" w:firstLineChars="400"/>
        <w:jc w:val="left"/>
        <w:rPr>
          <w:rFonts w:hint="default" w:eastAsia="仿宋_GB2312"/>
          <w:kern w:val="0"/>
          <w:sz w:val="36"/>
          <w:szCs w:val="36"/>
          <w:lang w:val="en-US" w:eastAsia="zh-CN"/>
        </w:rPr>
      </w:pPr>
      <w:r>
        <w:rPr>
          <w:rFonts w:eastAsia="仿宋_GB2312"/>
          <w:kern w:val="0"/>
          <w:sz w:val="36"/>
          <w:szCs w:val="36"/>
        </w:rPr>
        <w:t>实施单位（公章）：</w:t>
      </w:r>
      <w:r>
        <w:rPr>
          <w:rFonts w:hint="eastAsia" w:eastAsia="仿宋_GB2312"/>
          <w:kern w:val="0"/>
          <w:sz w:val="36"/>
          <w:szCs w:val="36"/>
          <w:lang w:val="en-US" w:eastAsia="zh-CN"/>
        </w:rPr>
        <w:t>轻工业行业管理处</w:t>
      </w:r>
    </w:p>
    <w:p w14:paraId="1DFEBE0A">
      <w:pPr>
        <w:pageBreakBefore w:val="0"/>
        <w:kinsoku/>
        <w:wordWrap/>
        <w:overflowPunct/>
        <w:topLinePunct w:val="0"/>
        <w:autoSpaceDE/>
        <w:autoSpaceDN/>
        <w:bidi w:val="0"/>
        <w:adjustRightInd/>
        <w:snapToGrid/>
        <w:spacing w:line="560" w:lineRule="exact"/>
        <w:ind w:left="0" w:leftChars="0"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lang w:val="en-US" w:eastAsia="zh-CN"/>
        </w:rPr>
        <w:t>自治区工业和信息化厅</w:t>
      </w:r>
    </w:p>
    <w:p w14:paraId="3948586C">
      <w:pPr>
        <w:pageBreakBefore w:val="0"/>
        <w:kinsoku/>
        <w:wordWrap/>
        <w:overflowPunct/>
        <w:topLinePunct w:val="0"/>
        <w:autoSpaceDE/>
        <w:autoSpaceDN/>
        <w:bidi w:val="0"/>
        <w:adjustRightInd/>
        <w:snapToGrid/>
        <w:spacing w:line="560" w:lineRule="exact"/>
        <w:ind w:left="0" w:leftChars="0"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val="en-US" w:eastAsia="zh-CN"/>
        </w:rPr>
        <w:t>张百武</w:t>
      </w:r>
    </w:p>
    <w:p w14:paraId="76D24D7A">
      <w:pPr>
        <w:pageBreakBefore w:val="0"/>
        <w:kinsoku/>
        <w:wordWrap/>
        <w:overflowPunct/>
        <w:topLinePunct w:val="0"/>
        <w:autoSpaceDE/>
        <w:autoSpaceDN/>
        <w:bidi w:val="0"/>
        <w:adjustRightInd/>
        <w:snapToGrid/>
        <w:spacing w:line="560" w:lineRule="exact"/>
        <w:ind w:left="0" w:leftChars="0"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4</w:t>
      </w:r>
      <w:r>
        <w:rPr>
          <w:rFonts w:eastAsia="仿宋_GB2312"/>
          <w:kern w:val="0"/>
          <w:sz w:val="36"/>
          <w:szCs w:val="36"/>
        </w:rPr>
        <w:t>月</w:t>
      </w:r>
      <w:r>
        <w:rPr>
          <w:rFonts w:hint="eastAsia" w:eastAsia="仿宋_GB2312"/>
          <w:kern w:val="0"/>
          <w:sz w:val="36"/>
          <w:szCs w:val="36"/>
          <w:lang w:val="en-US" w:eastAsia="zh-CN"/>
        </w:rPr>
        <w:t>10</w:t>
      </w:r>
      <w:r>
        <w:rPr>
          <w:rFonts w:eastAsia="仿宋_GB2312"/>
          <w:kern w:val="0"/>
          <w:sz w:val="36"/>
          <w:szCs w:val="36"/>
        </w:rPr>
        <w:t>日</w:t>
      </w:r>
    </w:p>
    <w:p w14:paraId="4354930E">
      <w:pPr>
        <w:pageBreakBefore w:val="0"/>
        <w:kinsoku/>
        <w:wordWrap/>
        <w:overflowPunct/>
        <w:topLinePunct w:val="0"/>
        <w:autoSpaceDE/>
        <w:autoSpaceDN/>
        <w:bidi w:val="0"/>
        <w:adjustRightInd/>
        <w:snapToGrid/>
        <w:spacing w:line="560" w:lineRule="exact"/>
        <w:ind w:left="0" w:leftChars="0"/>
        <w:jc w:val="center"/>
        <w:rPr>
          <w:rFonts w:eastAsia="仿宋_GB2312"/>
          <w:kern w:val="0"/>
          <w:sz w:val="30"/>
          <w:szCs w:val="30"/>
        </w:rPr>
      </w:pPr>
    </w:p>
    <w:p w14:paraId="78A9A14A">
      <w:pPr>
        <w:pageBreakBefore w:val="0"/>
        <w:kinsoku/>
        <w:wordWrap/>
        <w:overflowPunct/>
        <w:topLinePunct w:val="0"/>
        <w:autoSpaceDE/>
        <w:autoSpaceDN/>
        <w:bidi w:val="0"/>
        <w:adjustRightInd/>
        <w:snapToGrid/>
        <w:spacing w:line="560" w:lineRule="exact"/>
        <w:ind w:left="0" w:leftChars="0"/>
        <w:rPr>
          <w:rStyle w:val="22"/>
          <w:rFonts w:eastAsia="黑体"/>
          <w:b w:val="0"/>
          <w:spacing w:val="-4"/>
          <w:sz w:val="32"/>
          <w:szCs w:val="32"/>
        </w:rPr>
      </w:pPr>
    </w:p>
    <w:p w14:paraId="3C155C63">
      <w:pPr>
        <w:pageBreakBefore w:val="0"/>
        <w:kinsoku/>
        <w:wordWrap/>
        <w:overflowPunct/>
        <w:topLinePunct w:val="0"/>
        <w:autoSpaceDE/>
        <w:autoSpaceDN/>
        <w:bidi w:val="0"/>
        <w:adjustRightInd/>
        <w:snapToGrid/>
        <w:spacing w:line="560" w:lineRule="exact"/>
        <w:ind w:left="0" w:leftChars="0"/>
        <w:rPr>
          <w:rFonts w:eastAsia="黑体"/>
          <w:bCs/>
          <w:sz w:val="32"/>
          <w:szCs w:val="32"/>
        </w:rPr>
        <w:sectPr>
          <w:pgSz w:w="11906" w:h="16838"/>
          <w:pgMar w:top="2098" w:right="1474" w:bottom="1984" w:left="1587" w:header="851" w:footer="992" w:gutter="0"/>
          <w:pgNumType w:fmt="numberInDash"/>
          <w:cols w:space="425" w:num="1"/>
          <w:docGrid w:type="lines" w:linePitch="312" w:charSpace="0"/>
        </w:sectPr>
      </w:pPr>
    </w:p>
    <w:p w14:paraId="7C5130C0">
      <w:pPr>
        <w:pageBreakBefore w:val="0"/>
        <w:kinsoku/>
        <w:wordWrap/>
        <w:overflowPunct/>
        <w:topLinePunct w:val="0"/>
        <w:autoSpaceDE/>
        <w:autoSpaceDN/>
        <w:bidi w:val="0"/>
        <w:adjustRightInd/>
        <w:snapToGrid/>
        <w:spacing w:line="560" w:lineRule="exact"/>
        <w:ind w:firstLine="640" w:firstLineChars="200"/>
        <w:rPr>
          <w:rFonts w:eastAsia="黑体"/>
          <w:bCs/>
          <w:sz w:val="32"/>
          <w:szCs w:val="32"/>
        </w:rPr>
      </w:pPr>
      <w:r>
        <w:rPr>
          <w:rFonts w:eastAsia="黑体"/>
          <w:bCs/>
          <w:sz w:val="32"/>
          <w:szCs w:val="32"/>
        </w:rPr>
        <w:t>一、基本情况</w:t>
      </w:r>
    </w:p>
    <w:p w14:paraId="217A9E3D">
      <w:pPr>
        <w:pageBreakBefore w:val="0"/>
        <w:kinsoku/>
        <w:wordWrap/>
        <w:overflowPunct/>
        <w:topLinePunct w:val="0"/>
        <w:autoSpaceDE/>
        <w:autoSpaceDN/>
        <w:bidi w:val="0"/>
        <w:adjustRightInd/>
        <w:snapToGrid/>
        <w:spacing w:line="560" w:lineRule="exact"/>
        <w:ind w:left="0" w:leftChars="0" w:firstLine="641"/>
        <w:rPr>
          <w:rFonts w:eastAsia="楷体_GB2312"/>
          <w:b/>
          <w:bCs/>
          <w:sz w:val="32"/>
          <w:szCs w:val="32"/>
        </w:rPr>
      </w:pPr>
      <w:r>
        <w:rPr>
          <w:rFonts w:eastAsia="楷体_GB2312"/>
          <w:b/>
          <w:bCs/>
          <w:sz w:val="32"/>
          <w:szCs w:val="32"/>
        </w:rPr>
        <w:t>（一）项目概况</w:t>
      </w:r>
    </w:p>
    <w:p w14:paraId="2654618B">
      <w:pPr>
        <w:pageBreakBefore w:val="0"/>
        <w:kinsoku/>
        <w:wordWrap/>
        <w:overflowPunct/>
        <w:topLinePunct w:val="0"/>
        <w:autoSpaceDE/>
        <w:autoSpaceDN/>
        <w:bidi w:val="0"/>
        <w:adjustRightInd/>
        <w:snapToGrid/>
        <w:spacing w:line="560" w:lineRule="exact"/>
        <w:ind w:left="0" w:leftChars="0" w:firstLine="641"/>
        <w:rPr>
          <w:rFonts w:eastAsia="仿宋_GB2312"/>
          <w:b/>
          <w:bCs/>
          <w:sz w:val="32"/>
          <w:szCs w:val="32"/>
        </w:rPr>
      </w:pPr>
      <w:r>
        <w:rPr>
          <w:rFonts w:eastAsia="仿宋_GB2312"/>
          <w:b/>
          <w:bCs/>
          <w:sz w:val="32"/>
          <w:szCs w:val="32"/>
        </w:rPr>
        <w:t>1、项目背景</w:t>
      </w:r>
    </w:p>
    <w:p w14:paraId="47797628">
      <w:pPr>
        <w:pageBreakBefore w:val="0"/>
        <w:kinsoku/>
        <w:wordWrap/>
        <w:overflowPunct/>
        <w:topLinePunct w:val="0"/>
        <w:autoSpaceDE/>
        <w:autoSpaceDN/>
        <w:bidi w:val="0"/>
        <w:adjustRightInd/>
        <w:snapToGrid/>
        <w:spacing w:line="560" w:lineRule="exact"/>
        <w:ind w:left="0" w:leftChars="0" w:firstLine="640" w:firstLineChars="200"/>
        <w:rPr>
          <w:rFonts w:hint="eastAsia" w:eastAsia="仿宋_GB2312"/>
          <w:sz w:val="32"/>
          <w:szCs w:val="32"/>
          <w:lang w:val="en-US" w:eastAsia="zh-CN"/>
        </w:rPr>
      </w:pPr>
      <w:r>
        <w:rPr>
          <w:rFonts w:hint="eastAsia" w:eastAsia="仿宋_GB2312"/>
          <w:sz w:val="32"/>
          <w:szCs w:val="32"/>
          <w:lang w:val="en-US" w:eastAsia="zh-CN"/>
        </w:rPr>
        <w:t>贯彻《传统工艺美术保护条例》《关于推动传统工艺高质</w:t>
      </w:r>
    </w:p>
    <w:p w14:paraId="031A29C2">
      <w:pPr>
        <w:pageBreakBefore w:val="0"/>
        <w:kinsoku/>
        <w:wordWrap/>
        <w:overflowPunct/>
        <w:topLinePunct w:val="0"/>
        <w:autoSpaceDE/>
        <w:autoSpaceDN/>
        <w:bidi w:val="0"/>
        <w:adjustRightInd/>
        <w:snapToGrid/>
        <w:spacing w:line="560" w:lineRule="exact"/>
        <w:rPr>
          <w:rFonts w:hint="eastAsia" w:eastAsia="仿宋_GB2312"/>
          <w:sz w:val="32"/>
          <w:szCs w:val="32"/>
          <w:lang w:val="en-US" w:eastAsia="zh-CN"/>
        </w:rPr>
      </w:pPr>
      <w:r>
        <w:rPr>
          <w:rFonts w:hint="eastAsia" w:eastAsia="仿宋_GB2312"/>
          <w:sz w:val="32"/>
          <w:szCs w:val="32"/>
          <w:lang w:val="en-US" w:eastAsia="zh-CN"/>
        </w:rPr>
        <w:t>量传承发展的通知》（文旅非遗发〔2021〕72号）及《关于促进民族手工业融合创新发展的指导意见》等文件精神，贯彻落实自治区党委、政府关于食品安全工作安排部署和自治区食安委第十一次全体会议精神，助力培养更多具有创造性转化与创新性发展思维的新时代工艺美术专业技术人才，提升食品工业企业的食品安全意识和质量管理水平，推动企业诚信发展，拟组织开展自治区工艺美术大师及食品工业企业食品安全培训。</w:t>
      </w:r>
    </w:p>
    <w:p w14:paraId="58B5473D">
      <w:pPr>
        <w:pStyle w:val="2"/>
        <w:pageBreakBefore w:val="0"/>
        <w:numPr>
          <w:ilvl w:val="0"/>
          <w:numId w:val="1"/>
        </w:numPr>
        <w:kinsoku/>
        <w:wordWrap/>
        <w:overflowPunct/>
        <w:topLinePunct w:val="0"/>
        <w:autoSpaceDE/>
        <w:autoSpaceDN/>
        <w:bidi w:val="0"/>
        <w:adjustRightInd/>
        <w:snapToGrid/>
        <w:spacing w:before="0" w:after="0" w:line="560" w:lineRule="exact"/>
        <w:ind w:left="0" w:leftChars="0"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0E0A9719">
      <w:pPr>
        <w:pageBreakBefore w:val="0"/>
        <w:kinsoku/>
        <w:wordWrap/>
        <w:overflowPunct/>
        <w:topLinePunct w:val="0"/>
        <w:autoSpaceDE/>
        <w:autoSpaceDN/>
        <w:bidi w:val="0"/>
        <w:adjustRightInd/>
        <w:snapToGrid/>
        <w:spacing w:line="560" w:lineRule="exact"/>
        <w:ind w:left="0" w:leftChars="0" w:firstLine="640" w:firstLineChars="200"/>
        <w:rPr>
          <w:rFonts w:hint="eastAsia" w:eastAsia="仿宋_GB2312"/>
          <w:sz w:val="32"/>
          <w:szCs w:val="32"/>
        </w:rPr>
      </w:pPr>
      <w:r>
        <w:rPr>
          <w:rFonts w:hint="eastAsia" w:eastAsia="仿宋_GB2312"/>
          <w:sz w:val="32"/>
          <w:szCs w:val="32"/>
          <w:lang w:val="en-US" w:eastAsia="zh-CN"/>
        </w:rPr>
        <w:t>对</w:t>
      </w:r>
      <w:r>
        <w:rPr>
          <w:rFonts w:hint="eastAsia" w:eastAsia="仿宋_GB2312"/>
          <w:sz w:val="32"/>
          <w:szCs w:val="32"/>
        </w:rPr>
        <w:t>自治区工艺美术大师</w:t>
      </w:r>
      <w:r>
        <w:rPr>
          <w:rFonts w:hint="eastAsia" w:eastAsia="仿宋_GB2312"/>
          <w:sz w:val="32"/>
          <w:szCs w:val="32"/>
          <w:lang w:eastAsia="zh-CN"/>
        </w:rPr>
        <w:t>（</w:t>
      </w:r>
      <w:r>
        <w:rPr>
          <w:rFonts w:hint="eastAsia" w:eastAsia="仿宋_GB2312"/>
          <w:sz w:val="32"/>
          <w:szCs w:val="32"/>
          <w:lang w:val="en-US" w:eastAsia="zh-CN"/>
        </w:rPr>
        <w:tab/>
      </w:r>
      <w:r>
        <w:rPr>
          <w:rFonts w:hint="eastAsia" w:eastAsia="仿宋_GB2312"/>
          <w:sz w:val="32"/>
          <w:szCs w:val="32"/>
          <w:lang w:val="en-US" w:eastAsia="zh-CN"/>
        </w:rPr>
        <w:t>100人）开展工艺美术</w:t>
      </w:r>
      <w:r>
        <w:rPr>
          <w:rFonts w:hint="eastAsia" w:eastAsia="仿宋_GB2312"/>
          <w:sz w:val="32"/>
          <w:szCs w:val="32"/>
        </w:rPr>
        <w:t xml:space="preserve">培训；                                                                                  </w:t>
      </w:r>
      <w:r>
        <w:rPr>
          <w:rFonts w:hint="eastAsia" w:eastAsia="仿宋_GB2312"/>
          <w:sz w:val="32"/>
          <w:szCs w:val="32"/>
          <w:lang w:val="en-US" w:eastAsia="zh-CN"/>
        </w:rPr>
        <w:t>对</w:t>
      </w:r>
      <w:r>
        <w:rPr>
          <w:rFonts w:hint="eastAsia" w:eastAsia="仿宋_GB2312"/>
          <w:sz w:val="32"/>
          <w:szCs w:val="32"/>
        </w:rPr>
        <w:t>自治区食品工业企业</w:t>
      </w:r>
      <w:r>
        <w:rPr>
          <w:rFonts w:hint="eastAsia" w:eastAsia="仿宋_GB2312"/>
          <w:sz w:val="32"/>
          <w:szCs w:val="32"/>
          <w:lang w:eastAsia="zh-CN"/>
        </w:rPr>
        <w:t>（</w:t>
      </w:r>
      <w:r>
        <w:rPr>
          <w:rFonts w:hint="eastAsia" w:eastAsia="仿宋_GB2312"/>
          <w:sz w:val="32"/>
          <w:szCs w:val="32"/>
          <w:lang w:val="en-US" w:eastAsia="zh-CN"/>
        </w:rPr>
        <w:t>109人）开展</w:t>
      </w:r>
      <w:r>
        <w:rPr>
          <w:rFonts w:hint="eastAsia" w:eastAsia="仿宋_GB2312"/>
          <w:sz w:val="32"/>
          <w:szCs w:val="32"/>
        </w:rPr>
        <w:t>食品安全培训。</w:t>
      </w:r>
    </w:p>
    <w:p w14:paraId="51AD9BAC">
      <w:pPr>
        <w:pageBreakBefore w:val="0"/>
        <w:kinsoku/>
        <w:wordWrap/>
        <w:overflowPunct/>
        <w:topLinePunct w:val="0"/>
        <w:autoSpaceDE/>
        <w:autoSpaceDN/>
        <w:bidi w:val="0"/>
        <w:adjustRightInd/>
        <w:snapToGrid/>
        <w:spacing w:line="560" w:lineRule="exact"/>
        <w:ind w:left="0" w:leftChars="0"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134199AC">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本项目总投资</w:t>
      </w:r>
      <w:r>
        <w:rPr>
          <w:rFonts w:hint="eastAsia" w:eastAsia="仿宋_GB2312"/>
          <w:sz w:val="32"/>
          <w:szCs w:val="32"/>
          <w:lang w:val="en-US" w:eastAsia="zh-CN"/>
        </w:rPr>
        <w:t>55</w:t>
      </w:r>
      <w:r>
        <w:rPr>
          <w:rFonts w:eastAsia="仿宋_GB2312"/>
          <w:sz w:val="32"/>
          <w:szCs w:val="32"/>
        </w:rPr>
        <w:t>万元，其中：财政本级资金</w:t>
      </w:r>
      <w:r>
        <w:rPr>
          <w:rFonts w:hint="eastAsia" w:eastAsia="仿宋_GB2312"/>
          <w:sz w:val="32"/>
          <w:szCs w:val="32"/>
          <w:lang w:val="en-US" w:eastAsia="zh-CN"/>
        </w:rPr>
        <w:t>0</w:t>
      </w:r>
      <w:r>
        <w:rPr>
          <w:rFonts w:eastAsia="仿宋_GB2312"/>
          <w:sz w:val="32"/>
          <w:szCs w:val="32"/>
        </w:rPr>
        <w:t>万元。项目实际支出</w:t>
      </w:r>
      <w:r>
        <w:rPr>
          <w:rFonts w:hint="eastAsia" w:eastAsia="仿宋_GB2312"/>
          <w:sz w:val="32"/>
          <w:szCs w:val="32"/>
          <w:lang w:val="en-US" w:eastAsia="zh-CN"/>
        </w:rPr>
        <w:t>55</w:t>
      </w:r>
      <w:r>
        <w:rPr>
          <w:rFonts w:eastAsia="仿宋_GB2312"/>
          <w:sz w:val="32"/>
          <w:szCs w:val="32"/>
        </w:rPr>
        <w:t>万元，支出率为100%。</w:t>
      </w:r>
    </w:p>
    <w:p w14:paraId="28363BC6">
      <w:pPr>
        <w:pageBreakBefore w:val="0"/>
        <w:kinsoku/>
        <w:wordWrap/>
        <w:overflowPunct/>
        <w:topLinePunct w:val="0"/>
        <w:autoSpaceDE/>
        <w:autoSpaceDN/>
        <w:bidi w:val="0"/>
        <w:adjustRightInd/>
        <w:snapToGrid/>
        <w:spacing w:line="560" w:lineRule="exact"/>
        <w:ind w:left="0" w:leftChars="0" w:firstLine="643" w:firstLineChars="200"/>
        <w:rPr>
          <w:rFonts w:eastAsia="仿宋_GB2312"/>
          <w:b/>
          <w:bCs/>
          <w:sz w:val="32"/>
          <w:szCs w:val="32"/>
        </w:rPr>
      </w:pPr>
      <w:r>
        <w:rPr>
          <w:rFonts w:eastAsia="仿宋_GB2312"/>
          <w:b/>
          <w:bCs/>
          <w:sz w:val="32"/>
          <w:szCs w:val="32"/>
        </w:rPr>
        <w:t>3、资金投入和使用情况</w:t>
      </w:r>
    </w:p>
    <w:p w14:paraId="4E052809">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20"/>
          <w:szCs w:val="20"/>
        </w:rPr>
      </w:pPr>
      <w:r>
        <w:rPr>
          <w:rFonts w:eastAsia="仿宋_GB2312"/>
          <w:sz w:val="32"/>
          <w:szCs w:val="32"/>
        </w:rPr>
        <w:t>（1）资金安排</w:t>
      </w:r>
    </w:p>
    <w:p w14:paraId="572A8904">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项目总投资</w:t>
      </w:r>
      <w:r>
        <w:rPr>
          <w:rFonts w:hint="eastAsia" w:eastAsia="仿宋_GB2312"/>
          <w:sz w:val="32"/>
          <w:szCs w:val="32"/>
          <w:lang w:val="en-US" w:eastAsia="zh-CN"/>
        </w:rPr>
        <w:t>55</w:t>
      </w:r>
      <w:r>
        <w:rPr>
          <w:rFonts w:eastAsia="仿宋_GB2312"/>
          <w:sz w:val="32"/>
          <w:szCs w:val="32"/>
        </w:rPr>
        <w:t>万元，按照单位财务制度等相关规定，做到了专款专用。</w:t>
      </w:r>
    </w:p>
    <w:p w14:paraId="0855F4A7">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（2）预算资金来源及使用情况</w:t>
      </w:r>
      <w:bookmarkStart w:id="0" w:name="page10"/>
      <w:bookmarkEnd w:id="0"/>
    </w:p>
    <w:p w14:paraId="20941EC1">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rPr>
        <w:t>[39]其他收入资金</w:t>
      </w:r>
      <w:r>
        <w:rPr>
          <w:rFonts w:ascii="Times New Roman" w:hAnsi="Times New Roman" w:eastAsia="仿宋_GB2312"/>
          <w:b w:val="0"/>
          <w:bCs w:val="0"/>
          <w:kern w:val="2"/>
        </w:rPr>
        <w:t>，项目资金到位</w:t>
      </w:r>
      <w:r>
        <w:rPr>
          <w:rFonts w:hint="eastAsia" w:ascii="Times New Roman" w:hAnsi="Times New Roman" w:eastAsia="仿宋_GB2312"/>
          <w:b w:val="0"/>
          <w:bCs w:val="0"/>
          <w:kern w:val="2"/>
          <w:lang w:val="en-US" w:eastAsia="zh-CN"/>
        </w:rPr>
        <w:t>55</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w:t>
      </w:r>
      <w:r>
        <w:rPr>
          <w:rFonts w:hint="eastAsia" w:ascii="Times New Roman" w:hAnsi="Times New Roman" w:eastAsia="仿宋_GB2312"/>
          <w:b w:val="0"/>
          <w:bCs w:val="0"/>
          <w:kern w:val="2"/>
          <w:lang w:val="en-US" w:eastAsia="zh-CN"/>
        </w:rPr>
        <w:t>55</w:t>
      </w:r>
      <w:r>
        <w:rPr>
          <w:rFonts w:hint="eastAsia" w:ascii="Times New Roman" w:hAnsi="Times New Roman" w:eastAsia="仿宋_GB2312"/>
          <w:b w:val="0"/>
          <w:bCs w:val="0"/>
          <w:kern w:val="2"/>
        </w:rPr>
        <w:t>万元，预算执行率为</w:t>
      </w:r>
      <w:r>
        <w:rPr>
          <w:rFonts w:hint="eastAsia" w:ascii="Times New Roman" w:hAnsi="Times New Roman" w:eastAsia="仿宋_GB2312"/>
          <w:b w:val="0"/>
          <w:bCs w:val="0"/>
          <w:kern w:val="2"/>
          <w:lang w:val="en-US" w:eastAsia="zh-CN"/>
        </w:rPr>
        <w:t>100</w:t>
      </w:r>
      <w:r>
        <w:rPr>
          <w:rFonts w:ascii="Times New Roman" w:hAnsi="Times New Roman" w:eastAsia="仿宋_GB2312"/>
          <w:b w:val="0"/>
          <w:bCs w:val="0"/>
          <w:kern w:val="2"/>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14:paraId="300A20D1">
      <w:pPr>
        <w:pageBreakBefore w:val="0"/>
        <w:kinsoku/>
        <w:wordWrap/>
        <w:overflowPunct/>
        <w:topLinePunct w:val="0"/>
        <w:autoSpaceDE/>
        <w:autoSpaceDN/>
        <w:bidi w:val="0"/>
        <w:adjustRightInd/>
        <w:snapToGrid/>
        <w:spacing w:line="560" w:lineRule="exact"/>
        <w:ind w:left="0" w:leftChars="0" w:firstLine="643" w:firstLineChars="200"/>
        <w:rPr>
          <w:rFonts w:eastAsia="楷体_GB2312"/>
          <w:b/>
          <w:bCs/>
          <w:sz w:val="32"/>
          <w:szCs w:val="32"/>
        </w:rPr>
      </w:pPr>
      <w:r>
        <w:rPr>
          <w:rFonts w:eastAsia="楷体_GB2312"/>
          <w:b/>
          <w:bCs/>
          <w:sz w:val="32"/>
          <w:szCs w:val="32"/>
        </w:rPr>
        <w:t>（二）项目绩效目标</w:t>
      </w:r>
    </w:p>
    <w:p w14:paraId="4A9BA828">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1、总体目标</w:t>
      </w:r>
    </w:p>
    <w:p w14:paraId="138909BB">
      <w:pPr>
        <w:pageBreakBefore w:val="0"/>
        <w:kinsoku/>
        <w:wordWrap/>
        <w:overflowPunct/>
        <w:topLinePunct w:val="0"/>
        <w:autoSpaceDE/>
        <w:autoSpaceDN/>
        <w:bidi w:val="0"/>
        <w:adjustRightInd/>
        <w:snapToGrid/>
        <w:spacing w:line="560" w:lineRule="exact"/>
        <w:ind w:left="0" w:leftChars="0" w:firstLine="640" w:firstLineChars="200"/>
      </w:pPr>
      <w:r>
        <w:rPr>
          <w:rFonts w:hint="eastAsia" w:eastAsia="仿宋_GB2312"/>
          <w:sz w:val="32"/>
          <w:szCs w:val="32"/>
        </w:rPr>
        <w:t>一</w:t>
      </w:r>
      <w:r>
        <w:rPr>
          <w:rFonts w:hint="eastAsia" w:eastAsia="仿宋_GB2312"/>
          <w:sz w:val="32"/>
          <w:szCs w:val="32"/>
          <w:lang w:val="en-US" w:eastAsia="zh-CN"/>
        </w:rPr>
        <w:t>是</w:t>
      </w:r>
      <w:r>
        <w:rPr>
          <w:rFonts w:hint="eastAsia" w:eastAsia="仿宋_GB2312"/>
          <w:sz w:val="32"/>
          <w:szCs w:val="32"/>
        </w:rPr>
        <w:t>贯彻落实习近平总书记关于食品安全重要指示精神，贯彻落实自治区关于食品安全工作安排部署，贯彻落实《自治区食品安全宣传措施清单》《关于食品工业企业诚信体系建设工作指导意见》，开展年度食品工业企业食品安全培训。二</w:t>
      </w:r>
      <w:r>
        <w:rPr>
          <w:rFonts w:hint="eastAsia" w:eastAsia="仿宋_GB2312"/>
          <w:sz w:val="32"/>
          <w:szCs w:val="32"/>
          <w:lang w:val="en-US" w:eastAsia="zh-CN"/>
        </w:rPr>
        <w:t>是</w:t>
      </w:r>
      <w:r>
        <w:rPr>
          <w:rFonts w:hint="eastAsia" w:eastAsia="仿宋_GB2312"/>
          <w:sz w:val="32"/>
          <w:szCs w:val="32"/>
        </w:rPr>
        <w:t>贯彻落实习近平总书记关于加强和改进民族工作的重要思想，贯彻《传统工艺美术保护条例》，开展工艺美术大师评审、培训等活动，推动工艺美术行业繁荣和发展。</w:t>
      </w:r>
    </w:p>
    <w:p w14:paraId="296B5C11">
      <w:pPr>
        <w:pageBreakBefore w:val="0"/>
        <w:kinsoku/>
        <w:wordWrap/>
        <w:overflowPunct/>
        <w:topLinePunct w:val="0"/>
        <w:autoSpaceDE/>
        <w:autoSpaceDN/>
        <w:bidi w:val="0"/>
        <w:adjustRightInd/>
        <w:snapToGrid/>
        <w:spacing w:line="560" w:lineRule="exact"/>
        <w:ind w:left="0" w:leftChars="0" w:firstLine="640" w:firstLineChars="200"/>
      </w:pPr>
      <w:r>
        <w:rPr>
          <w:rFonts w:eastAsia="仿宋_GB2312"/>
          <w:sz w:val="32"/>
          <w:szCs w:val="32"/>
        </w:rPr>
        <w:t>2、阶段性目标</w:t>
      </w:r>
    </w:p>
    <w:p w14:paraId="69BAF4B0">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51AFF922">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14:paraId="15F59967">
      <w:pPr>
        <w:pageBreakBefore w:val="0"/>
        <w:kinsoku/>
        <w:wordWrap/>
        <w:overflowPunct/>
        <w:topLinePunct w:val="0"/>
        <w:autoSpaceDE/>
        <w:autoSpaceDN/>
        <w:bidi w:val="0"/>
        <w:adjustRightInd/>
        <w:snapToGrid/>
        <w:spacing w:line="560" w:lineRule="exact"/>
        <w:ind w:left="0" w:leftChars="0" w:firstLine="640" w:firstLineChars="200"/>
        <w:rPr>
          <w:rFonts w:eastAsia="黑体"/>
          <w:sz w:val="32"/>
          <w:szCs w:val="32"/>
        </w:rPr>
      </w:pPr>
      <w:r>
        <w:rPr>
          <w:rFonts w:eastAsia="黑体"/>
          <w:sz w:val="32"/>
          <w:szCs w:val="32"/>
        </w:rPr>
        <w:t>二、绩效评价工作开展情况</w:t>
      </w:r>
    </w:p>
    <w:p w14:paraId="3FF56609">
      <w:pPr>
        <w:pageBreakBefore w:val="0"/>
        <w:kinsoku/>
        <w:wordWrap/>
        <w:overflowPunct/>
        <w:topLinePunct w:val="0"/>
        <w:autoSpaceDE/>
        <w:autoSpaceDN/>
        <w:bidi w:val="0"/>
        <w:adjustRightInd/>
        <w:snapToGrid/>
        <w:spacing w:line="560" w:lineRule="exact"/>
        <w:ind w:left="0" w:leftChars="0" w:firstLine="643" w:firstLineChars="200"/>
        <w:rPr>
          <w:rFonts w:eastAsia="楷体_GB2312"/>
          <w:b/>
          <w:bCs/>
          <w:sz w:val="32"/>
          <w:szCs w:val="32"/>
        </w:rPr>
      </w:pPr>
      <w:r>
        <w:rPr>
          <w:rFonts w:eastAsia="楷体_GB2312"/>
          <w:b/>
          <w:bCs/>
          <w:sz w:val="32"/>
          <w:szCs w:val="32"/>
        </w:rPr>
        <w:t>（一）绩效评价目的、对象和范围</w:t>
      </w:r>
    </w:p>
    <w:p w14:paraId="763C13EB">
      <w:pPr>
        <w:pStyle w:val="2"/>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2D392B38">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AE927EC">
      <w:pPr>
        <w:pageBreakBefore w:val="0"/>
        <w:numPr>
          <w:ilvl w:val="0"/>
          <w:numId w:val="2"/>
        </w:numPr>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031C55E8">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（2）项目绩效管理财政支出运行提供及时、有效的信息。</w:t>
      </w:r>
    </w:p>
    <w:p w14:paraId="347070B4">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14:paraId="0CA36E95">
      <w:pPr>
        <w:pStyle w:val="2"/>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59AEE325">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hint="eastAsia" w:eastAsia="仿宋_GB2312"/>
          <w:sz w:val="32"/>
          <w:szCs w:val="32"/>
        </w:rPr>
        <w:t>自治区工艺美术大师及食品工业企业食品安全培训项目所包含的全部项目建设内容。</w:t>
      </w:r>
    </w:p>
    <w:p w14:paraId="63CF2142">
      <w:pPr>
        <w:pStyle w:val="2"/>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30A117D1">
      <w:pPr>
        <w:pageBreakBefore w:val="0"/>
        <w:kinsoku/>
        <w:wordWrap/>
        <w:overflowPunct/>
        <w:topLinePunct w:val="0"/>
        <w:autoSpaceDE/>
        <w:autoSpaceDN/>
        <w:bidi w:val="0"/>
        <w:adjustRightInd/>
        <w:snapToGrid/>
        <w:spacing w:line="560" w:lineRule="exact"/>
        <w:ind w:left="0" w:leftChars="0" w:firstLine="640" w:firstLineChars="200"/>
        <w:rPr>
          <w:rFonts w:hint="eastAsia" w:eastAsia="仿宋_GB2312"/>
          <w:sz w:val="32"/>
          <w:szCs w:val="32"/>
        </w:rPr>
      </w:pPr>
      <w:r>
        <w:rPr>
          <w:rFonts w:hint="eastAsia" w:eastAsia="仿宋_GB2312"/>
          <w:sz w:val="32"/>
          <w:szCs w:val="32"/>
        </w:rPr>
        <w:t>自治区工艺美术大师及食品工业企业食品安全培训项目的决策、过程、产出、效益等。</w:t>
      </w:r>
    </w:p>
    <w:p w14:paraId="67DEFE71">
      <w:pPr>
        <w:pageBreakBefore w:val="0"/>
        <w:kinsoku/>
        <w:wordWrap/>
        <w:overflowPunct/>
        <w:topLinePunct w:val="0"/>
        <w:autoSpaceDE/>
        <w:autoSpaceDN/>
        <w:bidi w:val="0"/>
        <w:adjustRightInd/>
        <w:snapToGrid/>
        <w:spacing w:line="560" w:lineRule="exact"/>
        <w:ind w:left="0" w:leftChars="0" w:firstLine="643" w:firstLineChars="200"/>
      </w:pPr>
      <w:r>
        <w:rPr>
          <w:rFonts w:eastAsia="楷体_GB2312"/>
          <w:b/>
          <w:bCs/>
          <w:sz w:val="32"/>
          <w:szCs w:val="32"/>
        </w:rPr>
        <w:t>（二）绩效评价原则、评价指标体系（详情见表1）、评价方法、评价标准。</w:t>
      </w:r>
    </w:p>
    <w:p w14:paraId="69EF62DF">
      <w:pPr>
        <w:pStyle w:val="2"/>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11120817">
      <w:pPr>
        <w:pageBreakBefore w:val="0"/>
        <w:kinsoku/>
        <w:wordWrap/>
        <w:overflowPunct/>
        <w:topLinePunct w:val="0"/>
        <w:autoSpaceDE/>
        <w:autoSpaceDN/>
        <w:bidi w:val="0"/>
        <w:adjustRightInd/>
        <w:snapToGrid/>
        <w:spacing w:line="560" w:lineRule="exact"/>
        <w:ind w:left="0" w:leftChars="0" w:firstLine="640" w:firstLineChars="200"/>
        <w:rPr>
          <w:rFonts w:eastAsia="仿宋_GB2312"/>
          <w:color w:val="000000"/>
          <w:sz w:val="32"/>
          <w:szCs w:val="32"/>
        </w:rPr>
      </w:pPr>
      <w:r>
        <w:rPr>
          <w:rFonts w:eastAsia="仿宋_GB2312"/>
          <w:color w:val="000000"/>
          <w:sz w:val="32"/>
          <w:szCs w:val="32"/>
        </w:rPr>
        <w:t>本次项目绩效评价遵循以下基本原则：</w:t>
      </w:r>
    </w:p>
    <w:p w14:paraId="01AE4B2D">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7D55584E">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563640C1">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01F9FB23">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6A97B384">
      <w:pPr>
        <w:pStyle w:val="2"/>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746DC01E">
      <w:pPr>
        <w:pageBreakBefore w:val="0"/>
        <w:kinsoku/>
        <w:wordWrap/>
        <w:overflowPunct/>
        <w:topLinePunct w:val="0"/>
        <w:autoSpaceDE/>
        <w:autoSpaceDN/>
        <w:bidi w:val="0"/>
        <w:adjustRightInd/>
        <w:snapToGrid/>
        <w:spacing w:line="560" w:lineRule="exact"/>
        <w:ind w:left="0" w:leftChars="0"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68BB7602">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3F98DEB5">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6758016">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（2）确定权重</w:t>
      </w:r>
    </w:p>
    <w:p w14:paraId="78382EBF">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确定各个指标相对于项目总体绩效的权重分值。在绩效评价指标体系中，项目决策权重为5分，项目过程权重为5分，项目产出权重为50分，项目效益权重为40分。</w:t>
      </w:r>
    </w:p>
    <w:p w14:paraId="305C7666">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6915C745">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79481C21">
      <w:pPr>
        <w:pStyle w:val="2"/>
        <w:pageBreakBefore w:val="0"/>
        <w:kinsoku/>
        <w:wordWrap/>
        <w:overflowPunct/>
        <w:topLinePunct w:val="0"/>
        <w:autoSpaceDE/>
        <w:autoSpaceDN/>
        <w:bidi w:val="0"/>
        <w:adjustRightInd/>
        <w:snapToGrid/>
        <w:spacing w:before="0" w:after="0" w:line="560" w:lineRule="exact"/>
        <w:ind w:left="0" w:leftChars="0"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4A6226A3">
      <w:pPr>
        <w:pStyle w:val="2"/>
        <w:pageBreakBefore w:val="0"/>
        <w:widowControl w:val="0"/>
        <w:kinsoku/>
        <w:wordWrap/>
        <w:overflowPunct/>
        <w:topLinePunct w:val="0"/>
        <w:autoSpaceDE/>
        <w:autoSpaceDN/>
        <w:bidi w:val="0"/>
        <w:adjustRightInd/>
        <w:snapToGrid/>
        <w:spacing w:before="0" w:after="0" w:line="560" w:lineRule="exact"/>
        <w:ind w:left="0" w:leftChars="0"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36A40A35">
      <w:pPr>
        <w:pStyle w:val="2"/>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679DC174">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234E99FA">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A273E82">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（1）比较法</w:t>
      </w:r>
    </w:p>
    <w:p w14:paraId="61348294">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6B766B55">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（2）因素分析法</w:t>
      </w:r>
    </w:p>
    <w:p w14:paraId="2A086CE1">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058C878B">
      <w:pPr>
        <w:pStyle w:val="2"/>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0EDB6ACB">
      <w:pPr>
        <w:pageBreakBefore w:val="0"/>
        <w:kinsoku/>
        <w:wordWrap/>
        <w:overflowPunct/>
        <w:topLinePunct w:val="0"/>
        <w:autoSpaceDE/>
        <w:autoSpaceDN/>
        <w:bidi w:val="0"/>
        <w:adjustRightInd/>
        <w:snapToGrid/>
        <w:spacing w:line="560" w:lineRule="exact"/>
        <w:ind w:left="0" w:leftChars="0"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14:paraId="187441BD">
      <w:pPr>
        <w:pStyle w:val="2"/>
        <w:pageBreakBefore w:val="0"/>
        <w:numPr>
          <w:ilvl w:val="0"/>
          <w:numId w:val="3"/>
        </w:numPr>
        <w:kinsoku/>
        <w:wordWrap/>
        <w:overflowPunct/>
        <w:topLinePunct w:val="0"/>
        <w:autoSpaceDE/>
        <w:autoSpaceDN/>
        <w:bidi w:val="0"/>
        <w:adjustRightInd/>
        <w:snapToGrid/>
        <w:spacing w:before="0" w:after="0" w:line="560" w:lineRule="exact"/>
        <w:ind w:left="0" w:leftChars="0"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12FB45FE">
      <w:pPr>
        <w:pageBreakBefore w:val="0"/>
        <w:numPr>
          <w:ilvl w:val="0"/>
          <w:numId w:val="4"/>
        </w:numPr>
        <w:kinsoku/>
        <w:wordWrap/>
        <w:overflowPunct/>
        <w:topLinePunct w:val="0"/>
        <w:autoSpaceDE/>
        <w:autoSpaceDN/>
        <w:bidi w:val="0"/>
        <w:adjustRightInd/>
        <w:snapToGrid/>
        <w:spacing w:line="560" w:lineRule="exact"/>
        <w:ind w:left="0" w:leftChars="0"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02F083D7">
      <w:pPr>
        <w:pageBreakBefore w:val="0"/>
        <w:numPr>
          <w:ilvl w:val="0"/>
          <w:numId w:val="4"/>
        </w:numPr>
        <w:kinsoku/>
        <w:wordWrap/>
        <w:overflowPunct/>
        <w:topLinePunct w:val="0"/>
        <w:autoSpaceDE/>
        <w:autoSpaceDN/>
        <w:bidi w:val="0"/>
        <w:adjustRightInd/>
        <w:snapToGrid/>
        <w:spacing w:line="560" w:lineRule="exact"/>
        <w:ind w:left="0" w:leftChars="0"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0702B9A1">
      <w:pPr>
        <w:pageBreakBefore w:val="0"/>
        <w:numPr>
          <w:ilvl w:val="0"/>
          <w:numId w:val="4"/>
        </w:numPr>
        <w:kinsoku/>
        <w:wordWrap/>
        <w:overflowPunct/>
        <w:topLinePunct w:val="0"/>
        <w:autoSpaceDE/>
        <w:autoSpaceDN/>
        <w:bidi w:val="0"/>
        <w:adjustRightInd/>
        <w:snapToGrid/>
        <w:spacing w:line="560" w:lineRule="exact"/>
        <w:ind w:left="0" w:leftChars="0"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584D32E9">
      <w:pPr>
        <w:pageBreakBefore w:val="0"/>
        <w:numPr>
          <w:ilvl w:val="0"/>
          <w:numId w:val="5"/>
        </w:numPr>
        <w:kinsoku/>
        <w:wordWrap/>
        <w:overflowPunct/>
        <w:topLinePunct w:val="0"/>
        <w:autoSpaceDE/>
        <w:autoSpaceDN/>
        <w:bidi w:val="0"/>
        <w:adjustRightInd/>
        <w:snapToGrid/>
        <w:spacing w:line="560" w:lineRule="exact"/>
        <w:ind w:left="0" w:leftChars="0" w:firstLine="640" w:firstLineChars="200"/>
        <w:rPr>
          <w:rFonts w:eastAsia="黑体"/>
          <w:sz w:val="32"/>
          <w:szCs w:val="32"/>
        </w:rPr>
      </w:pPr>
      <w:r>
        <w:rPr>
          <w:rFonts w:eastAsia="黑体"/>
          <w:sz w:val="32"/>
          <w:szCs w:val="32"/>
        </w:rPr>
        <w:t>综合评价情况及评价结论（附相关评分表）</w:t>
      </w:r>
    </w:p>
    <w:p w14:paraId="6BBBC631">
      <w:pPr>
        <w:pStyle w:val="2"/>
        <w:pageBreakBefore w:val="0"/>
        <w:widowControl w:val="0"/>
        <w:kinsoku/>
        <w:wordWrap/>
        <w:overflowPunct/>
        <w:topLinePunct w:val="0"/>
        <w:autoSpaceDE/>
        <w:autoSpaceDN/>
        <w:bidi w:val="0"/>
        <w:adjustRightInd/>
        <w:snapToGrid/>
        <w:spacing w:before="0" w:after="0" w:line="560" w:lineRule="exact"/>
        <w:ind w:left="0" w:leftChars="0"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Fonts w:hint="eastAsia" w:eastAsia="仿宋_GB2312"/>
          <w:b w:val="0"/>
          <w:bCs w:val="0"/>
          <w:sz w:val="32"/>
          <w:szCs w:val="32"/>
        </w:rPr>
        <w:t>自治区工艺美术大师及食品工业企业食品安全培训项目</w:t>
      </w:r>
      <w:r>
        <w:rPr>
          <w:rFonts w:ascii="Times New Roman" w:hAnsi="Times New Roman" w:eastAsia="仿宋_GB2312"/>
          <w:b w:val="0"/>
          <w:bCs w:val="0"/>
        </w:rPr>
        <w:t>进行客观评价，最终评分结果：总得</w:t>
      </w:r>
      <w:r>
        <w:rPr>
          <w:rFonts w:ascii="Times New Roman" w:hAnsi="Times New Roman" w:eastAsia="仿宋_GB2312"/>
          <w:b w:val="0"/>
          <w:bCs w:val="0"/>
          <w:highlight w:val="none"/>
        </w:rPr>
        <w:t xml:space="preserve">分为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 xml:space="preserve">分，得分为 </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bookmarkStart w:id="2" w:name="_GoBack"/>
      <w:bookmarkEnd w:id="2"/>
    </w:p>
    <w:p w14:paraId="22F9C302">
      <w:pPr>
        <w:pStyle w:val="2"/>
        <w:keepNext w:val="0"/>
        <w:keepLines w:val="0"/>
        <w:pageBreakBefore w:val="0"/>
        <w:kinsoku/>
        <w:wordWrap/>
        <w:overflowPunct/>
        <w:topLinePunct w:val="0"/>
        <w:autoSpaceDE/>
        <w:autoSpaceDN/>
        <w:bidi w:val="0"/>
        <w:adjustRightInd/>
        <w:snapToGrid/>
        <w:spacing w:before="0" w:after="0" w:line="560" w:lineRule="exact"/>
        <w:ind w:left="0" w:leftChars="0"/>
        <w:textAlignment w:val="auto"/>
        <w:rPr>
          <w:rFonts w:ascii="Times New Roman" w:hAnsi="Times New Roman" w:eastAsia="仿宋_GB2312"/>
          <w:sz w:val="30"/>
          <w:szCs w:val="30"/>
        </w:rPr>
      </w:pPr>
    </w:p>
    <w:p w14:paraId="19D0718D">
      <w:pPr>
        <w:pStyle w:val="2"/>
        <w:keepNext w:val="0"/>
        <w:keepLines w:val="0"/>
        <w:pageBreakBefore w:val="0"/>
        <w:kinsoku/>
        <w:wordWrap/>
        <w:overflowPunct/>
        <w:topLinePunct w:val="0"/>
        <w:autoSpaceDE/>
        <w:autoSpaceDN/>
        <w:bidi w:val="0"/>
        <w:adjustRightInd/>
        <w:snapToGrid/>
        <w:spacing w:before="0" w:after="0" w:line="560" w:lineRule="exact"/>
        <w:ind w:left="0" w:leftChars="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p w14:paraId="6AFCF0F6">
      <w:pPr>
        <w:keepNext w:val="0"/>
        <w:keepLines w:val="0"/>
        <w:pageBreakBefore w:val="0"/>
        <w:kinsoku/>
        <w:wordWrap/>
        <w:overflowPunct/>
        <w:topLinePunct w:val="0"/>
        <w:autoSpaceDE/>
        <w:autoSpaceDN/>
        <w:bidi w:val="0"/>
        <w:adjustRightInd/>
        <w:snapToGrid/>
        <w:spacing w:line="560" w:lineRule="exact"/>
        <w:ind w:left="0" w:leftChars="0"/>
        <w:textAlignment w:val="auto"/>
      </w:pPr>
    </w:p>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65990D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blHeader/>
        </w:trPr>
        <w:tc>
          <w:tcPr>
            <w:tcW w:w="1104" w:type="dxa"/>
            <w:shd w:val="clear" w:color="auto" w:fill="BFBFBF"/>
            <w:vAlign w:val="center"/>
          </w:tcPr>
          <w:p w14:paraId="50D61A4A">
            <w:pPr>
              <w:keepNext w:val="0"/>
              <w:keepLines w:val="0"/>
              <w:pageBreakBefore w:val="0"/>
              <w:widowControl/>
              <w:kinsoku/>
              <w:wordWrap/>
              <w:overflowPunct/>
              <w:topLinePunct w:val="0"/>
              <w:autoSpaceDE/>
              <w:autoSpaceDN/>
              <w:bidi w:val="0"/>
              <w:adjustRightInd/>
              <w:snapToGrid/>
              <w:spacing w:line="280" w:lineRule="exact"/>
              <w:ind w:left="0" w:leftChars="0"/>
              <w:textAlignment w:val="auto"/>
              <w:rPr>
                <w:b/>
                <w:bCs/>
                <w:color w:val="000000"/>
                <w:kern w:val="0"/>
                <w:sz w:val="22"/>
                <w:szCs w:val="22"/>
                <w:highlight w:val="none"/>
              </w:rPr>
            </w:pPr>
            <w:r>
              <w:rPr>
                <w:b/>
                <w:bCs/>
                <w:color w:val="000000"/>
                <w:kern w:val="0"/>
                <w:sz w:val="22"/>
                <w:szCs w:val="22"/>
                <w:highlight w:val="none"/>
              </w:rPr>
              <w:t>一级指标</w:t>
            </w:r>
          </w:p>
        </w:tc>
        <w:tc>
          <w:tcPr>
            <w:tcW w:w="990" w:type="dxa"/>
            <w:shd w:val="clear" w:color="auto" w:fill="BFBFBF"/>
            <w:vAlign w:val="center"/>
          </w:tcPr>
          <w:p w14:paraId="7D27AEAE">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b/>
                <w:bCs/>
                <w:color w:val="000000"/>
                <w:kern w:val="0"/>
                <w:sz w:val="22"/>
                <w:szCs w:val="22"/>
                <w:highlight w:val="none"/>
              </w:rPr>
            </w:pPr>
            <w:r>
              <w:rPr>
                <w:b/>
                <w:bCs/>
                <w:color w:val="000000"/>
                <w:kern w:val="0"/>
                <w:sz w:val="22"/>
                <w:szCs w:val="22"/>
                <w:highlight w:val="none"/>
              </w:rPr>
              <w:t>分值</w:t>
            </w:r>
          </w:p>
        </w:tc>
        <w:tc>
          <w:tcPr>
            <w:tcW w:w="1283" w:type="dxa"/>
            <w:shd w:val="clear" w:color="auto" w:fill="BFBFBF"/>
            <w:vAlign w:val="center"/>
          </w:tcPr>
          <w:p w14:paraId="0F6AE889">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b/>
                <w:bCs/>
                <w:color w:val="000000"/>
                <w:kern w:val="0"/>
                <w:sz w:val="22"/>
                <w:szCs w:val="22"/>
                <w:highlight w:val="none"/>
              </w:rPr>
            </w:pPr>
            <w:r>
              <w:rPr>
                <w:b/>
                <w:bCs/>
                <w:color w:val="000000"/>
                <w:kern w:val="0"/>
                <w:sz w:val="22"/>
                <w:szCs w:val="22"/>
                <w:highlight w:val="none"/>
              </w:rPr>
              <w:t>二级指标</w:t>
            </w:r>
          </w:p>
        </w:tc>
        <w:tc>
          <w:tcPr>
            <w:tcW w:w="1707" w:type="dxa"/>
            <w:shd w:val="clear" w:color="auto" w:fill="BFBFBF"/>
            <w:vAlign w:val="center"/>
          </w:tcPr>
          <w:p w14:paraId="0985AE0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b/>
                <w:bCs/>
                <w:color w:val="000000"/>
                <w:kern w:val="0"/>
                <w:sz w:val="22"/>
                <w:szCs w:val="22"/>
                <w:highlight w:val="none"/>
              </w:rPr>
            </w:pPr>
            <w:r>
              <w:rPr>
                <w:b/>
                <w:bCs/>
                <w:color w:val="000000"/>
                <w:kern w:val="0"/>
                <w:sz w:val="22"/>
                <w:szCs w:val="22"/>
                <w:highlight w:val="none"/>
              </w:rPr>
              <w:t>三级指标</w:t>
            </w:r>
          </w:p>
        </w:tc>
        <w:tc>
          <w:tcPr>
            <w:tcW w:w="727" w:type="dxa"/>
            <w:shd w:val="clear" w:color="auto" w:fill="BFBFBF"/>
            <w:vAlign w:val="center"/>
          </w:tcPr>
          <w:p w14:paraId="4C15FE5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b/>
                <w:bCs/>
                <w:color w:val="000000"/>
                <w:kern w:val="0"/>
                <w:sz w:val="22"/>
                <w:szCs w:val="22"/>
                <w:highlight w:val="none"/>
              </w:rPr>
            </w:pPr>
            <w:r>
              <w:rPr>
                <w:b/>
                <w:bCs/>
                <w:color w:val="000000"/>
                <w:kern w:val="0"/>
                <w:sz w:val="22"/>
                <w:szCs w:val="22"/>
                <w:highlight w:val="none"/>
              </w:rPr>
              <w:t>权重</w:t>
            </w:r>
          </w:p>
        </w:tc>
        <w:tc>
          <w:tcPr>
            <w:tcW w:w="1044" w:type="dxa"/>
            <w:shd w:val="clear" w:color="auto" w:fill="BFBFBF"/>
            <w:vAlign w:val="center"/>
          </w:tcPr>
          <w:p w14:paraId="51DB7B5A">
            <w:pPr>
              <w:keepNext w:val="0"/>
              <w:keepLines w:val="0"/>
              <w:pageBreakBefore w:val="0"/>
              <w:widowControl/>
              <w:tabs>
                <w:tab w:val="left" w:pos="1333"/>
                <w:tab w:val="center" w:pos="3623"/>
              </w:tabs>
              <w:kinsoku/>
              <w:wordWrap/>
              <w:overflowPunct/>
              <w:topLinePunct w:val="0"/>
              <w:autoSpaceDE/>
              <w:autoSpaceDN/>
              <w:bidi w:val="0"/>
              <w:adjustRightInd/>
              <w:snapToGrid/>
              <w:spacing w:line="280" w:lineRule="exact"/>
              <w:ind w:left="0" w:leftChars="0"/>
              <w:jc w:val="center"/>
              <w:textAlignment w:val="auto"/>
              <w:rPr>
                <w:b/>
                <w:bCs/>
                <w:color w:val="000000"/>
                <w:kern w:val="0"/>
                <w:sz w:val="22"/>
                <w:szCs w:val="22"/>
                <w:highlight w:val="none"/>
              </w:rPr>
            </w:pPr>
            <w:r>
              <w:rPr>
                <w:b/>
                <w:bCs/>
                <w:color w:val="000000"/>
                <w:kern w:val="0"/>
                <w:sz w:val="22"/>
                <w:szCs w:val="22"/>
                <w:highlight w:val="none"/>
              </w:rPr>
              <w:t>目标值</w:t>
            </w:r>
          </w:p>
        </w:tc>
        <w:tc>
          <w:tcPr>
            <w:tcW w:w="924" w:type="dxa"/>
            <w:shd w:val="clear" w:color="auto" w:fill="BFBFBF"/>
            <w:vAlign w:val="center"/>
          </w:tcPr>
          <w:p w14:paraId="15E94DA9">
            <w:pPr>
              <w:keepNext w:val="0"/>
              <w:keepLines w:val="0"/>
              <w:pageBreakBefore w:val="0"/>
              <w:widowControl/>
              <w:tabs>
                <w:tab w:val="left" w:pos="1333"/>
                <w:tab w:val="center" w:pos="3623"/>
              </w:tabs>
              <w:kinsoku/>
              <w:wordWrap/>
              <w:overflowPunct/>
              <w:topLinePunct w:val="0"/>
              <w:autoSpaceDE/>
              <w:autoSpaceDN/>
              <w:bidi w:val="0"/>
              <w:adjustRightInd/>
              <w:snapToGrid/>
              <w:spacing w:line="280" w:lineRule="exact"/>
              <w:ind w:left="0" w:leftChars="0"/>
              <w:jc w:val="center"/>
              <w:textAlignment w:val="auto"/>
              <w:rPr>
                <w:b/>
                <w:bCs/>
                <w:color w:val="000000"/>
                <w:kern w:val="0"/>
                <w:sz w:val="22"/>
                <w:szCs w:val="22"/>
                <w:highlight w:val="none"/>
              </w:rPr>
            </w:pPr>
            <w:r>
              <w:rPr>
                <w:b/>
                <w:bCs/>
                <w:color w:val="000000"/>
                <w:kern w:val="0"/>
                <w:sz w:val="22"/>
                <w:szCs w:val="22"/>
                <w:highlight w:val="none"/>
              </w:rPr>
              <w:t>业绩值</w:t>
            </w:r>
          </w:p>
        </w:tc>
        <w:tc>
          <w:tcPr>
            <w:tcW w:w="1215" w:type="dxa"/>
            <w:shd w:val="clear" w:color="auto" w:fill="BFBFBF"/>
            <w:vAlign w:val="center"/>
          </w:tcPr>
          <w:p w14:paraId="70314D01">
            <w:pPr>
              <w:keepNext w:val="0"/>
              <w:keepLines w:val="0"/>
              <w:pageBreakBefore w:val="0"/>
              <w:widowControl/>
              <w:tabs>
                <w:tab w:val="left" w:pos="1333"/>
                <w:tab w:val="center" w:pos="3623"/>
              </w:tabs>
              <w:kinsoku/>
              <w:wordWrap/>
              <w:overflowPunct/>
              <w:topLinePunct w:val="0"/>
              <w:autoSpaceDE/>
              <w:autoSpaceDN/>
              <w:bidi w:val="0"/>
              <w:adjustRightInd/>
              <w:snapToGrid/>
              <w:spacing w:line="280" w:lineRule="exact"/>
              <w:ind w:left="0" w:leftChars="0"/>
              <w:jc w:val="center"/>
              <w:textAlignment w:val="auto"/>
              <w:rPr>
                <w:b/>
                <w:bCs/>
                <w:color w:val="000000"/>
                <w:kern w:val="0"/>
                <w:sz w:val="22"/>
                <w:szCs w:val="22"/>
                <w:highlight w:val="none"/>
              </w:rPr>
            </w:pPr>
            <w:r>
              <w:rPr>
                <w:b/>
                <w:bCs/>
                <w:color w:val="000000"/>
                <w:kern w:val="0"/>
                <w:sz w:val="22"/>
                <w:szCs w:val="22"/>
                <w:highlight w:val="none"/>
              </w:rPr>
              <w:t>得分率</w:t>
            </w:r>
          </w:p>
        </w:tc>
        <w:tc>
          <w:tcPr>
            <w:tcW w:w="960" w:type="dxa"/>
            <w:shd w:val="clear" w:color="auto" w:fill="BFBFBF"/>
            <w:vAlign w:val="center"/>
          </w:tcPr>
          <w:p w14:paraId="65EEC981">
            <w:pPr>
              <w:keepNext w:val="0"/>
              <w:keepLines w:val="0"/>
              <w:pageBreakBefore w:val="0"/>
              <w:widowControl/>
              <w:tabs>
                <w:tab w:val="left" w:pos="1333"/>
                <w:tab w:val="center" w:pos="3623"/>
              </w:tabs>
              <w:kinsoku/>
              <w:wordWrap/>
              <w:overflowPunct/>
              <w:topLinePunct w:val="0"/>
              <w:autoSpaceDE/>
              <w:autoSpaceDN/>
              <w:bidi w:val="0"/>
              <w:adjustRightInd/>
              <w:snapToGrid/>
              <w:spacing w:line="280" w:lineRule="exact"/>
              <w:ind w:left="0" w:leftChars="0"/>
              <w:jc w:val="center"/>
              <w:textAlignment w:val="auto"/>
              <w:rPr>
                <w:b/>
                <w:bCs/>
                <w:color w:val="000000"/>
                <w:kern w:val="0"/>
                <w:sz w:val="22"/>
                <w:szCs w:val="22"/>
                <w:highlight w:val="none"/>
              </w:rPr>
            </w:pPr>
            <w:r>
              <w:rPr>
                <w:b/>
                <w:bCs/>
                <w:color w:val="000000"/>
                <w:kern w:val="0"/>
                <w:sz w:val="22"/>
                <w:szCs w:val="22"/>
                <w:highlight w:val="none"/>
              </w:rPr>
              <w:t>得分</w:t>
            </w:r>
          </w:p>
        </w:tc>
      </w:tr>
      <w:tr w14:paraId="2E11E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restart"/>
            <w:shd w:val="clear" w:color="auto" w:fill="FFFFFF"/>
            <w:vAlign w:val="center"/>
          </w:tcPr>
          <w:p w14:paraId="649E13A2">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决策　</w:t>
            </w:r>
          </w:p>
          <w:p w14:paraId="6C2B8EED">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　</w:t>
            </w:r>
          </w:p>
          <w:p w14:paraId="4801897E">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　</w:t>
            </w:r>
          </w:p>
          <w:p w14:paraId="161A5C0F">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14:paraId="092FCA96">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14:paraId="273C78C2">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项目立项　</w:t>
            </w:r>
          </w:p>
        </w:tc>
        <w:tc>
          <w:tcPr>
            <w:tcW w:w="1707" w:type="dxa"/>
            <w:shd w:val="clear" w:color="auto" w:fill="FFFFFF"/>
            <w:vAlign w:val="center"/>
          </w:tcPr>
          <w:p w14:paraId="4A9C8CAE">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立项依据</w:t>
            </w:r>
          </w:p>
          <w:p w14:paraId="04982D28">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充分性</w:t>
            </w:r>
          </w:p>
        </w:tc>
        <w:tc>
          <w:tcPr>
            <w:tcW w:w="727" w:type="dxa"/>
            <w:shd w:val="clear" w:color="auto" w:fill="FFFFFF"/>
            <w:vAlign w:val="center"/>
          </w:tcPr>
          <w:p w14:paraId="3B53774D">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2D38888A">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14:paraId="4F9A5FD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14:paraId="2511E716">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14:paraId="2A47A9E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5B2DC8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5D561904">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238F2181">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vMerge w:val="continue"/>
            <w:shd w:val="clear" w:color="auto" w:fill="FFFFFF"/>
            <w:vAlign w:val="center"/>
          </w:tcPr>
          <w:p w14:paraId="1611D9D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707" w:type="dxa"/>
            <w:shd w:val="clear" w:color="auto" w:fill="FFFFFF"/>
            <w:vAlign w:val="center"/>
          </w:tcPr>
          <w:p w14:paraId="56466DEE">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立项程序</w:t>
            </w:r>
          </w:p>
          <w:p w14:paraId="65CDB7B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规范性</w:t>
            </w:r>
          </w:p>
        </w:tc>
        <w:tc>
          <w:tcPr>
            <w:tcW w:w="727" w:type="dxa"/>
            <w:shd w:val="clear" w:color="auto" w:fill="FFFFFF"/>
            <w:vAlign w:val="center"/>
          </w:tcPr>
          <w:p w14:paraId="71080CF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1FFBF9A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14:paraId="28E12D84">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14:paraId="6D8A09A4">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7932F03D">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2A7DF0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7A3DA9ED">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4AF50F3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vMerge w:val="restart"/>
            <w:shd w:val="clear" w:color="auto" w:fill="FFFFFF"/>
            <w:vAlign w:val="center"/>
          </w:tcPr>
          <w:p w14:paraId="62994A0A">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绩效目标　</w:t>
            </w:r>
          </w:p>
        </w:tc>
        <w:tc>
          <w:tcPr>
            <w:tcW w:w="1707" w:type="dxa"/>
            <w:shd w:val="clear" w:color="auto" w:fill="FFFFFF"/>
            <w:vAlign w:val="center"/>
          </w:tcPr>
          <w:p w14:paraId="5B40FB5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绩效目标</w:t>
            </w:r>
          </w:p>
          <w:p w14:paraId="600BEA5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合理性</w:t>
            </w:r>
          </w:p>
        </w:tc>
        <w:tc>
          <w:tcPr>
            <w:tcW w:w="727" w:type="dxa"/>
            <w:shd w:val="clear" w:color="000000" w:fill="FFFFFF"/>
            <w:vAlign w:val="center"/>
          </w:tcPr>
          <w:p w14:paraId="2AB68100">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25070BBB">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14:paraId="1CC00EE8">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14:paraId="4903514A">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78F893C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5FE1E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7F89F83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53DAC83A">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vMerge w:val="continue"/>
            <w:shd w:val="clear" w:color="auto" w:fill="FFFFFF"/>
            <w:vAlign w:val="center"/>
          </w:tcPr>
          <w:p w14:paraId="79EF5FA4">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707" w:type="dxa"/>
            <w:shd w:val="clear" w:color="auto" w:fill="FFFFFF"/>
            <w:vAlign w:val="center"/>
          </w:tcPr>
          <w:p w14:paraId="2C0D7D1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绩效指标</w:t>
            </w:r>
          </w:p>
          <w:p w14:paraId="46D0381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明确性</w:t>
            </w:r>
          </w:p>
        </w:tc>
        <w:tc>
          <w:tcPr>
            <w:tcW w:w="727" w:type="dxa"/>
            <w:shd w:val="clear" w:color="000000" w:fill="FFFFFF"/>
            <w:vAlign w:val="center"/>
          </w:tcPr>
          <w:p w14:paraId="502AB05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3</w:t>
            </w:r>
          </w:p>
        </w:tc>
        <w:tc>
          <w:tcPr>
            <w:tcW w:w="1044" w:type="dxa"/>
            <w:shd w:val="clear" w:color="000000" w:fill="FFFFFF"/>
            <w:vAlign w:val="center"/>
          </w:tcPr>
          <w:p w14:paraId="2F22809E">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14:paraId="48516C56">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14:paraId="77A41002">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77E84C2E">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3A319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36AE8C79">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59228BFF">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vMerge w:val="restart"/>
            <w:shd w:val="clear" w:color="auto" w:fill="FFFFFF"/>
            <w:vAlign w:val="center"/>
          </w:tcPr>
          <w:p w14:paraId="105FCC3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资金投入</w:t>
            </w:r>
          </w:p>
        </w:tc>
        <w:tc>
          <w:tcPr>
            <w:tcW w:w="1707" w:type="dxa"/>
            <w:shd w:val="clear" w:color="auto" w:fill="FFFFFF"/>
            <w:vAlign w:val="center"/>
          </w:tcPr>
          <w:p w14:paraId="492C66A8">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预算编制</w:t>
            </w:r>
          </w:p>
          <w:p w14:paraId="2D672396">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科学性</w:t>
            </w:r>
          </w:p>
        </w:tc>
        <w:tc>
          <w:tcPr>
            <w:tcW w:w="727" w:type="dxa"/>
            <w:shd w:val="clear" w:color="auto" w:fill="FFFFFF"/>
            <w:vAlign w:val="center"/>
          </w:tcPr>
          <w:p w14:paraId="21AF4BC0">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14:paraId="6AC347AB">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14:paraId="3111CC3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14:paraId="371C717F">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193E472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75F7A8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4630DFA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4736A22E">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vMerge w:val="continue"/>
            <w:shd w:val="clear" w:color="auto" w:fill="FFFFFF"/>
            <w:vAlign w:val="center"/>
          </w:tcPr>
          <w:p w14:paraId="1B50B6D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707" w:type="dxa"/>
            <w:shd w:val="clear" w:color="auto" w:fill="FFFFFF"/>
            <w:vAlign w:val="center"/>
          </w:tcPr>
          <w:p w14:paraId="3052D1B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资金分配</w:t>
            </w:r>
          </w:p>
          <w:p w14:paraId="33E68882">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合理性</w:t>
            </w:r>
          </w:p>
        </w:tc>
        <w:tc>
          <w:tcPr>
            <w:tcW w:w="727" w:type="dxa"/>
            <w:shd w:val="clear" w:color="auto" w:fill="FFFFFF"/>
            <w:vAlign w:val="center"/>
          </w:tcPr>
          <w:p w14:paraId="6724D5EF">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5D04B3FA">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14:paraId="1C9A4D34">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14:paraId="0C25B956">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572B5FA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55C9C3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restart"/>
            <w:shd w:val="clear" w:color="auto" w:fill="FFFFFF"/>
            <w:vAlign w:val="center"/>
          </w:tcPr>
          <w:p w14:paraId="28F9E816">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过程</w:t>
            </w:r>
          </w:p>
          <w:p w14:paraId="56FDBD02">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14:paraId="571E083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14:paraId="27664C24">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07D8D16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资金到位率</w:t>
            </w:r>
          </w:p>
        </w:tc>
        <w:tc>
          <w:tcPr>
            <w:tcW w:w="727" w:type="dxa"/>
            <w:shd w:val="clear" w:color="000000" w:fill="FFFFFF"/>
            <w:vAlign w:val="center"/>
          </w:tcPr>
          <w:p w14:paraId="24D2409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5DB481A0">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5E69D821">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2DFC5724">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5AE7259F">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5D1E5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639EA68C">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48E34BE7">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vMerge w:val="continue"/>
            <w:shd w:val="clear" w:color="auto" w:fill="FFFFFF"/>
            <w:vAlign w:val="center"/>
          </w:tcPr>
          <w:p w14:paraId="71C5602A">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707" w:type="dxa"/>
            <w:shd w:val="clear" w:color="auto" w:fill="FFFFFF"/>
            <w:vAlign w:val="center"/>
          </w:tcPr>
          <w:p w14:paraId="266D9930">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预算执行率</w:t>
            </w:r>
          </w:p>
        </w:tc>
        <w:tc>
          <w:tcPr>
            <w:tcW w:w="727" w:type="dxa"/>
            <w:shd w:val="clear" w:color="auto" w:fill="FFFFFF"/>
            <w:vAlign w:val="center"/>
          </w:tcPr>
          <w:p w14:paraId="45E2A450">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14:paraId="648BD76D">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14:paraId="3D8721D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auto" w:fill="FFFFFF"/>
            <w:vAlign w:val="center"/>
          </w:tcPr>
          <w:p w14:paraId="41F7BB38">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75EB5E2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11A62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41869D14">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4A61E50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shd w:val="clear" w:color="auto" w:fill="FFFFFF"/>
            <w:vAlign w:val="center"/>
          </w:tcPr>
          <w:p w14:paraId="09F3DCFB">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0970BF09">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资金使用</w:t>
            </w:r>
          </w:p>
          <w:p w14:paraId="3409ECBB">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合规性</w:t>
            </w:r>
          </w:p>
        </w:tc>
        <w:tc>
          <w:tcPr>
            <w:tcW w:w="727" w:type="dxa"/>
            <w:shd w:val="clear" w:color="000000" w:fill="FFFFFF"/>
            <w:vAlign w:val="center"/>
          </w:tcPr>
          <w:p w14:paraId="7C0BE319">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4DDC013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14:paraId="29520E02">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14:paraId="163F53E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2EAF9C89">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79F16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759691DA">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2179454F">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vMerge w:val="restart"/>
            <w:shd w:val="clear" w:color="auto" w:fill="FFFFFF"/>
            <w:vAlign w:val="center"/>
          </w:tcPr>
          <w:p w14:paraId="0FCFC870">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组织实施</w:t>
            </w:r>
          </w:p>
        </w:tc>
        <w:tc>
          <w:tcPr>
            <w:tcW w:w="1707" w:type="dxa"/>
            <w:shd w:val="clear" w:color="auto" w:fill="FFFFFF"/>
            <w:vAlign w:val="center"/>
          </w:tcPr>
          <w:p w14:paraId="4E113359">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管理制度</w:t>
            </w:r>
          </w:p>
          <w:p w14:paraId="560B8BE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健全性</w:t>
            </w:r>
          </w:p>
        </w:tc>
        <w:tc>
          <w:tcPr>
            <w:tcW w:w="727" w:type="dxa"/>
            <w:shd w:val="clear" w:color="000000" w:fill="FFFFFF"/>
            <w:vAlign w:val="center"/>
          </w:tcPr>
          <w:p w14:paraId="126BD209">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557EC76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14:paraId="07E8F9C6">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14:paraId="10928A12">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7E1E644">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317433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1D9D00A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05DB5D5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vMerge w:val="continue"/>
            <w:shd w:val="clear" w:color="auto" w:fill="FFFFFF"/>
            <w:vAlign w:val="center"/>
          </w:tcPr>
          <w:p w14:paraId="2A1CE508">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707" w:type="dxa"/>
            <w:shd w:val="clear" w:color="auto" w:fill="FFFFFF"/>
            <w:vAlign w:val="center"/>
          </w:tcPr>
          <w:p w14:paraId="3F8B9D78">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制度执行</w:t>
            </w:r>
          </w:p>
          <w:p w14:paraId="13FF70AB">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有效性</w:t>
            </w:r>
          </w:p>
        </w:tc>
        <w:tc>
          <w:tcPr>
            <w:tcW w:w="727" w:type="dxa"/>
            <w:shd w:val="clear" w:color="000000" w:fill="FFFFFF"/>
            <w:vAlign w:val="center"/>
          </w:tcPr>
          <w:p w14:paraId="796D1F9B">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6B5E8F2A">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14:paraId="22C51D3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14:paraId="5C5E004B">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0D4E81EF">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5E828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restart"/>
            <w:shd w:val="clear" w:color="auto" w:fill="FFFFFF"/>
            <w:vAlign w:val="center"/>
          </w:tcPr>
          <w:p w14:paraId="592BB23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产出</w:t>
            </w:r>
          </w:p>
        </w:tc>
        <w:tc>
          <w:tcPr>
            <w:tcW w:w="990" w:type="dxa"/>
            <w:vMerge w:val="restart"/>
            <w:shd w:val="clear" w:color="auto" w:fill="FFFFFF"/>
            <w:vAlign w:val="center"/>
          </w:tcPr>
          <w:p w14:paraId="57B04866">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kern w:val="0"/>
                <w:sz w:val="22"/>
                <w:szCs w:val="22"/>
                <w:highlight w:val="none"/>
              </w:rPr>
              <w:t>40</w:t>
            </w:r>
            <w:r>
              <w:rPr>
                <w:kern w:val="0"/>
                <w:sz w:val="22"/>
                <w:szCs w:val="22"/>
                <w:highlight w:val="none"/>
              </w:rPr>
              <w:t>分</w:t>
            </w:r>
          </w:p>
        </w:tc>
        <w:tc>
          <w:tcPr>
            <w:tcW w:w="1283" w:type="dxa"/>
            <w:shd w:val="clear" w:color="auto" w:fill="FFFFFF"/>
            <w:vAlign w:val="center"/>
          </w:tcPr>
          <w:p w14:paraId="7D0627B9">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产出数量</w:t>
            </w:r>
          </w:p>
        </w:tc>
        <w:tc>
          <w:tcPr>
            <w:tcW w:w="1707" w:type="dxa"/>
            <w:shd w:val="clear" w:color="auto" w:fill="FFFFFF"/>
            <w:vAlign w:val="center"/>
          </w:tcPr>
          <w:p w14:paraId="190A2A59">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实际完成率</w:t>
            </w:r>
          </w:p>
        </w:tc>
        <w:tc>
          <w:tcPr>
            <w:tcW w:w="727" w:type="dxa"/>
            <w:shd w:val="clear" w:color="000000" w:fill="FFFFFF"/>
            <w:vAlign w:val="center"/>
          </w:tcPr>
          <w:p w14:paraId="2A3B24B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27D36A8D">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4707A3E0">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6D0CA732">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2199F04">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479F9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49A2F514">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066B8A9F">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shd w:val="clear" w:color="auto" w:fill="FFFFFF"/>
            <w:vAlign w:val="center"/>
          </w:tcPr>
          <w:p w14:paraId="773ED4EF">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产出质量</w:t>
            </w:r>
          </w:p>
        </w:tc>
        <w:tc>
          <w:tcPr>
            <w:tcW w:w="1707" w:type="dxa"/>
            <w:shd w:val="clear" w:color="auto" w:fill="FFFFFF"/>
            <w:vAlign w:val="center"/>
          </w:tcPr>
          <w:p w14:paraId="22821DF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质量达标率</w:t>
            </w:r>
          </w:p>
        </w:tc>
        <w:tc>
          <w:tcPr>
            <w:tcW w:w="727" w:type="dxa"/>
            <w:shd w:val="clear" w:color="000000" w:fill="FFFFFF"/>
            <w:vAlign w:val="center"/>
          </w:tcPr>
          <w:p w14:paraId="0596CA39">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5FF244DD">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006DEFD6">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0FF8873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0573314B">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490C1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7B05BFAB">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2336D09F">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shd w:val="clear" w:color="auto" w:fill="FFFFFF"/>
            <w:vAlign w:val="center"/>
          </w:tcPr>
          <w:p w14:paraId="2356901A">
            <w:pPr>
              <w:keepNext w:val="0"/>
              <w:keepLines w:val="0"/>
              <w:pageBreakBefore w:val="0"/>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产出时效</w:t>
            </w:r>
          </w:p>
        </w:tc>
        <w:tc>
          <w:tcPr>
            <w:tcW w:w="1707" w:type="dxa"/>
            <w:shd w:val="clear" w:color="auto" w:fill="FFFFFF"/>
            <w:vAlign w:val="center"/>
          </w:tcPr>
          <w:p w14:paraId="1006D0B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完成及时性</w:t>
            </w:r>
          </w:p>
        </w:tc>
        <w:tc>
          <w:tcPr>
            <w:tcW w:w="727" w:type="dxa"/>
            <w:shd w:val="clear" w:color="000000" w:fill="FFFFFF"/>
            <w:vAlign w:val="center"/>
          </w:tcPr>
          <w:p w14:paraId="36723980">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610A507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14:paraId="4A053DCD">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14:paraId="57C8D881">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6D189DCE">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7FCDA5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51CFBBD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61FC11CA">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shd w:val="clear" w:color="auto" w:fill="FFFFFF"/>
            <w:vAlign w:val="center"/>
          </w:tcPr>
          <w:p w14:paraId="2F0E523E">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产出成本</w:t>
            </w:r>
          </w:p>
        </w:tc>
        <w:tc>
          <w:tcPr>
            <w:tcW w:w="1707" w:type="dxa"/>
            <w:shd w:val="clear" w:color="auto" w:fill="FFFFFF"/>
            <w:vAlign w:val="center"/>
          </w:tcPr>
          <w:p w14:paraId="313B50A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成本节约率</w:t>
            </w:r>
          </w:p>
        </w:tc>
        <w:tc>
          <w:tcPr>
            <w:tcW w:w="727" w:type="dxa"/>
            <w:shd w:val="clear" w:color="000000" w:fill="FFFFFF"/>
            <w:vAlign w:val="center"/>
          </w:tcPr>
          <w:p w14:paraId="2579E199">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14978838">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44A418C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18588578">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2808CE9B">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46D2E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restart"/>
            <w:shd w:val="clear" w:color="auto" w:fill="FFFFFF"/>
            <w:vAlign w:val="center"/>
          </w:tcPr>
          <w:p w14:paraId="6757C3C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效益　</w:t>
            </w:r>
          </w:p>
        </w:tc>
        <w:tc>
          <w:tcPr>
            <w:tcW w:w="990" w:type="dxa"/>
            <w:vMerge w:val="restart"/>
            <w:shd w:val="clear" w:color="auto" w:fill="FFFFFF"/>
            <w:vAlign w:val="center"/>
          </w:tcPr>
          <w:p w14:paraId="7BCB2726">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20</w:t>
            </w:r>
            <w:r>
              <w:rPr>
                <w:color w:val="000000"/>
                <w:kern w:val="0"/>
                <w:sz w:val="22"/>
                <w:szCs w:val="22"/>
                <w:highlight w:val="none"/>
              </w:rPr>
              <w:t>分</w:t>
            </w:r>
          </w:p>
        </w:tc>
        <w:tc>
          <w:tcPr>
            <w:tcW w:w="1283" w:type="dxa"/>
            <w:vMerge w:val="restart"/>
            <w:shd w:val="clear" w:color="auto" w:fill="FFFFFF"/>
            <w:vAlign w:val="center"/>
          </w:tcPr>
          <w:p w14:paraId="1D255731">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项目效益　</w:t>
            </w:r>
          </w:p>
        </w:tc>
        <w:tc>
          <w:tcPr>
            <w:tcW w:w="1707" w:type="dxa"/>
            <w:shd w:val="clear" w:color="auto" w:fill="FFFFFF"/>
            <w:vAlign w:val="center"/>
          </w:tcPr>
          <w:p w14:paraId="55B6FBD6">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实施效益</w:t>
            </w:r>
          </w:p>
          <w:p w14:paraId="01D0B313">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（社会效益、经济效益、可持续效益）</w:t>
            </w:r>
          </w:p>
        </w:tc>
        <w:tc>
          <w:tcPr>
            <w:tcW w:w="727" w:type="dxa"/>
            <w:shd w:val="clear" w:color="auto" w:fill="FFFFFF"/>
            <w:vAlign w:val="center"/>
          </w:tcPr>
          <w:p w14:paraId="3D003C1C">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15</w:t>
            </w:r>
          </w:p>
        </w:tc>
        <w:tc>
          <w:tcPr>
            <w:tcW w:w="1044" w:type="dxa"/>
            <w:shd w:val="clear" w:color="auto" w:fill="FFFFFF"/>
            <w:vAlign w:val="center"/>
          </w:tcPr>
          <w:p w14:paraId="5FA5903D">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14:paraId="6DD73750">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14:paraId="54194040">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1E740921">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15</w:t>
            </w:r>
          </w:p>
        </w:tc>
      </w:tr>
      <w:tr w14:paraId="3C884E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trPr>
        <w:tc>
          <w:tcPr>
            <w:tcW w:w="1104" w:type="dxa"/>
            <w:vMerge w:val="continue"/>
            <w:shd w:val="clear" w:color="auto" w:fill="FFFFFF"/>
            <w:vAlign w:val="center"/>
          </w:tcPr>
          <w:p w14:paraId="4587A47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990" w:type="dxa"/>
            <w:vMerge w:val="continue"/>
            <w:shd w:val="clear" w:color="auto" w:fill="FFFFFF"/>
            <w:vAlign w:val="center"/>
          </w:tcPr>
          <w:p w14:paraId="2A922D64">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283" w:type="dxa"/>
            <w:vMerge w:val="continue"/>
            <w:shd w:val="clear" w:color="auto" w:fill="FFFFFF"/>
            <w:vAlign w:val="center"/>
          </w:tcPr>
          <w:p w14:paraId="22DD7D19">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p>
        </w:tc>
        <w:tc>
          <w:tcPr>
            <w:tcW w:w="1707" w:type="dxa"/>
            <w:shd w:val="clear" w:color="auto" w:fill="FFFFFF"/>
            <w:vAlign w:val="center"/>
          </w:tcPr>
          <w:p w14:paraId="687582F1">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满意度</w:t>
            </w:r>
          </w:p>
        </w:tc>
        <w:tc>
          <w:tcPr>
            <w:tcW w:w="727" w:type="dxa"/>
            <w:shd w:val="clear" w:color="000000" w:fill="FFFFFF"/>
            <w:vAlign w:val="center"/>
          </w:tcPr>
          <w:p w14:paraId="4EB294C7">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rPr>
              <w:t>5</w:t>
            </w:r>
          </w:p>
        </w:tc>
        <w:tc>
          <w:tcPr>
            <w:tcW w:w="1044" w:type="dxa"/>
            <w:shd w:val="clear" w:color="000000" w:fill="FFFFFF"/>
            <w:vAlign w:val="center"/>
          </w:tcPr>
          <w:p w14:paraId="1D8CBB5E">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95</w:t>
            </w:r>
            <w:r>
              <w:rPr>
                <w:color w:val="000000"/>
                <w:kern w:val="0"/>
                <w:sz w:val="22"/>
                <w:szCs w:val="22"/>
                <w:highlight w:val="none"/>
              </w:rPr>
              <w:t>%</w:t>
            </w:r>
          </w:p>
        </w:tc>
        <w:tc>
          <w:tcPr>
            <w:tcW w:w="924" w:type="dxa"/>
            <w:shd w:val="clear" w:color="000000" w:fill="FFFFFF"/>
            <w:vAlign w:val="center"/>
          </w:tcPr>
          <w:p w14:paraId="4F11D065">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2C22AB5D">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02201ECD">
            <w:pPr>
              <w:keepNext w:val="0"/>
              <w:keepLines w:val="0"/>
              <w:pageBreakBefore w:val="0"/>
              <w:widowControl/>
              <w:kinsoku/>
              <w:wordWrap/>
              <w:overflowPunct/>
              <w:topLinePunct w:val="0"/>
              <w:autoSpaceDE/>
              <w:autoSpaceDN/>
              <w:bidi w:val="0"/>
              <w:adjustRightInd/>
              <w:snapToGrid/>
              <w:spacing w:line="280" w:lineRule="exact"/>
              <w:ind w:left="0" w:leftChars="0"/>
              <w:jc w:val="center"/>
              <w:textAlignment w:val="auto"/>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5</w:t>
            </w:r>
          </w:p>
        </w:tc>
      </w:tr>
    </w:tbl>
    <w:p w14:paraId="33355B49">
      <w:pPr>
        <w:pageBreakBefore w:val="0"/>
        <w:kinsoku/>
        <w:wordWrap/>
        <w:overflowPunct/>
        <w:topLinePunct w:val="0"/>
        <w:autoSpaceDE/>
        <w:autoSpaceDN/>
        <w:bidi w:val="0"/>
        <w:adjustRightInd/>
        <w:snapToGrid/>
        <w:spacing w:line="560" w:lineRule="exact"/>
        <w:ind w:left="0" w:leftChars="0" w:firstLine="320" w:firstLineChars="100"/>
        <w:rPr>
          <w:rFonts w:eastAsia="黑体"/>
          <w:sz w:val="32"/>
          <w:szCs w:val="32"/>
        </w:rPr>
      </w:pPr>
      <w:r>
        <w:rPr>
          <w:rFonts w:eastAsia="黑体"/>
          <w:sz w:val="32"/>
          <w:szCs w:val="32"/>
        </w:rPr>
        <w:t>四、绩效评价指标分析</w:t>
      </w:r>
    </w:p>
    <w:p w14:paraId="042B3876">
      <w:pPr>
        <w:pStyle w:val="2"/>
        <w:pageBreakBefore w:val="0"/>
        <w:kinsoku/>
        <w:wordWrap/>
        <w:overflowPunct/>
        <w:topLinePunct w:val="0"/>
        <w:autoSpaceDE/>
        <w:autoSpaceDN/>
        <w:bidi w:val="0"/>
        <w:adjustRightInd/>
        <w:snapToGrid/>
        <w:spacing w:before="0" w:after="0" w:line="560" w:lineRule="exact"/>
        <w:ind w:left="0" w:leftChars="0" w:firstLine="321" w:firstLineChars="100"/>
        <w:jc w:val="both"/>
        <w:rPr>
          <w:rFonts w:ascii="Times New Roman" w:hAnsi="Times New Roman" w:eastAsia="楷体_GB2312"/>
        </w:rPr>
      </w:pPr>
      <w:r>
        <w:rPr>
          <w:rFonts w:ascii="Times New Roman" w:hAnsi="Times New Roman" w:eastAsia="楷体_GB2312"/>
        </w:rPr>
        <w:t>（一）项目决策情况</w:t>
      </w:r>
    </w:p>
    <w:p w14:paraId="4AC976C6">
      <w:pPr>
        <w:pageBreakBefore w:val="0"/>
        <w:kinsoku/>
        <w:wordWrap/>
        <w:overflowPunct/>
        <w:topLinePunct w:val="0"/>
        <w:autoSpaceDE/>
        <w:autoSpaceDN/>
        <w:bidi w:val="0"/>
        <w:adjustRightInd/>
        <w:snapToGrid/>
        <w:spacing w:line="560" w:lineRule="exact"/>
        <w:ind w:left="0" w:leftChars="0"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135AA401">
      <w:pPr>
        <w:pStyle w:val="2"/>
        <w:pageBreakBefore w:val="0"/>
        <w:kinsoku/>
        <w:wordWrap/>
        <w:overflowPunct/>
        <w:topLinePunct w:val="0"/>
        <w:autoSpaceDE/>
        <w:autoSpaceDN/>
        <w:bidi w:val="0"/>
        <w:adjustRightInd/>
        <w:snapToGrid/>
        <w:spacing w:before="0" w:after="0" w:line="560" w:lineRule="exact"/>
        <w:ind w:left="0" w:leftChars="0"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14:paraId="12FC055E">
      <w:pPr>
        <w:pageBreakBefore w:val="0"/>
        <w:kinsoku/>
        <w:wordWrap/>
        <w:overflowPunct/>
        <w:topLinePunct w:val="0"/>
        <w:autoSpaceDE/>
        <w:autoSpaceDN/>
        <w:bidi w:val="0"/>
        <w:adjustRightInd/>
        <w:snapToGrid/>
        <w:spacing w:line="560" w:lineRule="exact"/>
        <w:ind w:left="0" w:leftChars="0"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5C271214">
      <w:pPr>
        <w:pStyle w:val="2"/>
        <w:pageBreakBefore w:val="0"/>
        <w:kinsoku/>
        <w:wordWrap/>
        <w:overflowPunct/>
        <w:topLinePunct w:val="0"/>
        <w:autoSpaceDE/>
        <w:autoSpaceDN/>
        <w:bidi w:val="0"/>
        <w:adjustRightInd/>
        <w:snapToGrid/>
        <w:spacing w:before="0" w:after="0" w:line="560" w:lineRule="exact"/>
        <w:ind w:left="0" w:leftChars="0"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6F9E9218">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数量指标方面：</w:t>
      </w:r>
    </w:p>
    <w:p w14:paraId="789D196C">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自治区工艺美术大师培训人数指标，指标值为40人，实际完成100人，完成率250%，偏差率150%，偏差原因：2023年计划自治区工艺美术大师培训开展2期，每期48人，但实际执行时将2期培训班合并为1期举办。在项目实施过程中，企业及个人反馈参训意愿强，考虑到自治区工艺美术大师培训项目是自治区新设项目，因此在制定课程时，严格控制项目预算，缩短了培训课时，增加了参训人数。</w:t>
      </w:r>
    </w:p>
    <w:p w14:paraId="05244B37">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自治区食品工业企业食品安全培训人数指标，指标值为40人，实际完成109人，完成率272.5%，偏差率172.5%，偏差原因：2023年计划自治区食品工业企业食品安全培训开展2期，每期48人，但实际执行时将2期培训班合并为1期举办。在项目实施过程中，企业及个人反馈参训意愿强，考虑到自治区食品工业企业食品安全培训项目是自治区新设项目，因此在制定课程时，严格控制项目预算，缩短了培训课时，增加了参训人数。</w:t>
      </w:r>
    </w:p>
    <w:p w14:paraId="4B2C49F2">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质量指标方面：</w:t>
      </w:r>
    </w:p>
    <w:p w14:paraId="03C77A08">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a.自治区工艺美术大师培训人次完成率指标，指标值为95%，实际完成100%，完成率105%，偏差率5%，偏差原因是企业及个人反馈参训意愿强。</w:t>
      </w:r>
    </w:p>
    <w:p w14:paraId="3609A6AC">
      <w:pPr>
        <w:pageBreakBefore w:val="0"/>
        <w:kinsoku/>
        <w:wordWrap/>
        <w:overflowPunct/>
        <w:topLinePunct w:val="0"/>
        <w:autoSpaceDE/>
        <w:autoSpaceDN/>
        <w:bidi w:val="0"/>
        <w:adjustRightInd/>
        <w:snapToGrid/>
        <w:spacing w:line="560" w:lineRule="exact"/>
        <w:ind w:left="0" w:leftChars="0"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b.自治区食品工业企业食品安全培训人次完成率指标，指标值为95%，实际完成100%，完成率XX%，偏差率5%，偏差原因是企业及个人反馈参训意愿强。</w:t>
      </w:r>
    </w:p>
    <w:p w14:paraId="147BE001">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成本指标方面：</w:t>
      </w:r>
    </w:p>
    <w:p w14:paraId="429A6D69">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a.自治区工艺美术大师培训支出指标，指标值为30万元，实际完成30万元，完成率100%，偏差率0%。</w:t>
      </w:r>
    </w:p>
    <w:p w14:paraId="7430EA8D">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b.自治区食品工业企业食品安全培训支出指标，指标值为25万元，实际完成25万元，完成率100%，偏差率0%。</w:t>
      </w:r>
    </w:p>
    <w:p w14:paraId="1C8DA4CC">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时效指标方面：</w:t>
      </w:r>
    </w:p>
    <w:p w14:paraId="0C34E741">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a.自治区工艺美术大师培训按期完成率指标，指标值为100%，实际完成100%，完成率100%，偏差率0%。</w:t>
      </w:r>
    </w:p>
    <w:p w14:paraId="72A3A0E0">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b.自治区食品工业企业食品安全培训按时完成率指标，指标值为100%，实际完成100%，完成率100%，偏差率0%。</w:t>
      </w:r>
    </w:p>
    <w:p w14:paraId="55CA9F8A">
      <w:pPr>
        <w:pStyle w:val="2"/>
        <w:pageBreakBefore w:val="0"/>
        <w:kinsoku/>
        <w:wordWrap/>
        <w:overflowPunct/>
        <w:topLinePunct w:val="0"/>
        <w:autoSpaceDE/>
        <w:autoSpaceDN/>
        <w:bidi w:val="0"/>
        <w:adjustRightInd/>
        <w:snapToGrid/>
        <w:spacing w:before="0" w:after="0" w:line="560" w:lineRule="exact"/>
        <w:ind w:left="0" w:leftChars="0"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14:paraId="224E56F5">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社会效益指标方面：</w:t>
      </w:r>
    </w:p>
    <w:p w14:paraId="630E5D10">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a.推动全区工艺美术行业繁荣和发展指标，指标值为有效推动，实际完成有效推动，完成率100%，偏差率0%。</w:t>
      </w:r>
    </w:p>
    <w:p w14:paraId="0005EC6C">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b.推动全区食品工业健康发展指标，指标值为有效推动，实际完成有效推动，完成率100%，偏差率0%。</w:t>
      </w:r>
    </w:p>
    <w:p w14:paraId="6A01DE6B">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满意度指标方面：</w:t>
      </w:r>
    </w:p>
    <w:p w14:paraId="1EC3BCE5">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a.自治区工艺美术大师参加培训人员满意度指标，指标值为95%，实际完成100%，完成率105%，偏差率5%，偏差原因是人员满意度高。</w:t>
      </w:r>
    </w:p>
    <w:p w14:paraId="5BA83D28">
      <w:pPr>
        <w:pageBreakBefore w:val="0"/>
        <w:kinsoku/>
        <w:wordWrap/>
        <w:overflowPunct/>
        <w:topLinePunct w:val="0"/>
        <w:autoSpaceDE/>
        <w:autoSpaceDN/>
        <w:bidi w:val="0"/>
        <w:adjustRightInd/>
        <w:snapToGrid/>
        <w:spacing w:line="56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b.自治区食品工业企业食品安全培训人员满意度指标，指标值为95%，实际完成100%，完成率105%，偏差率5%，偏差原因是人员满意度高。</w:t>
      </w:r>
    </w:p>
    <w:p w14:paraId="518AD124">
      <w:pPr>
        <w:pageBreakBefore w:val="0"/>
        <w:kinsoku/>
        <w:wordWrap/>
        <w:overflowPunct/>
        <w:topLinePunct w:val="0"/>
        <w:autoSpaceDE/>
        <w:autoSpaceDN/>
        <w:bidi w:val="0"/>
        <w:adjustRightInd/>
        <w:snapToGrid/>
        <w:spacing w:line="560" w:lineRule="exact"/>
        <w:ind w:left="0" w:leftChars="0" w:firstLine="640" w:firstLineChars="200"/>
        <w:rPr>
          <w:rStyle w:val="51"/>
          <w:rFonts w:ascii="Times New Roman" w:hAnsi="Times New Roman" w:cs="Times New Roman"/>
          <w:color w:val="auto"/>
        </w:rPr>
      </w:pPr>
      <w:r>
        <w:rPr>
          <w:rFonts w:eastAsia="黑体"/>
          <w:sz w:val="32"/>
          <w:szCs w:val="32"/>
        </w:rPr>
        <w:t>五、主要经验及做法、存在的问题及原因分析</w:t>
      </w:r>
    </w:p>
    <w:p w14:paraId="2F33D785">
      <w:pPr>
        <w:pageBreakBefore w:val="0"/>
        <w:kinsoku/>
        <w:wordWrap/>
        <w:overflowPunct/>
        <w:topLinePunct w:val="0"/>
        <w:autoSpaceDE/>
        <w:autoSpaceDN/>
        <w:bidi w:val="0"/>
        <w:adjustRightInd/>
        <w:snapToGrid/>
        <w:spacing w:line="560" w:lineRule="exact"/>
        <w:ind w:left="0" w:leftChars="0" w:firstLine="627" w:firstLineChars="200"/>
        <w:rPr>
          <w:rFonts w:eastAsia="楷体"/>
          <w:b/>
          <w:spacing w:val="-4"/>
          <w:sz w:val="32"/>
          <w:szCs w:val="32"/>
        </w:rPr>
      </w:pPr>
      <w:r>
        <w:rPr>
          <w:rFonts w:eastAsia="楷体"/>
          <w:b/>
          <w:spacing w:val="-4"/>
          <w:sz w:val="32"/>
          <w:szCs w:val="32"/>
        </w:rPr>
        <w:t>（一）主要经验及做法</w:t>
      </w:r>
    </w:p>
    <w:p w14:paraId="7821296F">
      <w:pPr>
        <w:pageBreakBefore w:val="0"/>
        <w:kinsoku/>
        <w:wordWrap/>
        <w:overflowPunct/>
        <w:topLinePunct w:val="0"/>
        <w:autoSpaceDE/>
        <w:autoSpaceDN/>
        <w:bidi w:val="0"/>
        <w:adjustRightInd/>
        <w:snapToGrid/>
        <w:spacing w:line="560" w:lineRule="exact"/>
        <w:ind w:left="0" w:leftChars="0"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2FB3FCF">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92FC723">
      <w:pPr>
        <w:keepNext/>
        <w:keepLines/>
        <w:pageBreakBefore w:val="0"/>
        <w:numPr>
          <w:ilvl w:val="0"/>
          <w:numId w:val="6"/>
        </w:numPr>
        <w:kinsoku/>
        <w:wordWrap/>
        <w:overflowPunct/>
        <w:topLinePunct w:val="0"/>
        <w:autoSpaceDE/>
        <w:autoSpaceDN/>
        <w:bidi w:val="0"/>
        <w:adjustRightInd/>
        <w:snapToGrid/>
        <w:spacing w:line="560" w:lineRule="exact"/>
        <w:ind w:left="0" w:leftChars="0" w:firstLine="643" w:firstLineChars="200"/>
        <w:rPr>
          <w:rFonts w:eastAsia="楷体_GB2312"/>
          <w:b/>
          <w:bCs/>
          <w:sz w:val="32"/>
          <w:szCs w:val="32"/>
        </w:rPr>
      </w:pPr>
      <w:r>
        <w:rPr>
          <w:rFonts w:eastAsia="楷体_GB2312"/>
          <w:b/>
          <w:bCs/>
          <w:sz w:val="32"/>
          <w:szCs w:val="32"/>
        </w:rPr>
        <w:t>存在的问题及原因分析</w:t>
      </w:r>
    </w:p>
    <w:p w14:paraId="32D4F75A">
      <w:pPr>
        <w:pStyle w:val="2"/>
        <w:pageBreakBefore w:val="0"/>
        <w:kinsoku/>
        <w:wordWrap/>
        <w:overflowPunct/>
        <w:topLinePunct w:val="0"/>
        <w:autoSpaceDE/>
        <w:autoSpaceDN/>
        <w:bidi w:val="0"/>
        <w:adjustRightInd/>
        <w:snapToGrid/>
        <w:spacing w:before="0" w:after="0" w:line="560" w:lineRule="exact"/>
        <w:ind w:left="0" w:leftChars="0" w:firstLine="640" w:firstLineChars="200"/>
        <w:jc w:val="both"/>
        <w:rPr>
          <w:rFonts w:hint="eastAsia" w:ascii="Times New Roman" w:hAnsi="Times New Roman" w:eastAsia="仿宋_GB2312"/>
          <w:b w:val="0"/>
          <w:bCs w:val="0"/>
          <w:kern w:val="2"/>
          <w:lang w:eastAsia="zh-CN"/>
        </w:rPr>
      </w:pP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及</w:t>
      </w:r>
      <w:r>
        <w:rPr>
          <w:rFonts w:ascii="Times New Roman" w:hAnsi="Times New Roman" w:eastAsia="仿宋_GB2312"/>
          <w:b w:val="0"/>
          <w:bCs w:val="0"/>
          <w:kern w:val="2"/>
        </w:rPr>
        <w:t>原因分析</w:t>
      </w:r>
      <w:r>
        <w:rPr>
          <w:rFonts w:hint="eastAsia" w:ascii="Times New Roman" w:hAnsi="Times New Roman" w:eastAsia="仿宋_GB2312"/>
          <w:b w:val="0"/>
          <w:bCs w:val="0"/>
          <w:kern w:val="2"/>
        </w:rPr>
        <w:t>：</w:t>
      </w:r>
      <w:r>
        <w:rPr>
          <w:rFonts w:hint="eastAsia" w:ascii="Times New Roman" w:hAnsi="Times New Roman" w:eastAsia="仿宋_GB2312"/>
          <w:b w:val="0"/>
          <w:bCs w:val="0"/>
          <w:kern w:val="2"/>
          <w:lang w:val="en-US" w:eastAsia="zh-CN"/>
        </w:rPr>
        <w:t>无</w:t>
      </w:r>
    </w:p>
    <w:p w14:paraId="62744131">
      <w:pPr>
        <w:pageBreakBefore w:val="0"/>
        <w:numPr>
          <w:ilvl w:val="0"/>
          <w:numId w:val="7"/>
        </w:numPr>
        <w:kinsoku/>
        <w:wordWrap/>
        <w:overflowPunct/>
        <w:topLinePunct w:val="0"/>
        <w:autoSpaceDE/>
        <w:autoSpaceDN/>
        <w:bidi w:val="0"/>
        <w:adjustRightInd/>
        <w:snapToGrid/>
        <w:spacing w:line="560" w:lineRule="exact"/>
        <w:ind w:left="0" w:leftChars="0" w:firstLine="640" w:firstLineChars="200"/>
        <w:rPr>
          <w:rFonts w:eastAsia="黑体"/>
          <w:sz w:val="32"/>
          <w:szCs w:val="32"/>
        </w:rPr>
      </w:pPr>
      <w:r>
        <w:rPr>
          <w:rFonts w:eastAsia="黑体"/>
          <w:sz w:val="32"/>
          <w:szCs w:val="32"/>
        </w:rPr>
        <w:t>有关建议</w:t>
      </w:r>
    </w:p>
    <w:p w14:paraId="35C3B7F9">
      <w:pPr>
        <w:pageBreakBefore w:val="0"/>
        <w:kinsoku/>
        <w:wordWrap/>
        <w:overflowPunct/>
        <w:topLinePunct w:val="0"/>
        <w:autoSpaceDE/>
        <w:autoSpaceDN/>
        <w:bidi w:val="0"/>
        <w:adjustRightInd/>
        <w:snapToGrid/>
        <w:spacing w:line="560" w:lineRule="exact"/>
        <w:ind w:left="0" w:leftChars="0"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w:t>
      </w:r>
      <w:r>
        <w:rPr>
          <w:rFonts w:hint="eastAsia" w:ascii="仿宋_GB2312" w:hAnsi="仿宋_GB2312" w:eastAsia="仿宋_GB2312" w:cs="仿宋_GB2312"/>
          <w:sz w:val="32"/>
          <w:szCs w:val="28"/>
          <w:lang w:eastAsia="zh-CN"/>
        </w:rPr>
        <w:t>工作实际</w:t>
      </w:r>
      <w:r>
        <w:rPr>
          <w:rFonts w:hint="eastAsia" w:ascii="仿宋_GB2312" w:hAnsi="仿宋_GB2312" w:eastAsia="仿宋_GB2312" w:cs="仿宋_GB2312"/>
          <w:sz w:val="32"/>
          <w:szCs w:val="28"/>
        </w:rPr>
        <w:t>，加大对全面实施预算绩效管理和绩效管理工作的学习力度，让“花钱必问效，无效必问责”的理念深入工作每个环节。</w:t>
      </w:r>
    </w:p>
    <w:p w14:paraId="776EF517">
      <w:pPr>
        <w:pageBreakBefore w:val="0"/>
        <w:numPr>
          <w:ilvl w:val="0"/>
          <w:numId w:val="7"/>
        </w:numPr>
        <w:kinsoku/>
        <w:wordWrap/>
        <w:overflowPunct/>
        <w:topLinePunct w:val="0"/>
        <w:autoSpaceDE/>
        <w:autoSpaceDN/>
        <w:bidi w:val="0"/>
        <w:adjustRightInd/>
        <w:snapToGrid/>
        <w:spacing w:line="560" w:lineRule="exact"/>
        <w:ind w:left="0" w:leftChars="0" w:firstLine="640" w:firstLineChars="200"/>
        <w:rPr>
          <w:rFonts w:eastAsia="黑体"/>
          <w:sz w:val="32"/>
          <w:szCs w:val="32"/>
        </w:rPr>
      </w:pPr>
      <w:r>
        <w:rPr>
          <w:rFonts w:eastAsia="黑体"/>
          <w:sz w:val="32"/>
          <w:szCs w:val="32"/>
        </w:rPr>
        <w:t>其他需要说</w:t>
      </w:r>
      <w:bookmarkStart w:id="1" w:name="page8"/>
      <w:bookmarkEnd w:id="1"/>
      <w:r>
        <w:rPr>
          <w:rFonts w:eastAsia="黑体"/>
          <w:sz w:val="32"/>
          <w:szCs w:val="32"/>
        </w:rPr>
        <w:t>明的问题</w:t>
      </w:r>
    </w:p>
    <w:p w14:paraId="17E9824F">
      <w:pPr>
        <w:pStyle w:val="2"/>
        <w:ind w:firstLine="640"/>
        <w:jc w:val="left"/>
        <w:rPr>
          <w:rFonts w:hint="eastAsia" w:ascii="仿宋_GB2312" w:hAnsi="仿宋_GB2312" w:eastAsia="仿宋_GB2312" w:cs="仿宋_GB2312"/>
          <w:b w:val="0"/>
          <w:bCs w:val="0"/>
          <w:kern w:val="2"/>
          <w:sz w:val="32"/>
          <w:szCs w:val="28"/>
          <w:lang w:val="en-US" w:eastAsia="zh-CN" w:bidi="ar-SA"/>
        </w:rPr>
      </w:pPr>
      <w:r>
        <w:rPr>
          <w:rFonts w:hint="eastAsia" w:ascii="仿宋_GB2312" w:hAnsi="仿宋_GB2312" w:eastAsia="仿宋_GB2312" w:cs="仿宋_GB2312"/>
          <w:b w:val="0"/>
          <w:bCs w:val="0"/>
          <w:kern w:val="2"/>
          <w:sz w:val="32"/>
          <w:szCs w:val="28"/>
          <w:lang w:val="en-US" w:eastAsia="zh-CN" w:bidi="ar-SA"/>
        </w:rPr>
        <w:t>无</w:t>
      </w:r>
    </w:p>
    <w:p w14:paraId="11D96210">
      <w:pPr>
        <w:ind w:firstLine="640"/>
        <w:rPr>
          <w:rFonts w:hint="default"/>
          <w:lang w:val="en-US" w:eastAsia="zh-CN"/>
        </w:rPr>
      </w:pPr>
    </w:p>
    <w:p w14:paraId="09793C17">
      <w:pPr>
        <w:pStyle w:val="2"/>
        <w:rPr>
          <w:rFonts w:hint="default"/>
          <w:lang w:val="en-US" w:eastAsia="zh-CN"/>
        </w:rPr>
      </w:pPr>
    </w:p>
    <w:p w14:paraId="1C00EEE5">
      <w:pPr>
        <w:rPr>
          <w:rFonts w:hint="default"/>
          <w:lang w:val="en-US" w:eastAsia="zh-CN"/>
        </w:rPr>
      </w:pPr>
    </w:p>
    <w:p w14:paraId="5942F347">
      <w:pPr>
        <w:pStyle w:val="2"/>
        <w:rPr>
          <w:rFonts w:hint="default"/>
          <w:lang w:val="en-US" w:eastAsia="zh-CN"/>
        </w:rPr>
      </w:pPr>
    </w:p>
    <w:p w14:paraId="7AE33C52">
      <w:pPr>
        <w:rPr>
          <w:rFonts w:hint="default"/>
          <w:lang w:val="en-US" w:eastAsia="zh-CN"/>
        </w:rPr>
      </w:pPr>
    </w:p>
    <w:p w14:paraId="26B5623B">
      <w:pPr>
        <w:pStyle w:val="2"/>
        <w:rPr>
          <w:rFonts w:hint="default"/>
          <w:lang w:val="en-US" w:eastAsia="zh-CN"/>
        </w:rPr>
      </w:pPr>
    </w:p>
    <w:p w14:paraId="3696B5FD">
      <w:pPr>
        <w:pageBreakBefore w:val="0"/>
        <w:kinsoku/>
        <w:wordWrap/>
        <w:overflowPunct/>
        <w:topLinePunct w:val="0"/>
        <w:autoSpaceDE/>
        <w:autoSpaceDN/>
        <w:bidi w:val="0"/>
        <w:adjustRightInd/>
        <w:snapToGrid/>
        <w:spacing w:line="560" w:lineRule="exact"/>
        <w:ind w:left="0" w:leftChars="0"/>
        <w:rPr>
          <w:rStyle w:val="22"/>
          <w:rFonts w:eastAsia="仿宋"/>
          <w:b w:val="0"/>
          <w:spacing w:val="-4"/>
          <w:sz w:val="32"/>
          <w:szCs w:val="32"/>
        </w:rPr>
      </w:pPr>
    </w:p>
    <w:sectPr>
      <w:footerReference r:id="rId3" w:type="default"/>
      <w:pgSz w:w="11906" w:h="16838"/>
      <w:pgMar w:top="1440" w:right="1558"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E82CB">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D28EC0">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FD28EC0">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 w:name="KSO_WPS_MARK_KEY" w:val="2033535b-edbb-4556-a1be-4c3ac1daf187"/>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1C75270"/>
    <w:rsid w:val="12637CC3"/>
    <w:rsid w:val="12E657C5"/>
    <w:rsid w:val="133C6E2A"/>
    <w:rsid w:val="14E75A88"/>
    <w:rsid w:val="167C7687"/>
    <w:rsid w:val="168B3546"/>
    <w:rsid w:val="16CF0761"/>
    <w:rsid w:val="18EB571D"/>
    <w:rsid w:val="1A2374E0"/>
    <w:rsid w:val="1C317CE2"/>
    <w:rsid w:val="1D880AB9"/>
    <w:rsid w:val="1DD45808"/>
    <w:rsid w:val="1DED42AC"/>
    <w:rsid w:val="20005763"/>
    <w:rsid w:val="20FB313D"/>
    <w:rsid w:val="220B4804"/>
    <w:rsid w:val="278B653F"/>
    <w:rsid w:val="282475E3"/>
    <w:rsid w:val="29E421D9"/>
    <w:rsid w:val="2C6100C1"/>
    <w:rsid w:val="2DF52493"/>
    <w:rsid w:val="3235157C"/>
    <w:rsid w:val="3264220D"/>
    <w:rsid w:val="32A83563"/>
    <w:rsid w:val="32E75C3C"/>
    <w:rsid w:val="38872456"/>
    <w:rsid w:val="3963178C"/>
    <w:rsid w:val="3BA5236D"/>
    <w:rsid w:val="3CED0699"/>
    <w:rsid w:val="3EB02FD6"/>
    <w:rsid w:val="3EBD8F2F"/>
    <w:rsid w:val="41CC2676"/>
    <w:rsid w:val="44D3280D"/>
    <w:rsid w:val="44E65F41"/>
    <w:rsid w:val="46B21672"/>
    <w:rsid w:val="4F552460"/>
    <w:rsid w:val="4FCC6863"/>
    <w:rsid w:val="500A214A"/>
    <w:rsid w:val="522D604D"/>
    <w:rsid w:val="5297585E"/>
    <w:rsid w:val="52AD7D6F"/>
    <w:rsid w:val="5549519D"/>
    <w:rsid w:val="5557596B"/>
    <w:rsid w:val="5B596DFC"/>
    <w:rsid w:val="5DAE6D00"/>
    <w:rsid w:val="5DF03945"/>
    <w:rsid w:val="5F03526B"/>
    <w:rsid w:val="5FDBFBC0"/>
    <w:rsid w:val="62E515AF"/>
    <w:rsid w:val="637C2815"/>
    <w:rsid w:val="666B4FDC"/>
    <w:rsid w:val="67FF13C8"/>
    <w:rsid w:val="682144B7"/>
    <w:rsid w:val="6B503F77"/>
    <w:rsid w:val="6E311968"/>
    <w:rsid w:val="7A353D0B"/>
    <w:rsid w:val="7A777286"/>
    <w:rsid w:val="7CB927D8"/>
    <w:rsid w:val="7D3A5E2F"/>
    <w:rsid w:val="7FB73BF4"/>
    <w:rsid w:val="B5FFA939"/>
    <w:rsid w:val="BB3B3AE4"/>
    <w:rsid w:val="C3E453CA"/>
    <w:rsid w:val="D59FC505"/>
    <w:rsid w:val="D9FF6547"/>
    <w:rsid w:val="DFD7164D"/>
    <w:rsid w:val="F33FF833"/>
    <w:rsid w:val="F3FF1802"/>
    <w:rsid w:val="F57AE97E"/>
    <w:rsid w:val="FBFD3C20"/>
    <w:rsid w:val="FF3F12C2"/>
    <w:rsid w:val="FF9FECDB"/>
    <w:rsid w:val="FFFFE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Balloon Text"/>
    <w:basedOn w:val="1"/>
    <w:link w:val="49"/>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2"/>
    <w:qFormat/>
    <w:uiPriority w:val="0"/>
    <w:pPr>
      <w:spacing w:after="0"/>
      <w:ind w:firstLine="200" w:firstLineChars="200"/>
    </w:pPr>
  </w:style>
  <w:style w:type="paragraph" w:styleId="19">
    <w:name w:val="Body Text First Indent 2"/>
    <w:basedOn w:val="13"/>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customStyle="1"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customStyle="1"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8949</Words>
  <Characters>9383</Characters>
  <Lines>50</Lines>
  <Paragraphs>14</Paragraphs>
  <TotalTime>3</TotalTime>
  <ScaleCrop>false</ScaleCrop>
  <LinksUpToDate>false</LinksUpToDate>
  <CharactersWithSpaces>9497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2020-07-05T08:35:00Z</dcterms:created>
  <dc:creator>赵 恺（预算处）</dc:creator>
  <cp:lastModifiedBy>岁月无痕</cp:lastModifiedBy>
  <cp:lastPrinted>2024-05-24T12:00:00Z</cp:lastPrinted>
  <dcterms:modified xsi:type="dcterms:W3CDTF">2024-08-16T04:19:24Z</dcterms:modified>
  <dc:title>自治区工艺美术大师及食品工业企业食品安全培训资金项目支出绩效评价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013360FACCE1418B80C968824022A9DF</vt:lpwstr>
  </property>
  <property fmtid="{D5CDD505-2E9C-101B-9397-08002B2CF9AE}" pid="4" name="KSOSaveFontToCloudKey">
    <vt:lpwstr>0_btnclosed</vt:lpwstr>
  </property>
</Properties>
</file>