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5E879">
      <w:pPr>
        <w:pageBreakBefore w:val="0"/>
        <w:kinsoku/>
        <w:wordWrap/>
        <w:overflowPunct/>
        <w:topLinePunct w:val="0"/>
        <w:autoSpaceDE/>
        <w:autoSpaceDN/>
        <w:bidi w:val="0"/>
        <w:snapToGrid w:val="0"/>
        <w:spacing w:line="560" w:lineRule="exact"/>
        <w:ind w:left="0" w:leftChars="0"/>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 xml:space="preserve"> </w:t>
      </w:r>
    </w:p>
    <w:p w14:paraId="67296B07">
      <w:pPr>
        <w:pStyle w:val="2"/>
        <w:rPr>
          <w:rFonts w:hint="default"/>
          <w:lang w:val="en-US"/>
        </w:rPr>
      </w:pPr>
    </w:p>
    <w:p w14:paraId="79FA4FA8">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05DDFB3B">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2890B743">
      <w:pPr>
        <w:pageBreakBefore w:val="0"/>
        <w:kinsoku/>
        <w:wordWrap/>
        <w:overflowPunct/>
        <w:topLinePunct w:val="0"/>
        <w:autoSpaceDE/>
        <w:autoSpaceDN/>
        <w:bidi w:val="0"/>
        <w:snapToGrid w:val="0"/>
        <w:spacing w:line="560" w:lineRule="exact"/>
        <w:ind w:left="0" w:leftChars="0"/>
        <w:jc w:val="center"/>
        <w:rPr>
          <w:rFonts w:eastAsia="方正小标宋_GBK"/>
          <w:kern w:val="0"/>
          <w:sz w:val="48"/>
          <w:szCs w:val="48"/>
        </w:rPr>
      </w:pPr>
      <w:r>
        <w:rPr>
          <w:rFonts w:hint="eastAsia" w:eastAsia="方正小标宋_GBK"/>
          <w:kern w:val="0"/>
          <w:sz w:val="48"/>
          <w:szCs w:val="48"/>
          <w:lang w:eastAsia="zh-CN"/>
        </w:rPr>
        <w:t>自治区招商引资专项</w:t>
      </w:r>
      <w:r>
        <w:rPr>
          <w:rFonts w:eastAsia="方正小标宋_GBK"/>
          <w:kern w:val="0"/>
          <w:sz w:val="48"/>
          <w:szCs w:val="48"/>
        </w:rPr>
        <w:t>资金项目支出绩效评价报告</w:t>
      </w:r>
    </w:p>
    <w:p w14:paraId="75EF4489">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30FB53C6">
      <w:pPr>
        <w:pageBreakBefore w:val="0"/>
        <w:kinsoku/>
        <w:wordWrap/>
        <w:overflowPunct/>
        <w:topLinePunct w:val="0"/>
        <w:autoSpaceDE/>
        <w:autoSpaceDN/>
        <w:bidi w:val="0"/>
        <w:snapToGrid w:val="0"/>
        <w:spacing w:line="560" w:lineRule="exact"/>
        <w:ind w:left="0" w:leftChars="0"/>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067E7F49">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59A8BB20">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099AF9A3">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06D97135">
      <w:pPr>
        <w:keepNext w:val="0"/>
        <w:keepLines w:val="0"/>
        <w:pageBreakBefore w:val="0"/>
        <w:widowControl w:val="0"/>
        <w:kinsoku/>
        <w:wordWrap/>
        <w:overflowPunct/>
        <w:topLinePunct w:val="0"/>
        <w:autoSpaceDE/>
        <w:autoSpaceDN/>
        <w:bidi w:val="0"/>
        <w:adjustRightInd/>
        <w:snapToGrid w:val="0"/>
        <w:spacing w:line="560" w:lineRule="exact"/>
        <w:ind w:left="0" w:leftChars="0"/>
        <w:textAlignment w:val="auto"/>
        <w:rPr>
          <w:rFonts w:hint="eastAsia" w:ascii="仿宋_GB2312" w:hAnsi="仿宋_GB2312" w:eastAsia="仿宋_GB2312" w:cs="仿宋_GB2312"/>
          <w:kern w:val="0"/>
          <w:sz w:val="30"/>
          <w:szCs w:val="30"/>
        </w:rPr>
      </w:pPr>
    </w:p>
    <w:p w14:paraId="1A064EBE">
      <w:pPr>
        <w:keepNext w:val="0"/>
        <w:keepLines w:val="0"/>
        <w:pageBreakBefore w:val="0"/>
        <w:widowControl w:val="0"/>
        <w:kinsoku/>
        <w:wordWrap/>
        <w:overflowPunct/>
        <w:topLinePunct w:val="0"/>
        <w:autoSpaceDE/>
        <w:autoSpaceDN/>
        <w:bidi w:val="0"/>
        <w:adjustRightInd/>
        <w:snapToGrid w:val="0"/>
        <w:spacing w:line="560" w:lineRule="exact"/>
        <w:ind w:left="0" w:leftChars="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项目名称：自治区招商引资专项工作经费</w:t>
      </w:r>
    </w:p>
    <w:p w14:paraId="0A4B3736">
      <w:pPr>
        <w:keepNext w:val="0"/>
        <w:keepLines w:val="0"/>
        <w:pageBreakBefore w:val="0"/>
        <w:widowControl w:val="0"/>
        <w:kinsoku/>
        <w:wordWrap/>
        <w:overflowPunct/>
        <w:topLinePunct w:val="0"/>
        <w:autoSpaceDE/>
        <w:autoSpaceDN/>
        <w:bidi w:val="0"/>
        <w:adjustRightInd/>
        <w:snapToGrid w:val="0"/>
        <w:spacing w:line="560" w:lineRule="exact"/>
        <w:ind w:left="0" w:leftChars="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kern w:val="0"/>
          <w:sz w:val="32"/>
          <w:szCs w:val="32"/>
          <w:lang w:val="en-US" w:eastAsia="zh-CN"/>
        </w:rPr>
        <w:fldChar w:fldCharType="begin">
          <w:fldData xml:space="preserve">RgA5AEIANQBFAEIAQQBBADcARgBBAEIANAA3ADkAQwBBADgAOABDAEUAQQBGADEANABEADkANgA0
AEEAQgBCAA==
</w:fldData>
        </w:fldChar>
      </w:r>
      <w:r>
        <w:rPr>
          <w:rFonts w:hint="eastAsia" w:ascii="仿宋_GB2312" w:hAnsi="仿宋_GB2312" w:eastAsia="仿宋_GB2312" w:cs="仿宋_GB2312"/>
          <w:kern w:val="0"/>
          <w:sz w:val="32"/>
          <w:szCs w:val="32"/>
          <w:lang w:val="en-US" w:eastAsia="zh-CN"/>
        </w:rPr>
        <w:instrText xml:space="preserve">Addin 单位名称</w:instrText>
      </w:r>
      <w:r>
        <w:rPr>
          <w:rFonts w:hint="eastAsia" w:ascii="仿宋_GB2312" w:hAnsi="仿宋_GB2312" w:eastAsia="仿宋_GB2312" w:cs="仿宋_GB2312"/>
          <w:kern w:val="0"/>
          <w:sz w:val="32"/>
          <w:szCs w:val="32"/>
          <w:lang w:val="en-US" w:eastAsia="zh-CN"/>
        </w:rPr>
        <w:fldChar w:fldCharType="separate"/>
      </w:r>
      <w:bookmarkStart w:id="2" w:name="_GoBack"/>
      <w:bookmarkEnd w:id="2"/>
      <w:r>
        <w:rPr>
          <w:rFonts w:hint="eastAsia" w:ascii="仿宋_GB2312" w:hAnsi="仿宋_GB2312" w:eastAsia="仿宋_GB2312" w:cs="仿宋_GB2312"/>
          <w:kern w:val="0"/>
          <w:sz w:val="32"/>
          <w:szCs w:val="32"/>
          <w:lang w:val="en-US" w:eastAsia="zh-CN"/>
        </w:rPr>
        <w:t>自治区工业和信息化厅</w:t>
      </w:r>
      <w:r>
        <w:rPr>
          <w:rFonts w:hint="eastAsia" w:ascii="仿宋_GB2312" w:hAnsi="仿宋_GB2312" w:eastAsia="仿宋_GB2312" w:cs="仿宋_GB2312"/>
          <w:kern w:val="0"/>
          <w:sz w:val="32"/>
          <w:szCs w:val="32"/>
          <w:lang w:val="en-US" w:eastAsia="zh-CN"/>
        </w:rPr>
        <w:fldChar w:fldCharType="end"/>
      </w:r>
    </w:p>
    <w:p w14:paraId="7994AD69">
      <w:pPr>
        <w:keepNext w:val="0"/>
        <w:keepLines w:val="0"/>
        <w:pageBreakBefore w:val="0"/>
        <w:widowControl w:val="0"/>
        <w:kinsoku/>
        <w:wordWrap/>
        <w:overflowPunct/>
        <w:topLinePunct w:val="0"/>
        <w:autoSpaceDE/>
        <w:autoSpaceDN/>
        <w:bidi w:val="0"/>
        <w:adjustRightInd/>
        <w:snapToGrid w:val="0"/>
        <w:spacing w:line="560" w:lineRule="exact"/>
        <w:ind w:left="0" w:leftChars="0" w:firstLine="960" w:firstLineChars="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kern w:val="0"/>
          <w:sz w:val="32"/>
          <w:szCs w:val="32"/>
          <w:lang w:val="en-US" w:eastAsia="zh-CN"/>
        </w:rPr>
        <w:fldChar w:fldCharType="begin">
          <w:fldData xml:space="preserve">MgA0ADMAOQAzAEEANgA1ADAAQwA5ADIANABGADUARQBBADkAMQA0ADQAQQA4ADQAMgA3ADQAQwBD
ADEAMAAyAA==
</w:fldData>
        </w:fldChar>
      </w:r>
      <w:r>
        <w:rPr>
          <w:rFonts w:hint="eastAsia" w:ascii="仿宋_GB2312" w:hAnsi="仿宋_GB2312" w:eastAsia="仿宋_GB2312" w:cs="仿宋_GB2312"/>
          <w:kern w:val="0"/>
          <w:sz w:val="32"/>
          <w:szCs w:val="32"/>
          <w:lang w:val="en-US" w:eastAsia="zh-CN"/>
        </w:rPr>
        <w:instrText xml:space="preserve">Addin 部门名称</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自治区</w:t>
      </w:r>
      <w:r>
        <w:rPr>
          <w:rFonts w:hint="eastAsia" w:ascii="仿宋_GB2312" w:hAnsi="仿宋_GB2312" w:eastAsia="仿宋_GB2312" w:cs="仿宋_GB2312"/>
          <w:kern w:val="0"/>
          <w:sz w:val="32"/>
          <w:szCs w:val="32"/>
          <w:lang w:val="en-US" w:eastAsia="zh-CN"/>
        </w:rPr>
        <w:fldChar w:fldCharType="end"/>
      </w:r>
      <w:r>
        <w:rPr>
          <w:rFonts w:hint="eastAsia" w:ascii="仿宋_GB2312" w:hAnsi="仿宋_GB2312" w:eastAsia="仿宋_GB2312" w:cs="仿宋_GB2312"/>
          <w:kern w:val="0"/>
          <w:sz w:val="32"/>
          <w:szCs w:val="32"/>
          <w:lang w:val="en-US" w:eastAsia="zh-CN"/>
        </w:rPr>
        <w:t>工业和信息化厅</w:t>
      </w:r>
    </w:p>
    <w:p w14:paraId="41F9C073">
      <w:pPr>
        <w:keepNext w:val="0"/>
        <w:keepLines w:val="0"/>
        <w:pageBreakBefore w:val="0"/>
        <w:widowControl w:val="0"/>
        <w:kinsoku/>
        <w:wordWrap/>
        <w:overflowPunct/>
        <w:topLinePunct w:val="0"/>
        <w:autoSpaceDE/>
        <w:autoSpaceDN/>
        <w:bidi w:val="0"/>
        <w:adjustRightInd/>
        <w:snapToGrid w:val="0"/>
        <w:spacing w:line="560" w:lineRule="exact"/>
        <w:ind w:left="0" w:leftChars="0" w:firstLine="960" w:firstLineChars="3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val="en-US" w:eastAsia="zh-CN"/>
        </w:rPr>
        <w:t>刘宏建</w:t>
      </w:r>
    </w:p>
    <w:p w14:paraId="78561FDB">
      <w:pPr>
        <w:keepNext w:val="0"/>
        <w:keepLines w:val="0"/>
        <w:pageBreakBefore w:val="0"/>
        <w:widowControl w:val="0"/>
        <w:kinsoku/>
        <w:wordWrap/>
        <w:overflowPunct/>
        <w:topLinePunct w:val="0"/>
        <w:autoSpaceDE/>
        <w:autoSpaceDN/>
        <w:bidi w:val="0"/>
        <w:adjustRightInd/>
        <w:snapToGrid w:val="0"/>
        <w:spacing w:line="560" w:lineRule="exact"/>
        <w:ind w:left="0" w:leftChars="0" w:firstLine="960" w:firstLineChars="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日</w:t>
      </w:r>
    </w:p>
    <w:p w14:paraId="3C963DE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textAlignment w:val="auto"/>
        <w:rPr>
          <w:rStyle w:val="22"/>
          <w:rFonts w:hint="eastAsia" w:ascii="仿宋_GB2312" w:hAnsi="仿宋_GB2312" w:eastAsia="仿宋_GB2312" w:cs="仿宋_GB2312"/>
          <w:b w:val="0"/>
          <w:spacing w:val="-4"/>
          <w:sz w:val="30"/>
          <w:szCs w:val="30"/>
        </w:rPr>
      </w:pPr>
    </w:p>
    <w:p w14:paraId="3787BBA7">
      <w:pPr>
        <w:keepNext w:val="0"/>
        <w:keepLines w:val="0"/>
        <w:pageBreakBefore w:val="0"/>
        <w:widowControl w:val="0"/>
        <w:kinsoku/>
        <w:wordWrap/>
        <w:overflowPunct/>
        <w:topLinePunct w:val="0"/>
        <w:autoSpaceDE/>
        <w:autoSpaceDN/>
        <w:bidi w:val="0"/>
        <w:adjustRightInd/>
        <w:snapToGrid w:val="0"/>
        <w:spacing w:line="560" w:lineRule="exact"/>
        <w:ind w:left="0" w:leftChars="0"/>
        <w:textAlignment w:val="auto"/>
        <w:rPr>
          <w:rStyle w:val="22"/>
          <w:rFonts w:hint="eastAsia" w:ascii="仿宋_GB2312" w:hAnsi="仿宋_GB2312" w:eastAsia="仿宋_GB2312" w:cs="仿宋_GB2312"/>
          <w:b w:val="0"/>
          <w:spacing w:val="-4"/>
          <w:sz w:val="30"/>
          <w:szCs w:val="30"/>
        </w:rPr>
      </w:pPr>
    </w:p>
    <w:p w14:paraId="17CEAA6E">
      <w:pPr>
        <w:pageBreakBefore w:val="0"/>
        <w:kinsoku/>
        <w:wordWrap/>
        <w:overflowPunct/>
        <w:topLinePunct w:val="0"/>
        <w:autoSpaceDE/>
        <w:autoSpaceDN/>
        <w:bidi w:val="0"/>
        <w:snapToGrid w:val="0"/>
        <w:spacing w:line="560" w:lineRule="exact"/>
        <w:ind w:left="0" w:leftChars="0"/>
        <w:jc w:val="center"/>
        <w:rPr>
          <w:rFonts w:eastAsia="黑体"/>
          <w:bCs/>
          <w:sz w:val="32"/>
          <w:szCs w:val="32"/>
        </w:rPr>
      </w:pPr>
    </w:p>
    <w:p w14:paraId="507C926B">
      <w:pPr>
        <w:pStyle w:val="2"/>
        <w:pageBreakBefore w:val="0"/>
        <w:kinsoku/>
        <w:wordWrap/>
        <w:overflowPunct/>
        <w:topLinePunct w:val="0"/>
        <w:autoSpaceDE/>
        <w:autoSpaceDN/>
        <w:bidi w:val="0"/>
        <w:snapToGrid w:val="0"/>
        <w:spacing w:after="0" w:line="560" w:lineRule="exact"/>
        <w:ind w:left="0" w:leftChars="0"/>
      </w:pPr>
    </w:p>
    <w:p w14:paraId="69E3D96B">
      <w:pPr>
        <w:pageBreakBefore w:val="0"/>
        <w:kinsoku/>
        <w:wordWrap/>
        <w:overflowPunct/>
        <w:topLinePunct w:val="0"/>
        <w:autoSpaceDE/>
        <w:autoSpaceDN/>
        <w:bidi w:val="0"/>
        <w:snapToGrid w:val="0"/>
        <w:spacing w:line="560" w:lineRule="exact"/>
        <w:ind w:left="0" w:leftChars="0"/>
        <w:rPr>
          <w:rFonts w:eastAsia="黑体"/>
          <w:bCs/>
          <w:sz w:val="32"/>
          <w:szCs w:val="32"/>
        </w:rPr>
      </w:pPr>
    </w:p>
    <w:p w14:paraId="52A53407">
      <w:pPr>
        <w:pStyle w:val="2"/>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15560977">
      <w:pPr>
        <w:pStyle w:val="2"/>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2C5E3A9A">
      <w:pPr>
        <w:pStyle w:val="2"/>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3BE8E61F">
      <w:pPr>
        <w:pageBreakBefore w:val="0"/>
        <w:kinsoku/>
        <w:wordWrap/>
        <w:overflowPunct/>
        <w:topLinePunct w:val="0"/>
        <w:autoSpaceDE/>
        <w:autoSpaceDN/>
        <w:bidi w:val="0"/>
        <w:snapToGrid w:val="0"/>
        <w:spacing w:line="560" w:lineRule="exact"/>
        <w:ind w:left="0" w:leftChars="0"/>
        <w:rPr>
          <w:rFonts w:eastAsia="黑体"/>
          <w:bCs/>
          <w:sz w:val="32"/>
          <w:szCs w:val="32"/>
        </w:rPr>
      </w:pPr>
      <w:r>
        <w:rPr>
          <w:rFonts w:eastAsia="黑体"/>
          <w:bCs/>
          <w:sz w:val="32"/>
          <w:szCs w:val="32"/>
        </w:rPr>
        <w:t>一、基本情况</w:t>
      </w:r>
    </w:p>
    <w:p w14:paraId="5F3FDEAF">
      <w:pPr>
        <w:pageBreakBefore w:val="0"/>
        <w:kinsoku/>
        <w:wordWrap/>
        <w:overflowPunct/>
        <w:topLinePunct w:val="0"/>
        <w:autoSpaceDE/>
        <w:autoSpaceDN/>
        <w:bidi w:val="0"/>
        <w:snapToGrid w:val="0"/>
        <w:spacing w:line="560" w:lineRule="exact"/>
        <w:ind w:left="0" w:leftChars="0" w:firstLine="641"/>
        <w:rPr>
          <w:rFonts w:eastAsia="楷体_GB2312"/>
          <w:b/>
          <w:bCs/>
          <w:sz w:val="32"/>
          <w:szCs w:val="32"/>
        </w:rPr>
      </w:pPr>
      <w:r>
        <w:rPr>
          <w:rFonts w:eastAsia="楷体_GB2312"/>
          <w:b/>
          <w:bCs/>
          <w:sz w:val="32"/>
          <w:szCs w:val="32"/>
        </w:rPr>
        <w:t>（一）项目概况</w:t>
      </w:r>
    </w:p>
    <w:p w14:paraId="5B277EC2">
      <w:pPr>
        <w:pageBreakBefore w:val="0"/>
        <w:kinsoku/>
        <w:wordWrap/>
        <w:overflowPunct/>
        <w:topLinePunct w:val="0"/>
        <w:autoSpaceDE/>
        <w:autoSpaceDN/>
        <w:bidi w:val="0"/>
        <w:snapToGrid w:val="0"/>
        <w:spacing w:line="560" w:lineRule="exact"/>
        <w:ind w:left="0" w:leftChars="0" w:firstLine="641"/>
        <w:rPr>
          <w:rFonts w:eastAsia="仿宋_GB2312"/>
          <w:b/>
          <w:bCs/>
          <w:sz w:val="32"/>
          <w:szCs w:val="32"/>
        </w:rPr>
      </w:pPr>
      <w:r>
        <w:rPr>
          <w:rFonts w:eastAsia="仿宋_GB2312"/>
          <w:b/>
          <w:bCs/>
          <w:sz w:val="32"/>
          <w:szCs w:val="32"/>
        </w:rPr>
        <w:t>1、项目背景</w:t>
      </w:r>
    </w:p>
    <w:p w14:paraId="46CD01EA">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自2007年始，经自治区人民政府有关领导批示，“自治区招商引资专项工作经费”已作为固定类项目予以资金保障，原自治区招商发展局（经济技术协作办公室）已列入年度部门预算，根据《自治区党委办公厅 自治区人民政府办公厅关于印发〈新疆维吾尔自治区工业和信息化厅职能配置、内设机构和人员编制规定〉的通知》（新党厅字〔2018〕147号）中“原自治区招商发展局（经济技术协作办公室）的部分职责划入工业和信息化厅”，并设立招商协作发展处。为确保工业和信息化领域招商引资和经济技术协作工作的顺利展开，按照《自治区党政机构涉改部门单位预算调整工作规程》（新财办预〔2019〕3号）文件要求，经与自治区商务厅协商后，将负责招商引资专项经费中的25万划入工业和信息化厅。2021年根据经费预算由25万减为20万使用。2023年根据经费预算由20万减为19万使用。</w:t>
      </w:r>
    </w:p>
    <w:p w14:paraId="45BB785F">
      <w:pPr>
        <w:pStyle w:val="18"/>
        <w:pageBreakBefore w:val="0"/>
        <w:numPr>
          <w:ilvl w:val="0"/>
          <w:numId w:val="1"/>
        </w:numPr>
        <w:kinsoku/>
        <w:wordWrap/>
        <w:overflowPunct/>
        <w:topLinePunct w:val="0"/>
        <w:autoSpaceDE/>
        <w:autoSpaceDN/>
        <w:bidi w:val="0"/>
        <w:snapToGrid w:val="0"/>
        <w:spacing w:before="0" w:after="0" w:line="560" w:lineRule="exact"/>
        <w:ind w:left="0" w:leftChars="0"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20BCF9C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负责工业和信息化领域招商引资和经济技术协作综合协调、服务工作；指导、协调区域经济合作；指导各地（州、市）开发区、工业园区的招商引资和经济技术协作。</w:t>
      </w:r>
    </w:p>
    <w:p w14:paraId="4B794F12">
      <w:pPr>
        <w:pageBreakBefore w:val="0"/>
        <w:kinsoku/>
        <w:wordWrap/>
        <w:overflowPunct/>
        <w:topLinePunct w:val="0"/>
        <w:autoSpaceDE/>
        <w:autoSpaceDN/>
        <w:bidi w:val="0"/>
        <w:snapToGrid w:val="0"/>
        <w:spacing w:line="560" w:lineRule="exact"/>
        <w:ind w:left="0" w:leftChars="0" w:firstLine="643" w:firstLineChars="200"/>
        <w:rPr>
          <w:rFonts w:eastAsia="仿宋_GB2312"/>
          <w:b/>
          <w:bCs/>
          <w:sz w:val="32"/>
          <w:szCs w:val="32"/>
        </w:rPr>
      </w:pPr>
      <w:r>
        <w:rPr>
          <w:rFonts w:eastAsia="仿宋_GB2312"/>
          <w:b/>
          <w:bCs/>
          <w:sz w:val="32"/>
          <w:szCs w:val="32"/>
        </w:rPr>
        <w:t>3、资金投入和使用情况</w:t>
      </w:r>
    </w:p>
    <w:p w14:paraId="7C3AF3DD">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（1）资金安排</w:t>
      </w:r>
    </w:p>
    <w:p w14:paraId="13A0C586">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总投资19万元，按照单位财务制度等相关规定，资金支出符合自治区招商引资专项工作经费范围，做到了专款专用。在项目资金拨付和使用过程中，为确保项目资金的安全性，提高项目资金使用效率，严格遵循自治区招商引资专项工作经费资金的拨付程序，认真审核项目实施各阶段的相关材料和手续，根据项目实施进展情况拨付资金。</w:t>
      </w:r>
    </w:p>
    <w:p w14:paraId="001641F5">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（2）预算资金来源及使用情况</w:t>
      </w:r>
      <w:bookmarkStart w:id="0" w:name="page10"/>
      <w:bookmarkEnd w:id="0"/>
    </w:p>
    <w:p w14:paraId="3D9D0381">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项目预算资金来源于自治区财政拨付，项目资金到位19万元，全年执行19万元，预算执行率为100%,主要用于支付项目实施进程中的各项费用。</w:t>
      </w:r>
    </w:p>
    <w:p w14:paraId="769A0E3A">
      <w:pPr>
        <w:pageBreakBefore w:val="0"/>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（二）项目绩效目标</w:t>
      </w:r>
    </w:p>
    <w:p w14:paraId="4C3700B1">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1、总体目标</w:t>
      </w:r>
    </w:p>
    <w:p w14:paraId="58F20C30">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突出招商重点，加大产业链招商，强化项目协调服务，及时协调解决项目落地过程中的困难和问题：一是加大工业与信息化领域招商项目引进。二是增强企业投资新疆信心。三是促进企业来疆考察及项目投资落地，计划开展会展招商、以商招商等投资促进活动。</w:t>
      </w:r>
    </w:p>
    <w:p w14:paraId="47BC06ED">
      <w:pPr>
        <w:pageBreakBefore w:val="0"/>
        <w:kinsoku/>
        <w:wordWrap/>
        <w:overflowPunct/>
        <w:topLinePunct w:val="0"/>
        <w:autoSpaceDE/>
        <w:autoSpaceDN/>
        <w:bidi w:val="0"/>
        <w:snapToGrid w:val="0"/>
        <w:spacing w:line="560" w:lineRule="exact"/>
        <w:ind w:left="0" w:leftChars="0" w:firstLine="640" w:firstLineChars="200"/>
      </w:pPr>
      <w:r>
        <w:rPr>
          <w:rFonts w:eastAsia="仿宋_GB2312"/>
          <w:sz w:val="32"/>
          <w:szCs w:val="32"/>
        </w:rPr>
        <w:t>2、阶段性目标</w:t>
      </w:r>
    </w:p>
    <w:p w14:paraId="55240D81">
      <w:pPr>
        <w:pageBreakBefore w:val="0"/>
        <w:kinsoku/>
        <w:wordWrap/>
        <w:overflowPunct/>
        <w:topLinePunct w:val="0"/>
        <w:autoSpaceDE/>
        <w:autoSpaceDN/>
        <w:bidi w:val="0"/>
        <w:snapToGrid w:val="0"/>
        <w:spacing w:line="560" w:lineRule="exact"/>
        <w:ind w:left="0" w:leftChars="0" w:firstLine="640" w:firstLineChars="200"/>
        <w:rPr>
          <w:rFonts w:hint="eastAsia" w:ascii="仿宋_GB2312"/>
          <w:sz w:val="32"/>
          <w:szCs w:val="28"/>
          <w:lang w:val="en-US" w:eastAsia="zh-CN"/>
        </w:rPr>
      </w:pPr>
      <w:r>
        <w:rPr>
          <w:rFonts w:hint="eastAsia" w:ascii="仿宋_GB2312" w:hAnsi="仿宋_GB2312" w:eastAsia="仿宋_GB2312" w:cs="仿宋_GB2312"/>
          <w:kern w:val="0"/>
          <w:sz w:val="32"/>
          <w:szCs w:val="32"/>
          <w:lang w:val="en-US" w:eastAsia="zh-CN"/>
        </w:rPr>
        <w:t>2023年6月底前完成自治区工业和信息化领域投资指南设计；2023年10月底前完成对前来我区考察、洽谈项目的企业客商举办招商引资投资洽谈活动场次2次以上，完成开展专题产业链招商服务支持工作。</w:t>
      </w:r>
    </w:p>
    <w:p w14:paraId="377F92D2">
      <w:pPr>
        <w:pageBreakBefore w:val="0"/>
        <w:kinsoku/>
        <w:wordWrap/>
        <w:overflowPunct/>
        <w:topLinePunct w:val="0"/>
        <w:autoSpaceDE/>
        <w:autoSpaceDN/>
        <w:bidi w:val="0"/>
        <w:snapToGrid w:val="0"/>
        <w:spacing w:line="560" w:lineRule="exact"/>
        <w:ind w:left="0" w:leftChars="0" w:firstLine="640" w:firstLineChars="200"/>
        <w:rPr>
          <w:rFonts w:eastAsia="黑体"/>
          <w:sz w:val="32"/>
          <w:szCs w:val="32"/>
        </w:rPr>
      </w:pPr>
      <w:r>
        <w:rPr>
          <w:rFonts w:eastAsia="黑体"/>
          <w:sz w:val="32"/>
          <w:szCs w:val="32"/>
        </w:rPr>
        <w:t>二、绩效评价工作开展情况</w:t>
      </w:r>
    </w:p>
    <w:p w14:paraId="36E66CBF">
      <w:pPr>
        <w:pageBreakBefore w:val="0"/>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（一）绩效评价目的、对象和范围</w:t>
      </w:r>
    </w:p>
    <w:p w14:paraId="6D5E7E61">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1、绩效评价的目的</w:t>
      </w:r>
    </w:p>
    <w:p w14:paraId="33B4036E">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严格执行《预算法》，强化支出责任，对本年度资金使用、管理及效益情况进行分析和评价，提高自治区招商引资专项资金的资源配置效率和使用效益，达到改进预算管理、控制节约成本，提高预算资金使用效益的目的。</w:t>
      </w:r>
    </w:p>
    <w:p w14:paraId="3155B185">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2、绩效评价的对象</w:t>
      </w:r>
    </w:p>
    <w:p w14:paraId="6CB7FCD6">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绩效评价对象为自治区工业和信息化厅招商协作发展处利用自治区招商引资专项工作经费实施的全部项目建设内容。</w:t>
      </w:r>
    </w:p>
    <w:p w14:paraId="42F5819D">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3、绩效评价的范围</w:t>
      </w:r>
    </w:p>
    <w:p w14:paraId="2962C669">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绩效评价范围为招商协作发展处自治区招商引资专项专项资金使用项目的决策、过程、产出、效益等。</w:t>
      </w:r>
    </w:p>
    <w:p w14:paraId="3D2EC6B6">
      <w:pPr>
        <w:pageBreakBefore w:val="0"/>
        <w:kinsoku/>
        <w:wordWrap/>
        <w:overflowPunct/>
        <w:topLinePunct w:val="0"/>
        <w:autoSpaceDE/>
        <w:autoSpaceDN/>
        <w:bidi w:val="0"/>
        <w:snapToGrid w:val="0"/>
        <w:spacing w:line="560" w:lineRule="exact"/>
        <w:ind w:left="0" w:leftChars="0" w:firstLine="643" w:firstLineChars="200"/>
      </w:pPr>
      <w:r>
        <w:rPr>
          <w:rFonts w:eastAsia="楷体_GB2312"/>
          <w:b/>
          <w:bCs/>
          <w:sz w:val="32"/>
          <w:szCs w:val="32"/>
        </w:rPr>
        <w:t>（二）绩效评价原则、评价指标体系（详情见表1）、评价方法、评价标准。</w:t>
      </w:r>
    </w:p>
    <w:p w14:paraId="5FE2D992">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1、绩效评价原则</w:t>
      </w:r>
    </w:p>
    <w:p w14:paraId="6C5F31B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本次项目绩效评价遵循以下基本原则：</w:t>
      </w:r>
    </w:p>
    <w:p w14:paraId="17C67B2D">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（1）科学公正。绩效评价应当运用科学合理的方法，按照规范的程序，对项目绩效进行客观、公正的反映。</w:t>
      </w:r>
    </w:p>
    <w:p w14:paraId="49C154EE">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14:paraId="22230FAC">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（3）激励约束。绩效评价结果应与预算安排、政策调整、改进管理实质性挂钩，体现奖优罚劣和激励相容导向，有效要安排、低效要压减、无效要问责。</w:t>
      </w:r>
    </w:p>
    <w:p w14:paraId="555C9AD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（4）公开透明。绩效评价结果应依法依规公开，并自觉接受社会监督。</w:t>
      </w:r>
    </w:p>
    <w:p w14:paraId="4AA31B4D">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2、评价指标体系</w:t>
      </w:r>
    </w:p>
    <w:p w14:paraId="7841542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绩效评价框架是开展绩效评价的核心。绩效评价框架包括评价准则、关键评价问题、评价指标、数据来源、数据收集方法等。指标体系建立过程如下：</w:t>
      </w:r>
    </w:p>
    <w:p w14:paraId="067D6C76">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（1）确定评价指标</w:t>
      </w:r>
    </w:p>
    <w:p w14:paraId="17DFF1D5">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14:paraId="6DBE18FD">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（2）确定权重</w:t>
      </w:r>
    </w:p>
    <w:p w14:paraId="1F28C1F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确定各个指标相对于项目总体绩效的权重分值。在绩效评价指标体系中，项目决策权重为5分，项目过程权重为5分，项目产出权重为50分，项目效益权重为40分。</w:t>
      </w:r>
    </w:p>
    <w:p w14:paraId="362374F6">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（3）确定指标标准值</w:t>
      </w:r>
    </w:p>
    <w:p w14:paraId="543DB1C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指标标准值是绩效评价指标的尺度，既要反映同类项目的先进水平，又要符合项目的实际绩效水平。具体采用计划标准等确定此次绩效评价指标标准值。</w:t>
      </w:r>
    </w:p>
    <w:p w14:paraId="4DED02D0">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52E0803">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具体评价指标体系详情见附件1</w:t>
      </w:r>
    </w:p>
    <w:p w14:paraId="2F893EC7">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3、绩效评价方法</w:t>
      </w:r>
    </w:p>
    <w:p w14:paraId="21899988">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绩效评价从项目决策、项目过程、项目产出、项目效益四个维度进行评价。评价对象为项目目标实施情况，  评价核心为资金的支出完成情况和项目的产出效益。</w:t>
      </w:r>
    </w:p>
    <w:p w14:paraId="5C3513F5">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14:paraId="69DDD7B2">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（1）比较法</w:t>
      </w:r>
    </w:p>
    <w:p w14:paraId="4340C001">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14:paraId="4E35D375">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（2）因素分析法</w:t>
      </w:r>
    </w:p>
    <w:p w14:paraId="1FEE4E7C">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32733BCE">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4、评价标准</w:t>
      </w:r>
    </w:p>
    <w:p w14:paraId="2F2349AD">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绩效评价标准通常包括计划标准、行业标准、历史标准等，用于对绩效指标完成情况进行比较。本次评价主要采用了计划标准和行业标准。</w:t>
      </w:r>
    </w:p>
    <w:p w14:paraId="292FA3F6">
      <w:pPr>
        <w:pStyle w:val="18"/>
        <w:pageBreakBefore w:val="0"/>
        <w:numPr>
          <w:ilvl w:val="0"/>
          <w:numId w:val="2"/>
        </w:numPr>
        <w:kinsoku/>
        <w:wordWrap/>
        <w:overflowPunct/>
        <w:topLinePunct w:val="0"/>
        <w:autoSpaceDE/>
        <w:autoSpaceDN/>
        <w:bidi w:val="0"/>
        <w:snapToGrid w:val="0"/>
        <w:spacing w:before="0" w:after="0" w:line="560" w:lineRule="exact"/>
        <w:ind w:left="0" w:leftChars="0"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53724454">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按照《项目支出绩效评价管理办法》要求，成立绩效自评小组。绩效自评小组对自治区招商引资专项资金开展的各项工作进展情况进行汇总，收集绩效评价相关数据资料，选择评价方法，制定评价标准。绩效自评小组对资金使用情况及绩效目标完成情况进行综合分析，得出结论。根据绩效自评小组得出的最终结论，编写自治区招商引资专项资金绩效自评报告。</w:t>
      </w:r>
    </w:p>
    <w:p w14:paraId="0CD73DE3">
      <w:pPr>
        <w:pageBreakBefore w:val="0"/>
        <w:numPr>
          <w:ilvl w:val="0"/>
          <w:numId w:val="3"/>
        </w:numPr>
        <w:kinsoku/>
        <w:wordWrap/>
        <w:overflowPunct/>
        <w:topLinePunct w:val="0"/>
        <w:autoSpaceDE/>
        <w:autoSpaceDN/>
        <w:bidi w:val="0"/>
        <w:snapToGrid w:val="0"/>
        <w:spacing w:line="560" w:lineRule="exact"/>
        <w:ind w:left="0" w:leftChars="0" w:firstLine="640" w:firstLineChars="200"/>
        <w:rPr>
          <w:rFonts w:eastAsia="黑体"/>
          <w:sz w:val="32"/>
          <w:szCs w:val="32"/>
        </w:rPr>
      </w:pPr>
      <w:r>
        <w:rPr>
          <w:rFonts w:eastAsia="黑体"/>
          <w:sz w:val="32"/>
          <w:szCs w:val="32"/>
        </w:rPr>
        <w:t>综合评价情况及评价结论（附相关评分表）</w:t>
      </w:r>
    </w:p>
    <w:p w14:paraId="1DF52F98">
      <w:pPr>
        <w:pStyle w:val="18"/>
        <w:pageBreakBefore w:val="0"/>
        <w:widowControl w:val="0"/>
        <w:kinsoku/>
        <w:wordWrap/>
        <w:overflowPunct/>
        <w:topLinePunct w:val="0"/>
        <w:autoSpaceDE/>
        <w:autoSpaceDN/>
        <w:bidi w:val="0"/>
        <w:snapToGrid w:val="0"/>
        <w:spacing w:before="0" w:after="0" w:line="560" w:lineRule="exact"/>
        <w:ind w:left="0" w:leftChars="0" w:firstLine="640" w:firstLineChars="200"/>
        <w:jc w:val="both"/>
        <w:outlineLvl w:val="9"/>
        <w:rPr>
          <w:rFonts w:hint="eastAsia" w:ascii="仿宋_GB2312" w:hAnsi="仿宋_GB2312" w:eastAsia="仿宋_GB2312" w:cs="仿宋_GB2312"/>
          <w:b w:val="0"/>
          <w:bCs w:val="0"/>
          <w:kern w:val="0"/>
          <w:sz w:val="32"/>
          <w:szCs w:val="32"/>
          <w:lang w:val="en-US" w:eastAsia="zh-CN" w:bidi="ar-SA"/>
        </w:rPr>
      </w:pPr>
      <w:r>
        <w:rPr>
          <w:rFonts w:ascii="Times New Roman" w:hAnsi="Times New Roman" w:eastAsia="仿宋_GB2312"/>
          <w:b w:val="0"/>
          <w:bCs w:val="0"/>
        </w:rPr>
        <w:t>对</w:t>
      </w:r>
      <w:r>
        <w:rPr>
          <w:rFonts w:hint="eastAsia" w:ascii="仿宋_GB2312" w:hAnsi="仿宋_GB2312" w:eastAsia="仿宋_GB2312" w:cs="仿宋_GB2312"/>
          <w:sz w:val="32"/>
          <w:szCs w:val="32"/>
          <w:lang w:val="en-US" w:eastAsia="zh-CN"/>
        </w:rPr>
        <w:t>自治区招商引资专项工作经费</w:t>
      </w:r>
      <w:r>
        <w:rPr>
          <w:rFonts w:hint="eastAsia" w:ascii="仿宋_GB2312" w:hAnsi="仿宋_GB2312" w:eastAsia="仿宋_GB2312" w:cs="仿宋_GB2312"/>
          <w:b w:val="0"/>
          <w:bCs w:val="0"/>
          <w:kern w:val="0"/>
          <w:sz w:val="32"/>
          <w:szCs w:val="32"/>
          <w:lang w:val="en-US" w:eastAsia="zh-CN" w:bidi="ar-SA"/>
        </w:rPr>
        <w:t>项目进行客观评价，最终评分结果：总得分为100分，属于“优”。其中，项目决策类指标权重为20分，得分为20分，得分率为100%。项目过程类指标权重为20分，得分为20分，得分率为100%。项目产出类指标权重为40分，得分为20分，得分率为100%。项目效益类指标权重为20分，得分为20分，得分率为100%。</w:t>
      </w:r>
    </w:p>
    <w:p w14:paraId="059404D8">
      <w:pPr>
        <w:pStyle w:val="18"/>
        <w:pageBreakBefore w:val="0"/>
        <w:kinsoku/>
        <w:wordWrap/>
        <w:overflowPunct/>
        <w:topLinePunct w:val="0"/>
        <w:autoSpaceDE/>
        <w:autoSpaceDN/>
        <w:bidi w:val="0"/>
        <w:snapToGrid w:val="0"/>
        <w:spacing w:before="0" w:after="0" w:line="560" w:lineRule="exact"/>
        <w:ind w:left="0" w:leftChars="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1658D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051B1EBB">
            <w:pPr>
              <w:pageBreakBefore w:val="0"/>
              <w:widowControl/>
              <w:kinsoku/>
              <w:wordWrap/>
              <w:overflowPunct/>
              <w:topLinePunct w:val="0"/>
              <w:autoSpaceDE/>
              <w:autoSpaceDN/>
              <w:bidi w:val="0"/>
              <w:snapToGrid w:val="0"/>
              <w:spacing w:line="560" w:lineRule="exact"/>
              <w:ind w:left="0" w:leftChars="0"/>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33B52113">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1DC6CB4A">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4693A46A">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5A9FD38F">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23C6DEE9">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3188664D">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0487A88F">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6CAA4722">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得分</w:t>
            </w:r>
          </w:p>
        </w:tc>
      </w:tr>
      <w:tr w14:paraId="39513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E52DB6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决策　</w:t>
            </w:r>
          </w:p>
          <w:p w14:paraId="6687A4C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p w14:paraId="7D054EF7">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p w14:paraId="2ABE7CF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733F938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1797A98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6B3263FE">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立项依据充分性</w:t>
            </w:r>
          </w:p>
        </w:tc>
        <w:tc>
          <w:tcPr>
            <w:tcW w:w="727" w:type="dxa"/>
            <w:shd w:val="clear" w:color="auto" w:fill="FFFFFF"/>
            <w:vAlign w:val="center"/>
          </w:tcPr>
          <w:p w14:paraId="5192385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77C4D27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充分</w:t>
            </w:r>
          </w:p>
        </w:tc>
        <w:tc>
          <w:tcPr>
            <w:tcW w:w="924" w:type="dxa"/>
            <w:shd w:val="clear" w:color="auto" w:fill="FFFFFF"/>
            <w:vAlign w:val="center"/>
          </w:tcPr>
          <w:p w14:paraId="7AFF948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充分</w:t>
            </w:r>
          </w:p>
        </w:tc>
        <w:tc>
          <w:tcPr>
            <w:tcW w:w="1215" w:type="dxa"/>
            <w:shd w:val="clear" w:color="auto" w:fill="FFFFFF"/>
            <w:vAlign w:val="center"/>
          </w:tcPr>
          <w:p w14:paraId="51422CC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highlight w:val="yellow"/>
              </w:rPr>
            </w:pPr>
            <w:r>
              <w:rPr>
                <w:color w:val="000000"/>
                <w:kern w:val="0"/>
                <w:sz w:val="22"/>
                <w:szCs w:val="22"/>
              </w:rPr>
              <w:t>100%</w:t>
            </w:r>
          </w:p>
        </w:tc>
        <w:tc>
          <w:tcPr>
            <w:tcW w:w="960" w:type="dxa"/>
            <w:shd w:val="clear" w:color="auto" w:fill="FFFFFF"/>
            <w:vAlign w:val="center"/>
          </w:tcPr>
          <w:p w14:paraId="08A68FC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highlight w:val="yellow"/>
              </w:rPr>
            </w:pPr>
            <w:r>
              <w:rPr>
                <w:rFonts w:hint="eastAsia"/>
                <w:color w:val="000000"/>
                <w:kern w:val="0"/>
                <w:sz w:val="22"/>
                <w:szCs w:val="22"/>
              </w:rPr>
              <w:t>3</w:t>
            </w:r>
          </w:p>
        </w:tc>
      </w:tr>
      <w:tr w14:paraId="71595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D00C898">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AADB34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676B0F2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51A7652">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立项程序规范性</w:t>
            </w:r>
          </w:p>
        </w:tc>
        <w:tc>
          <w:tcPr>
            <w:tcW w:w="727" w:type="dxa"/>
            <w:shd w:val="clear" w:color="auto" w:fill="FFFFFF"/>
            <w:vAlign w:val="center"/>
          </w:tcPr>
          <w:p w14:paraId="72D36C2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1221946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规范</w:t>
            </w:r>
          </w:p>
        </w:tc>
        <w:tc>
          <w:tcPr>
            <w:tcW w:w="924" w:type="dxa"/>
            <w:shd w:val="clear" w:color="auto" w:fill="FFFFFF"/>
            <w:vAlign w:val="center"/>
          </w:tcPr>
          <w:p w14:paraId="1D35AD9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规范</w:t>
            </w:r>
          </w:p>
        </w:tc>
        <w:tc>
          <w:tcPr>
            <w:tcW w:w="1215" w:type="dxa"/>
            <w:shd w:val="clear" w:color="auto" w:fill="FFFFFF"/>
            <w:vAlign w:val="center"/>
          </w:tcPr>
          <w:p w14:paraId="19C2192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0DCE919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5FD79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F935FE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5EB7902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6DBC38B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5A9B8C5B">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绩效目标合理性</w:t>
            </w:r>
          </w:p>
        </w:tc>
        <w:tc>
          <w:tcPr>
            <w:tcW w:w="727" w:type="dxa"/>
            <w:shd w:val="clear" w:color="000000" w:fill="FFFFFF"/>
            <w:vAlign w:val="center"/>
          </w:tcPr>
          <w:p w14:paraId="282E5D3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C3ED58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7166CE3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w:t>
            </w:r>
          </w:p>
        </w:tc>
        <w:tc>
          <w:tcPr>
            <w:tcW w:w="1215" w:type="dxa"/>
            <w:shd w:val="clear" w:color="000000" w:fill="FFFFFF"/>
            <w:vAlign w:val="center"/>
          </w:tcPr>
          <w:p w14:paraId="253DCF2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630EF7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45224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91D43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74207EA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2B9AC1A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A401FDE">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绩效指标明确性</w:t>
            </w:r>
          </w:p>
        </w:tc>
        <w:tc>
          <w:tcPr>
            <w:tcW w:w="727" w:type="dxa"/>
            <w:shd w:val="clear" w:color="000000" w:fill="FFFFFF"/>
            <w:vAlign w:val="center"/>
          </w:tcPr>
          <w:p w14:paraId="57BA034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290647B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43BA974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明确</w:t>
            </w:r>
          </w:p>
        </w:tc>
        <w:tc>
          <w:tcPr>
            <w:tcW w:w="1215" w:type="dxa"/>
            <w:shd w:val="clear" w:color="000000" w:fill="FFFFFF"/>
            <w:vAlign w:val="center"/>
          </w:tcPr>
          <w:p w14:paraId="21FF013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65F3FA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61E7D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82F4F03">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5268015">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1FB2634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425716C9">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预算编制科学性</w:t>
            </w:r>
          </w:p>
        </w:tc>
        <w:tc>
          <w:tcPr>
            <w:tcW w:w="727" w:type="dxa"/>
            <w:shd w:val="clear" w:color="auto" w:fill="FFFFFF"/>
            <w:vAlign w:val="center"/>
          </w:tcPr>
          <w:p w14:paraId="09200F7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679E382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科学</w:t>
            </w:r>
          </w:p>
        </w:tc>
        <w:tc>
          <w:tcPr>
            <w:tcW w:w="924" w:type="dxa"/>
            <w:shd w:val="clear" w:color="auto" w:fill="FFFFFF"/>
            <w:vAlign w:val="center"/>
          </w:tcPr>
          <w:p w14:paraId="2668140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科学</w:t>
            </w:r>
          </w:p>
        </w:tc>
        <w:tc>
          <w:tcPr>
            <w:tcW w:w="1215" w:type="dxa"/>
            <w:shd w:val="clear" w:color="auto" w:fill="FFFFFF"/>
            <w:vAlign w:val="center"/>
          </w:tcPr>
          <w:p w14:paraId="3698A8B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4B2D42B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00D04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9310AD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16CF6DC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161EC1C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F7D5644">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资金分配合理性</w:t>
            </w:r>
          </w:p>
        </w:tc>
        <w:tc>
          <w:tcPr>
            <w:tcW w:w="727" w:type="dxa"/>
            <w:shd w:val="clear" w:color="auto" w:fill="FFFFFF"/>
            <w:vAlign w:val="center"/>
          </w:tcPr>
          <w:p w14:paraId="1D77C10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26DF4FA6">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合理</w:t>
            </w:r>
          </w:p>
        </w:tc>
        <w:tc>
          <w:tcPr>
            <w:tcW w:w="924" w:type="dxa"/>
            <w:shd w:val="clear" w:color="auto" w:fill="FFFFFF"/>
            <w:vAlign w:val="center"/>
          </w:tcPr>
          <w:p w14:paraId="26A61D9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合理</w:t>
            </w:r>
          </w:p>
        </w:tc>
        <w:tc>
          <w:tcPr>
            <w:tcW w:w="1215" w:type="dxa"/>
            <w:shd w:val="clear" w:color="auto" w:fill="FFFFFF"/>
            <w:vAlign w:val="center"/>
          </w:tcPr>
          <w:p w14:paraId="5EE6A6C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05B6BA8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042D6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9AC0ACB">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过程</w:t>
            </w:r>
          </w:p>
          <w:p w14:paraId="08BDE397">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F1171F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48D01E3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4D02F1E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资金到位率</w:t>
            </w:r>
          </w:p>
        </w:tc>
        <w:tc>
          <w:tcPr>
            <w:tcW w:w="727" w:type="dxa"/>
            <w:shd w:val="clear" w:color="000000" w:fill="FFFFFF"/>
            <w:vAlign w:val="center"/>
          </w:tcPr>
          <w:p w14:paraId="4496C96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C7628B3">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29CF662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466F2AC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1B075AA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0947F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654B4C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B292929">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701390BB">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357095A0">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预算执行率</w:t>
            </w:r>
          </w:p>
        </w:tc>
        <w:tc>
          <w:tcPr>
            <w:tcW w:w="727" w:type="dxa"/>
            <w:shd w:val="clear" w:color="auto" w:fill="FFFFFF"/>
            <w:vAlign w:val="center"/>
          </w:tcPr>
          <w:p w14:paraId="47EEA5B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21054FD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auto" w:fill="FFFFFF"/>
            <w:vAlign w:val="center"/>
          </w:tcPr>
          <w:p w14:paraId="274000DC">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auto" w:fill="FFFFFF"/>
            <w:vAlign w:val="center"/>
          </w:tcPr>
          <w:p w14:paraId="02DBFAF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2B60513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14CD2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9E0346">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7312A5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30C1E5C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4808EFB3">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资金使用合规性</w:t>
            </w:r>
          </w:p>
        </w:tc>
        <w:tc>
          <w:tcPr>
            <w:tcW w:w="727" w:type="dxa"/>
            <w:shd w:val="clear" w:color="000000" w:fill="FFFFFF"/>
            <w:vAlign w:val="center"/>
          </w:tcPr>
          <w:p w14:paraId="2C85157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50313894">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合格</w:t>
            </w:r>
          </w:p>
        </w:tc>
        <w:tc>
          <w:tcPr>
            <w:tcW w:w="924" w:type="dxa"/>
            <w:shd w:val="clear" w:color="000000" w:fill="FFFFFF"/>
            <w:vAlign w:val="center"/>
          </w:tcPr>
          <w:p w14:paraId="51BF0FC7">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合格</w:t>
            </w:r>
          </w:p>
        </w:tc>
        <w:tc>
          <w:tcPr>
            <w:tcW w:w="1215" w:type="dxa"/>
            <w:shd w:val="clear" w:color="000000" w:fill="FFFFFF"/>
            <w:vAlign w:val="center"/>
          </w:tcPr>
          <w:p w14:paraId="499E396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2F4C8F2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52470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34B67F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02CD4DF1">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727E96B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735CB21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管理制度健全性</w:t>
            </w:r>
          </w:p>
        </w:tc>
        <w:tc>
          <w:tcPr>
            <w:tcW w:w="727" w:type="dxa"/>
            <w:shd w:val="clear" w:color="000000" w:fill="FFFFFF"/>
            <w:vAlign w:val="center"/>
          </w:tcPr>
          <w:p w14:paraId="4FBD634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A6850E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健全</w:t>
            </w:r>
          </w:p>
        </w:tc>
        <w:tc>
          <w:tcPr>
            <w:tcW w:w="924" w:type="dxa"/>
            <w:shd w:val="clear" w:color="000000" w:fill="FFFFFF"/>
            <w:vAlign w:val="center"/>
          </w:tcPr>
          <w:p w14:paraId="1289086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健全</w:t>
            </w:r>
          </w:p>
        </w:tc>
        <w:tc>
          <w:tcPr>
            <w:tcW w:w="1215" w:type="dxa"/>
            <w:shd w:val="clear" w:color="000000" w:fill="FFFFFF"/>
            <w:vAlign w:val="center"/>
          </w:tcPr>
          <w:p w14:paraId="20FE260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30C8F0B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0EED2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67C4B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5C775B4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60CB7A6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7B128A91">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制度执行有效性</w:t>
            </w:r>
          </w:p>
        </w:tc>
        <w:tc>
          <w:tcPr>
            <w:tcW w:w="727" w:type="dxa"/>
            <w:shd w:val="clear" w:color="000000" w:fill="FFFFFF"/>
            <w:vAlign w:val="center"/>
          </w:tcPr>
          <w:p w14:paraId="546C120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F9EF1D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924" w:type="dxa"/>
            <w:shd w:val="clear" w:color="000000" w:fill="FFFFFF"/>
            <w:vAlign w:val="center"/>
          </w:tcPr>
          <w:p w14:paraId="63048A3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1215" w:type="dxa"/>
            <w:shd w:val="clear" w:color="000000" w:fill="FFFFFF"/>
            <w:vAlign w:val="center"/>
          </w:tcPr>
          <w:p w14:paraId="7DC2741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64654F2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134C3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8C0270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5ECF3E0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6E34101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5519863A">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实际完成率</w:t>
            </w:r>
          </w:p>
        </w:tc>
        <w:tc>
          <w:tcPr>
            <w:tcW w:w="727" w:type="dxa"/>
            <w:shd w:val="clear" w:color="000000" w:fill="FFFFFF"/>
            <w:vAlign w:val="center"/>
          </w:tcPr>
          <w:p w14:paraId="0EFEF3A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2AABB486">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2DF0B08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56FDDC1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76AB015D">
            <w:pPr>
              <w:pageBreakBefore w:val="0"/>
              <w:widowControl/>
              <w:kinsoku/>
              <w:wordWrap/>
              <w:overflowPunct/>
              <w:topLinePunct w:val="0"/>
              <w:autoSpaceDE/>
              <w:autoSpaceDN/>
              <w:bidi w:val="0"/>
              <w:snapToGrid w:val="0"/>
              <w:spacing w:line="560" w:lineRule="exact"/>
              <w:ind w:left="0" w:leftChars="0"/>
              <w:jc w:val="center"/>
              <w:rPr>
                <w:rFonts w:hint="default" w:eastAsia="宋体"/>
                <w:color w:val="000000"/>
                <w:kern w:val="0"/>
                <w:sz w:val="22"/>
                <w:szCs w:val="22"/>
                <w:lang w:val="en-US" w:eastAsia="zh-CN"/>
              </w:rPr>
            </w:pPr>
            <w:r>
              <w:rPr>
                <w:color w:val="000000"/>
                <w:kern w:val="0"/>
                <w:sz w:val="22"/>
                <w:szCs w:val="22"/>
              </w:rPr>
              <w:t>1</w:t>
            </w:r>
            <w:r>
              <w:rPr>
                <w:rFonts w:hint="eastAsia"/>
                <w:color w:val="000000"/>
                <w:kern w:val="0"/>
                <w:sz w:val="22"/>
                <w:szCs w:val="22"/>
              </w:rPr>
              <w:t>0</w:t>
            </w:r>
          </w:p>
        </w:tc>
      </w:tr>
      <w:tr w14:paraId="19B3E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B2BB16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B71147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4E93346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9CD879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质量达标率</w:t>
            </w:r>
          </w:p>
        </w:tc>
        <w:tc>
          <w:tcPr>
            <w:tcW w:w="727" w:type="dxa"/>
            <w:shd w:val="clear" w:color="000000" w:fill="FFFFFF"/>
            <w:vAlign w:val="center"/>
          </w:tcPr>
          <w:p w14:paraId="06A963F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w:t>
            </w:r>
          </w:p>
        </w:tc>
        <w:tc>
          <w:tcPr>
            <w:tcW w:w="1044" w:type="dxa"/>
            <w:shd w:val="clear" w:color="000000" w:fill="FFFFFF"/>
            <w:vAlign w:val="center"/>
          </w:tcPr>
          <w:p w14:paraId="64A8C83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2C287E97">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4C7BDB1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587DBB68">
            <w:pPr>
              <w:pageBreakBefore w:val="0"/>
              <w:widowControl/>
              <w:kinsoku/>
              <w:wordWrap/>
              <w:overflowPunct/>
              <w:topLinePunct w:val="0"/>
              <w:autoSpaceDE/>
              <w:autoSpaceDN/>
              <w:bidi w:val="0"/>
              <w:snapToGrid w:val="0"/>
              <w:spacing w:line="560" w:lineRule="exact"/>
              <w:ind w:left="0" w:leftChars="0"/>
              <w:jc w:val="center"/>
              <w:rPr>
                <w:rFonts w:hint="default" w:eastAsia="宋体"/>
                <w:color w:val="000000"/>
                <w:kern w:val="0"/>
                <w:sz w:val="22"/>
                <w:szCs w:val="22"/>
                <w:lang w:val="en-US" w:eastAsia="zh-CN"/>
              </w:rPr>
            </w:pPr>
            <w:r>
              <w:rPr>
                <w:color w:val="000000"/>
                <w:kern w:val="0"/>
                <w:sz w:val="22"/>
                <w:szCs w:val="22"/>
              </w:rPr>
              <w:t>1</w:t>
            </w:r>
            <w:r>
              <w:rPr>
                <w:rFonts w:hint="eastAsia"/>
                <w:color w:val="000000"/>
                <w:kern w:val="0"/>
                <w:sz w:val="22"/>
                <w:szCs w:val="22"/>
              </w:rPr>
              <w:t>0</w:t>
            </w:r>
          </w:p>
        </w:tc>
      </w:tr>
      <w:tr w14:paraId="7416D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DF945F8">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77B7EE81">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6417C54A">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5493FBA7">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完成及时性</w:t>
            </w:r>
          </w:p>
        </w:tc>
        <w:tc>
          <w:tcPr>
            <w:tcW w:w="727" w:type="dxa"/>
            <w:shd w:val="clear" w:color="000000" w:fill="FFFFFF"/>
            <w:vAlign w:val="center"/>
          </w:tcPr>
          <w:p w14:paraId="037B046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283DE0A6">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及时</w:t>
            </w:r>
          </w:p>
        </w:tc>
        <w:tc>
          <w:tcPr>
            <w:tcW w:w="924" w:type="dxa"/>
            <w:shd w:val="clear" w:color="000000" w:fill="FFFFFF"/>
            <w:vAlign w:val="center"/>
          </w:tcPr>
          <w:p w14:paraId="7B2B7B7D">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及时</w:t>
            </w:r>
          </w:p>
        </w:tc>
        <w:tc>
          <w:tcPr>
            <w:tcW w:w="1215" w:type="dxa"/>
            <w:shd w:val="clear" w:color="000000" w:fill="FFFFFF"/>
            <w:vAlign w:val="center"/>
          </w:tcPr>
          <w:p w14:paraId="39A4B60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6779FD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r>
      <w:tr w14:paraId="62CFA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7B08AF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6F0FAF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63C8EBB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ED58CD7">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成本节约率</w:t>
            </w:r>
          </w:p>
        </w:tc>
        <w:tc>
          <w:tcPr>
            <w:tcW w:w="727" w:type="dxa"/>
            <w:shd w:val="clear" w:color="000000" w:fill="FFFFFF"/>
            <w:vAlign w:val="center"/>
          </w:tcPr>
          <w:p w14:paraId="7816B33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w:t>
            </w:r>
          </w:p>
        </w:tc>
        <w:tc>
          <w:tcPr>
            <w:tcW w:w="1044" w:type="dxa"/>
            <w:shd w:val="clear" w:color="000000" w:fill="FFFFFF"/>
            <w:vAlign w:val="center"/>
          </w:tcPr>
          <w:p w14:paraId="6811B897">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7810DC8B">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15B77EF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7B8374B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r>
      <w:tr w14:paraId="69A3F8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0" w:hRule="atLeast"/>
        </w:trPr>
        <w:tc>
          <w:tcPr>
            <w:tcW w:w="1104" w:type="dxa"/>
            <w:vMerge w:val="restart"/>
            <w:shd w:val="clear" w:color="auto" w:fill="FFFFFF"/>
            <w:vAlign w:val="center"/>
          </w:tcPr>
          <w:p w14:paraId="77485AC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35E22CB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2106D72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58A4D117">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实施效益</w:t>
            </w:r>
          </w:p>
          <w:p w14:paraId="503ECD6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（社会效益、经济效益、可持续效益）</w:t>
            </w:r>
          </w:p>
        </w:tc>
        <w:tc>
          <w:tcPr>
            <w:tcW w:w="727" w:type="dxa"/>
            <w:shd w:val="clear" w:color="auto" w:fill="FFFFFF"/>
            <w:vAlign w:val="center"/>
          </w:tcPr>
          <w:p w14:paraId="0FF4A1F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606FD176">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924" w:type="dxa"/>
            <w:shd w:val="clear" w:color="auto" w:fill="FFFFFF"/>
            <w:vAlign w:val="center"/>
          </w:tcPr>
          <w:p w14:paraId="4C223A80">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1215" w:type="dxa"/>
            <w:shd w:val="clear" w:color="auto" w:fill="FFFFFF"/>
            <w:vAlign w:val="center"/>
          </w:tcPr>
          <w:p w14:paraId="3547350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0F52411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15</w:t>
            </w:r>
          </w:p>
        </w:tc>
      </w:tr>
      <w:tr w14:paraId="08CE0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3C51CD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35540B7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4DDA29D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D50E0C5">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满意度</w:t>
            </w:r>
          </w:p>
        </w:tc>
        <w:tc>
          <w:tcPr>
            <w:tcW w:w="727" w:type="dxa"/>
            <w:shd w:val="clear" w:color="000000" w:fill="FFFFFF"/>
            <w:vAlign w:val="center"/>
          </w:tcPr>
          <w:p w14:paraId="37E9036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2BC0E2EC">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w:t>
            </w:r>
            <w:r>
              <w:rPr>
                <w:rFonts w:hint="eastAsia" w:eastAsia="宋体"/>
                <w:color w:val="000000"/>
                <w:kern w:val="0"/>
                <w:sz w:val="22"/>
                <w:szCs w:val="22"/>
                <w:lang w:val="en-US" w:eastAsia="zh-CN"/>
              </w:rPr>
              <w:t>90</w:t>
            </w:r>
            <w:r>
              <w:rPr>
                <w:rFonts w:eastAsia="宋体"/>
                <w:color w:val="000000"/>
                <w:kern w:val="0"/>
                <w:sz w:val="22"/>
                <w:szCs w:val="22"/>
              </w:rPr>
              <w:t>%</w:t>
            </w:r>
          </w:p>
        </w:tc>
        <w:tc>
          <w:tcPr>
            <w:tcW w:w="924" w:type="dxa"/>
            <w:shd w:val="clear" w:color="000000" w:fill="FFFFFF"/>
            <w:vAlign w:val="center"/>
          </w:tcPr>
          <w:p w14:paraId="5BFA3D78">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95</w:t>
            </w:r>
            <w:r>
              <w:rPr>
                <w:rFonts w:eastAsia="宋体"/>
                <w:color w:val="000000"/>
                <w:kern w:val="0"/>
                <w:sz w:val="22"/>
                <w:szCs w:val="22"/>
              </w:rPr>
              <w:t>%</w:t>
            </w:r>
          </w:p>
        </w:tc>
        <w:tc>
          <w:tcPr>
            <w:tcW w:w="1215" w:type="dxa"/>
            <w:shd w:val="clear" w:color="000000" w:fill="FFFFFF"/>
            <w:vAlign w:val="center"/>
          </w:tcPr>
          <w:p w14:paraId="45A6E03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C0E8F1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5</w:t>
            </w:r>
          </w:p>
        </w:tc>
      </w:tr>
    </w:tbl>
    <w:p w14:paraId="509414CA">
      <w:pPr>
        <w:pageBreakBefore w:val="0"/>
        <w:kinsoku/>
        <w:wordWrap/>
        <w:overflowPunct/>
        <w:topLinePunct w:val="0"/>
        <w:autoSpaceDE/>
        <w:autoSpaceDN/>
        <w:bidi w:val="0"/>
        <w:snapToGrid w:val="0"/>
        <w:spacing w:line="560" w:lineRule="exact"/>
        <w:ind w:left="0" w:leftChars="0" w:firstLine="320" w:firstLineChars="100"/>
        <w:rPr>
          <w:rFonts w:eastAsia="黑体"/>
          <w:sz w:val="32"/>
          <w:szCs w:val="32"/>
        </w:rPr>
      </w:pPr>
    </w:p>
    <w:p w14:paraId="0EEA22B9">
      <w:pPr>
        <w:pageBreakBefore w:val="0"/>
        <w:kinsoku/>
        <w:wordWrap/>
        <w:overflowPunct/>
        <w:topLinePunct w:val="0"/>
        <w:autoSpaceDE/>
        <w:autoSpaceDN/>
        <w:bidi w:val="0"/>
        <w:snapToGrid w:val="0"/>
        <w:spacing w:line="560" w:lineRule="exact"/>
        <w:ind w:left="0" w:leftChars="0" w:firstLine="320" w:firstLineChars="100"/>
        <w:rPr>
          <w:rFonts w:eastAsia="黑体"/>
          <w:sz w:val="32"/>
          <w:szCs w:val="32"/>
        </w:rPr>
      </w:pPr>
      <w:r>
        <w:rPr>
          <w:rFonts w:eastAsia="黑体"/>
          <w:sz w:val="32"/>
          <w:szCs w:val="32"/>
        </w:rPr>
        <w:t>四、绩效评价指标分析</w:t>
      </w:r>
    </w:p>
    <w:p w14:paraId="0A537B2E">
      <w:pPr>
        <w:pStyle w:val="18"/>
        <w:pageBreakBefore w:val="0"/>
        <w:kinsoku/>
        <w:wordWrap/>
        <w:overflowPunct/>
        <w:topLinePunct w:val="0"/>
        <w:autoSpaceDE/>
        <w:autoSpaceDN/>
        <w:bidi w:val="0"/>
        <w:snapToGrid w:val="0"/>
        <w:spacing w:before="0" w:after="0" w:line="560" w:lineRule="exact"/>
        <w:ind w:left="0" w:leftChars="0" w:firstLine="321" w:firstLineChars="100"/>
        <w:jc w:val="both"/>
        <w:rPr>
          <w:rFonts w:ascii="Times New Roman" w:hAnsi="Times New Roman" w:eastAsia="楷体_GB2312"/>
        </w:rPr>
      </w:pPr>
      <w:r>
        <w:rPr>
          <w:rFonts w:ascii="Times New Roman" w:hAnsi="Times New Roman" w:eastAsia="楷体_GB2312"/>
        </w:rPr>
        <w:t>（一）项目决策情况</w:t>
      </w:r>
    </w:p>
    <w:p w14:paraId="6BC82449">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严格按照各项活动事前事后审批要求，通过逐级审批决策确定实施项目，主要组织开展的重点活动，均为自治区确定的重点活动，我厅做为主办，按照分工要求，由我处负责具体项目实施。在项目实施前，项目决策过程均按照具体公文程序进行，经过层层决策同意后，才进行实施。</w:t>
      </w:r>
    </w:p>
    <w:p w14:paraId="5487935F">
      <w:pPr>
        <w:pStyle w:val="18"/>
        <w:pageBreakBefore w:val="0"/>
        <w:kinsoku/>
        <w:wordWrap/>
        <w:overflowPunct/>
        <w:topLinePunct w:val="0"/>
        <w:autoSpaceDE/>
        <w:autoSpaceDN/>
        <w:bidi w:val="0"/>
        <w:snapToGrid w:val="0"/>
        <w:spacing w:before="0" w:after="0" w:line="560" w:lineRule="exact"/>
        <w:ind w:left="0" w:leftChars="0" w:firstLine="321" w:firstLineChars="100"/>
        <w:jc w:val="both"/>
        <w:rPr>
          <w:rFonts w:hint="eastAsia" w:ascii="Times New Roman" w:hAnsi="Times New Roman" w:eastAsia="楷体_GB2312"/>
          <w:lang w:val="en-US" w:eastAsia="zh-CN"/>
        </w:rPr>
      </w:pPr>
      <w:r>
        <w:rPr>
          <w:rFonts w:hint="eastAsia" w:ascii="Times New Roman" w:hAnsi="Times New Roman" w:eastAsia="楷体_GB2312"/>
          <w:lang w:val="en-US" w:eastAsia="zh-CN"/>
        </w:rPr>
        <w:t>（二）项目过程情况</w:t>
      </w:r>
    </w:p>
    <w:p w14:paraId="3801F29B">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上半年，为进一步加强新疆工业基本情况和产业优势的宣传推介工作，围绕加快打造以“八大产业集群”为支撑的现代产业体系的重点工作，设计制作《自治区工业和信息化领域投资指南》，内容包括新疆概况、重点产业、各地州概况、园区平台、投资成本和优惠政策六个方面，经征求相关业务处室意见和反复修改后，完成投资指南的印制。</w:t>
      </w:r>
    </w:p>
    <w:p w14:paraId="65ECE439">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7月，为指导做好产业规划、园区建设、重点项目、招商引资等工作，促进工业稳增长，实现开门红，组织相关处室赴和田地区，深入园区、企业实地调研，与地县两级和工业园区、企业面对面座谈交流，实地调查了解工业运行和企业发展情况，帮助协调解决产业发展中遇到的困难问题。牵头完成了关于和田地区、策勒县工业经济发展的两份调研报告的撰写工作。</w:t>
      </w:r>
    </w:p>
    <w:p w14:paraId="43D20777">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11月，在疫情防控常态化形势下，于11月9日至10日组织全区（含兵团）工信系统、园区招商干部及工信领域社会组织举办了2022新疆工信厅“招商云课堂”线上论坛。全区13个地（州、市）、县（市、区）、兵团工信部门和园区的招商干部以及工信领域行业协会商会及企业家代表共600余人在线参会。</w:t>
      </w:r>
    </w:p>
    <w:p w14:paraId="2C32EAD6">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根据相关要求做好每项工作预算，项目实施前，按照公文，逐级签批确定项目使用预算报告或活动申请，项目期间采用公务卡预支，严格各项开销，会议结束后严格根据报销规定及要求进行结算。</w:t>
      </w:r>
    </w:p>
    <w:p w14:paraId="0F1AB262">
      <w:pPr>
        <w:pStyle w:val="18"/>
        <w:pageBreakBefore w:val="0"/>
        <w:kinsoku/>
        <w:wordWrap/>
        <w:overflowPunct/>
        <w:topLinePunct w:val="0"/>
        <w:autoSpaceDE/>
        <w:autoSpaceDN/>
        <w:bidi w:val="0"/>
        <w:snapToGrid w:val="0"/>
        <w:spacing w:before="0" w:after="0" w:line="560" w:lineRule="exact"/>
        <w:ind w:left="0" w:leftChars="0"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448344B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数量指标方面：</w:t>
      </w:r>
    </w:p>
    <w:p w14:paraId="5533C3F1">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a.主承办或组团参加境内外展会场次指标，指标值为2场，实际完成2场，完成率100%，偏差率0。</w:t>
      </w:r>
    </w:p>
    <w:p w14:paraId="5A89052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b.对前来我区考察、洽谈项目的企业客商举办招商引资投资洽谈活动指标，指标值为2次，实际完成2次，，完成率100%，偏差率0。</w:t>
      </w:r>
    </w:p>
    <w:p w14:paraId="26A7493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c.招商引资合同项目意向签订数指标，指标值为5个，实际完成15个，完成率100%，偏差率0。</w:t>
      </w:r>
    </w:p>
    <w:p w14:paraId="305E03E8">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质量指标方面：</w:t>
      </w:r>
    </w:p>
    <w:p w14:paraId="61D5CBB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a.累计参加展会和论坛出展率指标，指标值为90%，实际完成100%，完成率100%，偏差率0。</w:t>
      </w:r>
    </w:p>
    <w:p w14:paraId="11F0AC0B">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时效指标方面：</w:t>
      </w:r>
    </w:p>
    <w:p w14:paraId="53DDCAD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a.展会按期完成率指标，指标值为90%，实际完成100%，完成率100%，偏差率0。</w:t>
      </w:r>
    </w:p>
    <w:p w14:paraId="144A37F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成本指标方面：</w:t>
      </w:r>
    </w:p>
    <w:p w14:paraId="67A9854D">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a.开展线上线下招商引资活动场地、设备租赁费指标，指标值为1万元，实际完成1万元，完成率100%，偏差率0。</w:t>
      </w:r>
    </w:p>
    <w:p w14:paraId="1B3BC72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b.云招商平台建设完善费用指标，指标值为4万元，实际完成4万元，完成率100%，偏差率0。</w:t>
      </w:r>
    </w:p>
    <w:p w14:paraId="7AFABE38">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c.外出办会参展差旅费指标，指标值为2万元，实际完成2万元，完成率100%，偏差率0。</w:t>
      </w:r>
    </w:p>
    <w:p w14:paraId="26684D6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d.其他委托业务费指标，指标值为12万元，实际完成12万元，完成率100%，偏差率0。</w:t>
      </w:r>
    </w:p>
    <w:p w14:paraId="283FFF2A">
      <w:pPr>
        <w:pStyle w:val="18"/>
        <w:pageBreakBefore w:val="0"/>
        <w:kinsoku/>
        <w:wordWrap/>
        <w:overflowPunct/>
        <w:topLinePunct w:val="0"/>
        <w:autoSpaceDE/>
        <w:autoSpaceDN/>
        <w:bidi w:val="0"/>
        <w:snapToGrid w:val="0"/>
        <w:spacing w:before="0" w:after="0" w:line="560" w:lineRule="exact"/>
        <w:ind w:left="0" w:leftChars="0" w:firstLine="643" w:firstLineChars="200"/>
        <w:jc w:val="both"/>
        <w:rPr>
          <w:rFonts w:hint="eastAsia" w:ascii="Times New Roman" w:hAnsi="Times New Roman" w:eastAsia="楷体_GB2312"/>
          <w:lang w:val="en-US" w:eastAsia="zh-CN"/>
        </w:rPr>
      </w:pPr>
      <w:r>
        <w:rPr>
          <w:rFonts w:hint="eastAsia" w:ascii="Times New Roman" w:hAnsi="Times New Roman" w:eastAsia="楷体_GB2312"/>
          <w:lang w:val="en-US" w:eastAsia="zh-CN"/>
        </w:rPr>
        <w:t>（四）效益情况</w:t>
      </w:r>
    </w:p>
    <w:p w14:paraId="2836B5B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社会效益指标方面：</w:t>
      </w:r>
    </w:p>
    <w:p w14:paraId="4B0458B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a.逐步健全招商引资机制，打造政企沟通新模式指标，指标值为效果显著，实际完成效果显著，完成率100%，偏差率0。</w:t>
      </w:r>
    </w:p>
    <w:p w14:paraId="10502DA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满意度指标方面：</w:t>
      </w:r>
    </w:p>
    <w:p w14:paraId="5BB06BB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a.企业对专题招商活动的满意度指标，指标值为90%，实际完成100%，完成率100%，偏差率0。</w:t>
      </w:r>
    </w:p>
    <w:p w14:paraId="19770908">
      <w:pPr>
        <w:pageBreakBefore w:val="0"/>
        <w:kinsoku/>
        <w:wordWrap/>
        <w:overflowPunct/>
        <w:topLinePunct w:val="0"/>
        <w:autoSpaceDE/>
        <w:autoSpaceDN/>
        <w:bidi w:val="0"/>
        <w:snapToGrid w:val="0"/>
        <w:spacing w:line="560" w:lineRule="exact"/>
        <w:ind w:left="0" w:leftChars="0"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4E161D57">
      <w:pPr>
        <w:pageBreakBefore w:val="0"/>
        <w:kinsoku/>
        <w:wordWrap/>
        <w:overflowPunct/>
        <w:topLinePunct w:val="0"/>
        <w:autoSpaceDE/>
        <w:autoSpaceDN/>
        <w:bidi w:val="0"/>
        <w:snapToGrid w:val="0"/>
        <w:spacing w:line="560" w:lineRule="exact"/>
        <w:ind w:left="0" w:leftChars="0" w:firstLine="627" w:firstLineChars="200"/>
        <w:rPr>
          <w:rFonts w:eastAsia="楷体"/>
          <w:b/>
          <w:spacing w:val="-4"/>
          <w:sz w:val="32"/>
          <w:szCs w:val="32"/>
        </w:rPr>
      </w:pPr>
      <w:r>
        <w:rPr>
          <w:rFonts w:eastAsia="楷体"/>
          <w:b/>
          <w:spacing w:val="-4"/>
          <w:sz w:val="32"/>
          <w:szCs w:val="32"/>
        </w:rPr>
        <w:t>（一）主要经验及做法</w:t>
      </w:r>
    </w:p>
    <w:p w14:paraId="412EAF64">
      <w:pPr>
        <w:pageBreakBefore w:val="0"/>
        <w:kinsoku/>
        <w:wordWrap/>
        <w:overflowPunct/>
        <w:topLinePunct w:val="0"/>
        <w:autoSpaceDE/>
        <w:autoSpaceDN/>
        <w:bidi w:val="0"/>
        <w:snapToGrid w:val="0"/>
        <w:spacing w:line="560" w:lineRule="exact"/>
        <w:ind w:left="0" w:leftChars="0" w:firstLine="640" w:firstLineChars="200"/>
        <w:rPr>
          <w:rFonts w:eastAsia="仿宋_GB2312"/>
          <w:sz w:val="32"/>
          <w:szCs w:val="32"/>
        </w:rPr>
      </w:pPr>
      <w:r>
        <w:rPr>
          <w:rFonts w:eastAsia="仿宋_GB2312"/>
          <w:sz w:val="32"/>
          <w:szCs w:val="32"/>
        </w:rPr>
        <w:t>为确保</w:t>
      </w:r>
      <w:r>
        <w:rPr>
          <w:rFonts w:hint="eastAsia" w:eastAsia="仿宋_GB2312"/>
          <w:sz w:val="32"/>
          <w:szCs w:val="32"/>
          <w:lang w:val="en-US" w:eastAsia="zh-CN"/>
        </w:rPr>
        <w:t>2023年招商引资专项资金使用</w:t>
      </w:r>
      <w:r>
        <w:rPr>
          <w:rFonts w:eastAsia="仿宋_GB2312"/>
          <w:sz w:val="32"/>
          <w:szCs w:val="32"/>
        </w:rPr>
        <w:t>项目顺利进行，</w:t>
      </w:r>
      <w:r>
        <w:rPr>
          <w:rFonts w:hint="eastAsia" w:eastAsia="仿宋_GB2312"/>
          <w:sz w:val="32"/>
          <w:szCs w:val="32"/>
          <w:lang w:eastAsia="zh-CN"/>
        </w:rPr>
        <w:t>我处</w:t>
      </w:r>
      <w:r>
        <w:rPr>
          <w:rFonts w:eastAsia="仿宋_GB2312"/>
          <w:sz w:val="32"/>
          <w:szCs w:val="32"/>
        </w:rPr>
        <w:t>提前做好项目</w:t>
      </w:r>
      <w:r>
        <w:rPr>
          <w:rFonts w:hint="eastAsia" w:eastAsia="仿宋_GB2312"/>
          <w:sz w:val="32"/>
          <w:szCs w:val="32"/>
          <w:lang w:eastAsia="zh-CN"/>
        </w:rPr>
        <w:t>计划并按照程序对</w:t>
      </w:r>
      <w:r>
        <w:rPr>
          <w:rFonts w:eastAsia="仿宋_GB2312"/>
          <w:sz w:val="32"/>
          <w:szCs w:val="32"/>
        </w:rPr>
        <w:t>计划再三审核。在项目实施过程中严格按照项目管理规范进行，在项目资金使用过程中，严格落实把关，按照项目资金使用范围做好审核工作，让项目资金落于实处。</w:t>
      </w:r>
      <w:r>
        <w:rPr>
          <w:rFonts w:hint="eastAsia" w:eastAsia="仿宋_GB2312"/>
          <w:sz w:val="32"/>
          <w:szCs w:val="32"/>
          <w:lang w:val="en-US" w:eastAsia="zh-CN"/>
        </w:rPr>
        <w:t>圆满完成了新疆工业和信息化领域投资指南和招商引资宣传片的设计制作</w:t>
      </w:r>
      <w:r>
        <w:rPr>
          <w:rFonts w:eastAsia="仿宋_GB2312"/>
          <w:sz w:val="32"/>
          <w:szCs w:val="32"/>
        </w:rPr>
        <w:t>，</w:t>
      </w:r>
      <w:r>
        <w:rPr>
          <w:rFonts w:hint="eastAsia" w:eastAsia="仿宋_GB2312"/>
          <w:sz w:val="32"/>
          <w:szCs w:val="32"/>
          <w:lang w:eastAsia="zh-CN"/>
        </w:rPr>
        <w:t>先后举办的深圳产业对接会、</w:t>
      </w:r>
      <w:r>
        <w:rPr>
          <w:rFonts w:hint="eastAsia" w:eastAsia="仿宋_GB2312"/>
          <w:sz w:val="32"/>
          <w:szCs w:val="32"/>
          <w:lang w:val="en-US" w:eastAsia="zh-CN"/>
        </w:rPr>
        <w:t>500强企业进新疆、新疆产业转移对接会等活动取得实效并得到现场参会企业好评。</w:t>
      </w:r>
    </w:p>
    <w:p w14:paraId="7302E453">
      <w:pPr>
        <w:keepNext/>
        <w:keepLines/>
        <w:pageBreakBefore w:val="0"/>
        <w:numPr>
          <w:ilvl w:val="0"/>
          <w:numId w:val="4"/>
        </w:numPr>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存在的问题及原因分析</w:t>
      </w:r>
    </w:p>
    <w:p w14:paraId="33F22C99">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存在的问题是社会效益是动态的，只能体现一定时间节点前的情况。因招商引资过程属于长期过程，有的推介会、宣传会等项目虽然时期内完成了工作任务，但不是立即能看到工作效果的，具体成效是一个长期显现的过程，且有的招商引资企业虽然当时达成协议或投资，但是一定时期后经过实践又出现了各种如撤资等影响投资的情况，因此社会效益是动态的，且只能体现具体时间节点前的情况。</w:t>
      </w:r>
    </w:p>
    <w:p w14:paraId="17C26B15">
      <w:pPr>
        <w:pageBreakBefore w:val="0"/>
        <w:kinsoku/>
        <w:wordWrap/>
        <w:overflowPunct/>
        <w:topLinePunct w:val="0"/>
        <w:autoSpaceDE/>
        <w:autoSpaceDN/>
        <w:bidi w:val="0"/>
        <w:snapToGrid w:val="0"/>
        <w:spacing w:line="560" w:lineRule="exact"/>
        <w:ind w:left="0" w:leftChars="0" w:firstLine="640" w:firstLineChars="200"/>
        <w:rPr>
          <w:rFonts w:hint="eastAsia" w:eastAsia="黑体"/>
          <w:sz w:val="32"/>
          <w:szCs w:val="32"/>
          <w:lang w:val="en-US" w:eastAsia="zh-CN"/>
        </w:rPr>
      </w:pPr>
      <w:r>
        <w:rPr>
          <w:rFonts w:hint="eastAsia" w:eastAsia="黑体"/>
          <w:sz w:val="32"/>
          <w:szCs w:val="32"/>
          <w:lang w:val="en-US" w:eastAsia="zh-CN"/>
        </w:rPr>
        <w:t>六、有关建议</w:t>
      </w:r>
    </w:p>
    <w:p w14:paraId="44BF1050">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sz w:val="32"/>
          <w:szCs w:val="32"/>
          <w:lang w:val="en-US" w:eastAsia="zh-CN"/>
        </w:rPr>
        <w:t>针对当前对开展招商引资工作的新要求，进一步加强对绩效管理工作的组织领导，提高对</w:t>
      </w:r>
      <w:r>
        <w:rPr>
          <w:rFonts w:hint="eastAsia" w:ascii="仿宋_GB2312" w:hAnsi="仿宋_GB2312" w:eastAsia="仿宋_GB2312" w:cs="仿宋_GB2312"/>
          <w:sz w:val="32"/>
          <w:szCs w:val="28"/>
        </w:rPr>
        <w:t>预算绩效管理工作重要性的认识，让“花钱必问效，无效必问责”的理念深入工作每个环节。</w:t>
      </w:r>
    </w:p>
    <w:p w14:paraId="38820724">
      <w:pPr>
        <w:pageBreakBefore w:val="0"/>
        <w:numPr>
          <w:ilvl w:val="0"/>
          <w:numId w:val="5"/>
        </w:numPr>
        <w:kinsoku/>
        <w:wordWrap/>
        <w:overflowPunct/>
        <w:topLinePunct w:val="0"/>
        <w:autoSpaceDE/>
        <w:autoSpaceDN/>
        <w:bidi w:val="0"/>
        <w:snapToGrid w:val="0"/>
        <w:spacing w:line="560" w:lineRule="exact"/>
        <w:ind w:left="0" w:leftChars="0"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772D2840">
      <w:pPr>
        <w:pageBreakBefore w:val="0"/>
        <w:kinsoku/>
        <w:wordWrap/>
        <w:overflowPunct/>
        <w:topLinePunct w:val="0"/>
        <w:autoSpaceDE/>
        <w:autoSpaceDN/>
        <w:bidi w:val="0"/>
        <w:snapToGrid w:val="0"/>
        <w:spacing w:line="560" w:lineRule="exact"/>
        <w:ind w:left="0" w:leftChars="0" w:firstLine="640" w:firstLineChars="200"/>
        <w:rPr>
          <w:rStyle w:val="22"/>
          <w:rFonts w:eastAsia="仿宋"/>
          <w:b w:val="0"/>
          <w:spacing w:val="-4"/>
          <w:sz w:val="32"/>
          <w:szCs w:val="32"/>
        </w:rPr>
      </w:pPr>
      <w:r>
        <w:rPr>
          <w:rFonts w:hint="eastAsia" w:ascii="仿宋_GB2312" w:hAnsi="仿宋_GB2312" w:eastAsia="仿宋_GB2312" w:cs="仿宋_GB2312"/>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E956B83">
        <w:pPr>
          <w:pStyle w:val="15"/>
          <w:jc w:val="center"/>
        </w:pPr>
        <w:r>
          <w:fldChar w:fldCharType="begin"/>
        </w:r>
        <w:r>
          <w:instrText xml:space="preserve">PAGE   \* MERGEFORMAT</w:instrText>
        </w:r>
        <w:r>
          <w:fldChar w:fldCharType="separate"/>
        </w:r>
        <w:r>
          <w:rPr>
            <w:lang w:val="zh-CN"/>
          </w:rPr>
          <w:t>17</w:t>
        </w:r>
        <w:r>
          <w:fldChar w:fldCharType="end"/>
        </w:r>
      </w:p>
    </w:sdtContent>
  </w:sdt>
  <w:p w14:paraId="261DE753">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E657C5"/>
    <w:rsid w:val="133C6E2A"/>
    <w:rsid w:val="13716374"/>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4811A51"/>
    <w:rsid w:val="38872456"/>
    <w:rsid w:val="3963178C"/>
    <w:rsid w:val="3BA5236D"/>
    <w:rsid w:val="3CED0699"/>
    <w:rsid w:val="3DFFDCE6"/>
    <w:rsid w:val="3EB02FD6"/>
    <w:rsid w:val="3EEF1A15"/>
    <w:rsid w:val="41CC2676"/>
    <w:rsid w:val="46B21672"/>
    <w:rsid w:val="4DBF27E9"/>
    <w:rsid w:val="4EAD7AD0"/>
    <w:rsid w:val="4F552460"/>
    <w:rsid w:val="4FCC6863"/>
    <w:rsid w:val="500A214A"/>
    <w:rsid w:val="522D604D"/>
    <w:rsid w:val="5297585E"/>
    <w:rsid w:val="52AD7D6F"/>
    <w:rsid w:val="5549519D"/>
    <w:rsid w:val="5557596B"/>
    <w:rsid w:val="5B596DFC"/>
    <w:rsid w:val="5DAE6D00"/>
    <w:rsid w:val="5DF03945"/>
    <w:rsid w:val="5E376A8B"/>
    <w:rsid w:val="5F03526B"/>
    <w:rsid w:val="5F7D9F1C"/>
    <w:rsid w:val="62E515AF"/>
    <w:rsid w:val="637C2815"/>
    <w:rsid w:val="666B4FDC"/>
    <w:rsid w:val="67FF13C8"/>
    <w:rsid w:val="682144B7"/>
    <w:rsid w:val="6B503F77"/>
    <w:rsid w:val="6E311968"/>
    <w:rsid w:val="7A353D0B"/>
    <w:rsid w:val="7CB927D8"/>
    <w:rsid w:val="7D3A5E2F"/>
    <w:rsid w:val="7FFE27F3"/>
    <w:rsid w:val="BABBC5D7"/>
    <w:rsid w:val="CFDF152E"/>
    <w:rsid w:val="DCBFAA14"/>
    <w:rsid w:val="DFDC792D"/>
    <w:rsid w:val="DFFF8FBA"/>
    <w:rsid w:val="FBFF9D34"/>
    <w:rsid w:val="FF9FB56B"/>
    <w:rsid w:val="FFBD367B"/>
    <w:rsid w:val="FFD78E5D"/>
    <w:rsid w:val="FFEDB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4"/>
    <w:qFormat/>
    <w:uiPriority w:val="9"/>
    <w:rPr>
      <w:rFonts w:asciiTheme="majorHAnsi" w:hAnsiTheme="majorHAnsi" w:eastAsiaTheme="majorEastAsia"/>
      <w:b/>
      <w:bCs/>
      <w:kern w:val="32"/>
      <w:sz w:val="32"/>
      <w:szCs w:val="32"/>
    </w:rPr>
  </w:style>
  <w:style w:type="character" w:customStyle="1" w:styleId="25">
    <w:name w:val="标题 2 字符"/>
    <w:basedOn w:val="21"/>
    <w:link w:val="5"/>
    <w:semiHidden/>
    <w:qFormat/>
    <w:uiPriority w:val="9"/>
    <w:rPr>
      <w:rFonts w:asciiTheme="majorHAnsi" w:hAnsiTheme="majorHAnsi" w:eastAsiaTheme="majorEastAsia"/>
      <w:b/>
      <w:bCs/>
      <w:i/>
      <w:iCs/>
      <w:sz w:val="28"/>
      <w:szCs w:val="28"/>
    </w:rPr>
  </w:style>
  <w:style w:type="character" w:customStyle="1" w:styleId="26">
    <w:name w:val="标题 3 字符"/>
    <w:basedOn w:val="21"/>
    <w:link w:val="6"/>
    <w:semiHidden/>
    <w:qFormat/>
    <w:uiPriority w:val="9"/>
    <w:rPr>
      <w:rFonts w:asciiTheme="majorHAnsi" w:hAnsiTheme="majorHAnsi" w:eastAsiaTheme="majorEastAsia"/>
      <w:b/>
      <w:bCs/>
      <w:sz w:val="26"/>
      <w:szCs w:val="26"/>
    </w:rPr>
  </w:style>
  <w:style w:type="character" w:customStyle="1" w:styleId="27">
    <w:name w:val="标题 4 字符"/>
    <w:basedOn w:val="21"/>
    <w:link w:val="7"/>
    <w:semiHidden/>
    <w:qFormat/>
    <w:uiPriority w:val="9"/>
    <w:rPr>
      <w:b/>
      <w:bCs/>
      <w:sz w:val="28"/>
      <w:szCs w:val="28"/>
    </w:rPr>
  </w:style>
  <w:style w:type="character" w:customStyle="1" w:styleId="28">
    <w:name w:val="标题 5 字符"/>
    <w:basedOn w:val="21"/>
    <w:link w:val="8"/>
    <w:semiHidden/>
    <w:qFormat/>
    <w:uiPriority w:val="9"/>
    <w:rPr>
      <w:b/>
      <w:bCs/>
      <w:i/>
      <w:iCs/>
      <w:sz w:val="26"/>
      <w:szCs w:val="26"/>
    </w:rPr>
  </w:style>
  <w:style w:type="character" w:customStyle="1" w:styleId="29">
    <w:name w:val="标题 6 字符"/>
    <w:basedOn w:val="21"/>
    <w:link w:val="9"/>
    <w:semiHidden/>
    <w:qFormat/>
    <w:uiPriority w:val="9"/>
    <w:rPr>
      <w:b/>
      <w:bCs/>
    </w:rPr>
  </w:style>
  <w:style w:type="character" w:customStyle="1" w:styleId="30">
    <w:name w:val="标题 7 字符"/>
    <w:basedOn w:val="21"/>
    <w:link w:val="10"/>
    <w:semiHidden/>
    <w:qFormat/>
    <w:uiPriority w:val="9"/>
    <w:rPr>
      <w:sz w:val="24"/>
      <w:szCs w:val="24"/>
    </w:rPr>
  </w:style>
  <w:style w:type="character" w:customStyle="1" w:styleId="31">
    <w:name w:val="标题 8 字符"/>
    <w:basedOn w:val="21"/>
    <w:link w:val="11"/>
    <w:semiHidden/>
    <w:qFormat/>
    <w:uiPriority w:val="9"/>
    <w:rPr>
      <w:i/>
      <w:iCs/>
      <w:sz w:val="24"/>
      <w:szCs w:val="24"/>
    </w:rPr>
  </w:style>
  <w:style w:type="character" w:customStyle="1" w:styleId="32">
    <w:name w:val="标题 9 字符"/>
    <w:basedOn w:val="21"/>
    <w:link w:val="12"/>
    <w:semiHidden/>
    <w:qFormat/>
    <w:uiPriority w:val="9"/>
    <w:rPr>
      <w:rFonts w:asciiTheme="majorHAnsi" w:hAnsiTheme="majorHAnsi" w:eastAsiaTheme="majorEastAsia"/>
    </w:rPr>
  </w:style>
  <w:style w:type="character" w:customStyle="1" w:styleId="33">
    <w:name w:val="标题 字符"/>
    <w:basedOn w:val="21"/>
    <w:link w:val="18"/>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4"/>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4778</Words>
  <Characters>5047</Characters>
  <Lines>50</Lines>
  <Paragraphs>14</Paragraphs>
  <TotalTime>245</TotalTime>
  <ScaleCrop>false</ScaleCrop>
  <LinksUpToDate>false</LinksUpToDate>
  <CharactersWithSpaces>5073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2020-07-05T08:35:00Z</dcterms:created>
  <dc:creator>赵 恺（预算处）</dc:creator>
  <cp:lastModifiedBy>岁月无痕</cp:lastModifiedBy>
  <cp:lastPrinted>2020-01-01T08:02:00Z</cp:lastPrinted>
  <dcterms:modified xsi:type="dcterms:W3CDTF">2024-08-16T04:27:19Z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