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203A4">
      <w:pPr>
        <w:spacing w:line="240" w:lineRule="auto"/>
        <w:jc w:val="center"/>
        <w:outlineLvl w:val="0"/>
        <w:rPr>
          <w:rFonts w:hint="eastAsia" w:ascii="方正小标宋简体" w:hAnsi="华文中宋" w:eastAsia="方正小标宋简体" w:cs="宋体"/>
          <w:spacing w:val="-6"/>
          <w:w w:val="90"/>
          <w:kern w:val="0"/>
          <w:sz w:val="44"/>
          <w:szCs w:val="44"/>
        </w:rPr>
      </w:pPr>
    </w:p>
    <w:p w14:paraId="6001E685">
      <w:pPr>
        <w:spacing w:line="240" w:lineRule="auto"/>
        <w:jc w:val="center"/>
        <w:outlineLvl w:val="0"/>
        <w:rPr>
          <w:rFonts w:hint="eastAsia" w:ascii="方正小标宋简体" w:hAnsi="华文中宋" w:eastAsia="方正小标宋简体" w:cs="宋体"/>
          <w:spacing w:val="-6"/>
          <w:w w:val="90"/>
          <w:kern w:val="0"/>
          <w:sz w:val="44"/>
          <w:szCs w:val="44"/>
        </w:rPr>
      </w:pPr>
    </w:p>
    <w:p w14:paraId="340F305F">
      <w:pPr>
        <w:spacing w:line="240" w:lineRule="auto"/>
        <w:jc w:val="center"/>
        <w:outlineLvl w:val="0"/>
        <w:rPr>
          <w:rFonts w:hint="eastAsia" w:ascii="方正小标宋简体" w:hAnsi="方正小标宋简体" w:eastAsia="方正小标宋简体" w:cs="方正小标宋简体"/>
          <w:b w:val="0"/>
          <w:bCs/>
          <w:kern w:val="0"/>
          <w:sz w:val="44"/>
          <w:szCs w:val="44"/>
        </w:rPr>
      </w:pPr>
      <w:r>
        <w:rPr>
          <w:rFonts w:hint="eastAsia" w:ascii="方正小标宋简体" w:hAnsi="华文中宋" w:eastAsia="方正小标宋简体" w:cs="宋体"/>
          <w:spacing w:val="-6"/>
          <w:w w:val="90"/>
          <w:kern w:val="0"/>
          <w:sz w:val="44"/>
          <w:szCs w:val="44"/>
        </w:rPr>
        <w:t>202</w:t>
      </w:r>
      <w:r>
        <w:rPr>
          <w:rFonts w:hint="default" w:ascii="方正小标宋简体" w:hAnsi="华文中宋" w:eastAsia="方正小标宋简体" w:cs="宋体"/>
          <w:spacing w:val="-6"/>
          <w:w w:val="90"/>
          <w:kern w:val="0"/>
          <w:sz w:val="44"/>
          <w:szCs w:val="44"/>
          <w:lang w:val="en-US" w:eastAsia="zh-CN"/>
        </w:rPr>
        <w:t>3</w:t>
      </w:r>
      <w:r>
        <w:rPr>
          <w:rFonts w:hint="eastAsia" w:ascii="方正小标宋简体" w:hAnsi="华文中宋" w:eastAsia="方正小标宋简体" w:cs="宋体"/>
          <w:spacing w:val="-6"/>
          <w:w w:val="90"/>
          <w:kern w:val="0"/>
          <w:sz w:val="44"/>
          <w:szCs w:val="44"/>
        </w:rPr>
        <w:t>年资产出租出借成本性支出</w:t>
      </w:r>
      <w:r>
        <w:rPr>
          <w:rFonts w:hint="eastAsia" w:ascii="方正小标宋简体" w:hAnsi="方正小标宋简体" w:eastAsia="方正小标宋简体" w:cs="方正小标宋简体"/>
          <w:b w:val="0"/>
          <w:bCs/>
          <w:kern w:val="0"/>
          <w:sz w:val="44"/>
          <w:szCs w:val="44"/>
        </w:rPr>
        <w:t>项目</w:t>
      </w:r>
    </w:p>
    <w:p w14:paraId="138DAD2D">
      <w:pPr>
        <w:spacing w:line="240" w:lineRule="auto"/>
        <w:jc w:val="center"/>
        <w:outlineLvl w:val="0"/>
        <w:rPr>
          <w:rFonts w:hint="eastAsia" w:ascii="新宋体" w:hAnsi="新宋体" w:eastAsia="新宋体" w:cs="新宋体"/>
          <w:b/>
          <w:kern w:val="0"/>
          <w:sz w:val="44"/>
          <w:szCs w:val="44"/>
        </w:rPr>
      </w:pPr>
      <w:r>
        <w:rPr>
          <w:rFonts w:hint="eastAsia" w:ascii="方正小标宋简体" w:hAnsi="方正小标宋简体" w:eastAsia="方正小标宋简体" w:cs="方正小标宋简体"/>
          <w:b w:val="0"/>
          <w:bCs/>
          <w:kern w:val="0"/>
          <w:sz w:val="44"/>
          <w:szCs w:val="44"/>
        </w:rPr>
        <w:t>支出绩效</w:t>
      </w:r>
      <w:r>
        <w:rPr>
          <w:rFonts w:hint="eastAsia" w:ascii="方正小标宋简体" w:hAnsi="方正小标宋简体" w:eastAsia="方正小标宋简体" w:cs="方正小标宋简体"/>
          <w:b w:val="0"/>
          <w:bCs/>
          <w:kern w:val="0"/>
          <w:sz w:val="44"/>
          <w:szCs w:val="44"/>
          <w:lang w:eastAsia="zh-CN"/>
        </w:rPr>
        <w:t>评价</w:t>
      </w:r>
      <w:r>
        <w:rPr>
          <w:rFonts w:hint="eastAsia" w:ascii="方正小标宋简体" w:hAnsi="方正小标宋简体" w:eastAsia="方正小标宋简体" w:cs="方正小标宋简体"/>
          <w:b w:val="0"/>
          <w:bCs/>
          <w:kern w:val="0"/>
          <w:sz w:val="44"/>
          <w:szCs w:val="44"/>
        </w:rPr>
        <w:t>报告</w:t>
      </w:r>
    </w:p>
    <w:p w14:paraId="26D65F93">
      <w:pPr>
        <w:spacing w:line="540" w:lineRule="exact"/>
        <w:jc w:val="center"/>
        <w:rPr>
          <w:rFonts w:hint="eastAsia" w:ascii="新宋体" w:hAnsi="新宋体" w:eastAsia="新宋体" w:cs="新宋体"/>
          <w:b/>
          <w:kern w:val="0"/>
          <w:sz w:val="36"/>
          <w:szCs w:val="36"/>
        </w:rPr>
      </w:pPr>
    </w:p>
    <w:p w14:paraId="38F92FFE">
      <w:pPr>
        <w:spacing w:line="540" w:lineRule="exact"/>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w:t>
      </w:r>
      <w:r>
        <w:rPr>
          <w:rFonts w:hint="eastAsia" w:ascii="仿宋_GB2312" w:hAnsi="仿宋_GB2312" w:eastAsia="仿宋_GB2312" w:cs="仿宋_GB2312"/>
          <w:kern w:val="0"/>
          <w:sz w:val="32"/>
          <w:szCs w:val="32"/>
          <w:lang w:val="en-US" w:eastAsia="zh-CN"/>
        </w:rPr>
        <w:t>23</w:t>
      </w:r>
      <w:r>
        <w:rPr>
          <w:rFonts w:hint="eastAsia" w:ascii="仿宋_GB2312" w:hAnsi="仿宋_GB2312" w:eastAsia="仿宋_GB2312" w:cs="仿宋_GB2312"/>
          <w:kern w:val="0"/>
          <w:sz w:val="32"/>
          <w:szCs w:val="32"/>
        </w:rPr>
        <w:t>年度）</w:t>
      </w:r>
    </w:p>
    <w:p w14:paraId="7C8A15E9">
      <w:pPr>
        <w:spacing w:line="540" w:lineRule="exact"/>
        <w:jc w:val="center"/>
        <w:rPr>
          <w:rFonts w:eastAsia="仿宋_GB2312"/>
          <w:kern w:val="0"/>
          <w:sz w:val="30"/>
          <w:szCs w:val="30"/>
        </w:rPr>
      </w:pPr>
    </w:p>
    <w:p w14:paraId="0E58D53F">
      <w:pPr>
        <w:spacing w:line="540" w:lineRule="exact"/>
        <w:jc w:val="center"/>
        <w:rPr>
          <w:rFonts w:eastAsia="仿宋_GB2312"/>
          <w:kern w:val="0"/>
          <w:sz w:val="30"/>
          <w:szCs w:val="30"/>
        </w:rPr>
      </w:pPr>
    </w:p>
    <w:p w14:paraId="3CF04EC0">
      <w:pPr>
        <w:spacing w:line="540" w:lineRule="exact"/>
        <w:jc w:val="both"/>
        <w:rPr>
          <w:rFonts w:eastAsia="仿宋_GB2312"/>
          <w:kern w:val="0"/>
          <w:sz w:val="30"/>
          <w:szCs w:val="30"/>
        </w:rPr>
      </w:pPr>
    </w:p>
    <w:p w14:paraId="17408ADF">
      <w:pPr>
        <w:spacing w:line="540" w:lineRule="exact"/>
        <w:rPr>
          <w:rFonts w:eastAsia="仿宋_GB2312"/>
          <w:kern w:val="0"/>
          <w:sz w:val="30"/>
          <w:szCs w:val="30"/>
        </w:rPr>
      </w:pPr>
    </w:p>
    <w:p w14:paraId="55139B85">
      <w:pPr>
        <w:spacing w:line="700" w:lineRule="exact"/>
        <w:ind w:firstLine="720" w:firstLineChars="200"/>
        <w:jc w:val="left"/>
        <w:rPr>
          <w:rFonts w:hint="eastAsia" w:ascii="Times New Roman" w:hAnsi="Times New Roman" w:eastAsia="仿宋_GB2312" w:cs="Times New Roman"/>
          <w:kern w:val="0"/>
          <w:sz w:val="36"/>
          <w:szCs w:val="36"/>
          <w:lang w:eastAsia="zh-CN"/>
        </w:rPr>
      </w:pPr>
      <w:r>
        <w:rPr>
          <w:rFonts w:eastAsia="仿宋_GB2312"/>
          <w:kern w:val="0"/>
          <w:sz w:val="36"/>
          <w:szCs w:val="36"/>
        </w:rPr>
        <w:t>项目名称：</w:t>
      </w:r>
      <w:r>
        <w:rPr>
          <w:rFonts w:hint="eastAsia" w:eastAsia="仿宋_GB2312"/>
          <w:kern w:val="0"/>
          <w:sz w:val="36"/>
          <w:szCs w:val="36"/>
        </w:rPr>
        <w:t>202</w:t>
      </w:r>
      <w:r>
        <w:rPr>
          <w:rFonts w:hint="default" w:eastAsia="仿宋_GB2312"/>
          <w:kern w:val="0"/>
          <w:sz w:val="36"/>
          <w:szCs w:val="36"/>
          <w:lang w:val="en-US" w:eastAsia="zh-CN"/>
        </w:rPr>
        <w:t>3</w:t>
      </w:r>
      <w:r>
        <w:rPr>
          <w:rFonts w:hint="eastAsia" w:eastAsia="仿宋_GB2312"/>
          <w:kern w:val="0"/>
          <w:sz w:val="36"/>
          <w:szCs w:val="36"/>
        </w:rPr>
        <w:t>年资产出租出借成本性支出项目</w:t>
      </w:r>
    </w:p>
    <w:p w14:paraId="6600CBCC">
      <w:pPr>
        <w:spacing w:line="700" w:lineRule="exact"/>
        <w:ind w:firstLine="720" w:firstLineChars="200"/>
        <w:jc w:val="left"/>
        <w:rPr>
          <w:rFonts w:hint="eastAsia" w:eastAsia="仿宋_GB2312"/>
          <w:kern w:val="0"/>
          <w:sz w:val="36"/>
          <w:szCs w:val="36"/>
          <w:lang w:val="en-US" w:eastAsia="zh-CN"/>
        </w:rPr>
      </w:pPr>
      <w:r>
        <w:rPr>
          <w:rFonts w:eastAsia="仿宋_GB2312"/>
          <w:kern w:val="0"/>
          <w:sz w:val="36"/>
          <w:szCs w:val="36"/>
        </w:rPr>
        <w:t>实施单位（公章）：</w:t>
      </w:r>
      <w:r>
        <w:rPr>
          <w:rFonts w:hint="eastAsia" w:eastAsia="仿宋_GB2312"/>
          <w:kern w:val="0"/>
          <w:sz w:val="36"/>
          <w:szCs w:val="36"/>
        </w:rPr>
        <w:t>自治区工业和信息化厅</w:t>
      </w:r>
      <w:r>
        <w:rPr>
          <w:rFonts w:hint="eastAsia" w:eastAsia="仿宋_GB2312"/>
          <w:kern w:val="0"/>
          <w:sz w:val="36"/>
          <w:szCs w:val="36"/>
          <w:lang w:val="en-US" w:eastAsia="zh-CN"/>
        </w:rPr>
        <w:t>办公室</w:t>
      </w:r>
    </w:p>
    <w:p w14:paraId="2791DF13">
      <w:pPr>
        <w:spacing w:line="700" w:lineRule="exact"/>
        <w:ind w:firstLine="720" w:firstLineChars="2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自治区工业和信息化厅</w:t>
      </w:r>
    </w:p>
    <w:p w14:paraId="1D21EC88">
      <w:pPr>
        <w:spacing w:line="700" w:lineRule="exact"/>
        <w:ind w:firstLine="720" w:firstLineChars="200"/>
        <w:jc w:val="left"/>
        <w:rPr>
          <w:rFonts w:hint="eastAsia"/>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val="en-US" w:eastAsia="zh-CN"/>
        </w:rPr>
        <w:t>李  涛</w:t>
      </w:r>
    </w:p>
    <w:p w14:paraId="62C22E8B">
      <w:pPr>
        <w:spacing w:line="700" w:lineRule="exact"/>
        <w:ind w:firstLine="720" w:firstLineChars="2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w:t>
      </w:r>
      <w:r>
        <w:rPr>
          <w:rFonts w:hint="eastAsia"/>
          <w:kern w:val="0"/>
          <w:sz w:val="36"/>
          <w:szCs w:val="36"/>
          <w:lang w:val="en-US" w:eastAsia="zh-CN"/>
        </w:rPr>
        <w:t>4</w:t>
      </w:r>
      <w:r>
        <w:rPr>
          <w:rFonts w:eastAsia="仿宋_GB2312"/>
          <w:kern w:val="0"/>
          <w:sz w:val="36"/>
          <w:szCs w:val="36"/>
        </w:rPr>
        <w:t>年</w:t>
      </w:r>
      <w:r>
        <w:rPr>
          <w:rFonts w:hint="eastAsia"/>
          <w:kern w:val="0"/>
          <w:sz w:val="36"/>
          <w:szCs w:val="36"/>
          <w:lang w:val="en-US" w:eastAsia="zh-CN"/>
        </w:rPr>
        <w:t>3</w:t>
      </w:r>
      <w:r>
        <w:rPr>
          <w:rFonts w:eastAsia="仿宋_GB2312"/>
          <w:kern w:val="0"/>
          <w:sz w:val="36"/>
          <w:szCs w:val="36"/>
        </w:rPr>
        <w:t>月</w:t>
      </w:r>
      <w:r>
        <w:rPr>
          <w:rFonts w:hint="eastAsia"/>
          <w:kern w:val="0"/>
          <w:sz w:val="36"/>
          <w:szCs w:val="36"/>
          <w:lang w:val="en-US" w:eastAsia="zh-CN"/>
        </w:rPr>
        <w:t>14</w:t>
      </w:r>
      <w:r>
        <w:rPr>
          <w:rFonts w:eastAsia="仿宋_GB2312"/>
          <w:kern w:val="0"/>
          <w:sz w:val="36"/>
          <w:szCs w:val="36"/>
        </w:rPr>
        <w:t>日</w:t>
      </w:r>
    </w:p>
    <w:p w14:paraId="64AF37B8">
      <w:pPr>
        <w:spacing w:line="520" w:lineRule="exact"/>
        <w:jc w:val="center"/>
        <w:outlineLvl w:val="0"/>
        <w:rPr>
          <w:rFonts w:hint="eastAsia" w:ascii="方正小标宋简体" w:hAnsi="华文中宋" w:eastAsia="方正小标宋简体" w:cs="宋体"/>
          <w:spacing w:val="-6"/>
          <w:w w:val="90"/>
          <w:kern w:val="0"/>
          <w:sz w:val="44"/>
          <w:szCs w:val="44"/>
        </w:rPr>
      </w:pPr>
    </w:p>
    <w:p w14:paraId="3E40C69B">
      <w:pPr>
        <w:pStyle w:val="2"/>
        <w:rPr>
          <w:rFonts w:hint="eastAsia" w:ascii="方正小标宋简体" w:hAnsi="华文中宋" w:eastAsia="方正小标宋简体" w:cs="宋体"/>
          <w:spacing w:val="-6"/>
          <w:w w:val="90"/>
          <w:kern w:val="0"/>
          <w:sz w:val="44"/>
          <w:szCs w:val="44"/>
        </w:rPr>
      </w:pPr>
    </w:p>
    <w:p w14:paraId="3D643EC9">
      <w:pPr>
        <w:pStyle w:val="2"/>
        <w:rPr>
          <w:rFonts w:hint="eastAsia" w:ascii="方正小标宋简体" w:hAnsi="华文中宋" w:eastAsia="方正小标宋简体" w:cs="宋体"/>
          <w:spacing w:val="-6"/>
          <w:w w:val="90"/>
          <w:kern w:val="0"/>
          <w:sz w:val="44"/>
          <w:szCs w:val="44"/>
        </w:rPr>
      </w:pPr>
    </w:p>
    <w:p w14:paraId="027663F9">
      <w:pPr>
        <w:pStyle w:val="2"/>
        <w:rPr>
          <w:rFonts w:hint="eastAsia" w:ascii="方正小标宋简体" w:hAnsi="华文中宋" w:eastAsia="方正小标宋简体" w:cs="宋体"/>
          <w:spacing w:val="-6"/>
          <w:w w:val="90"/>
          <w:kern w:val="0"/>
          <w:sz w:val="44"/>
          <w:szCs w:val="44"/>
        </w:rPr>
      </w:pPr>
    </w:p>
    <w:p w14:paraId="0036C4DA">
      <w:pPr>
        <w:spacing w:line="520" w:lineRule="exact"/>
        <w:jc w:val="center"/>
        <w:outlineLvl w:val="0"/>
        <w:rPr>
          <w:rFonts w:hint="eastAsia" w:ascii="方正小标宋简体" w:hAnsi="华文中宋" w:eastAsia="方正小标宋简体" w:cs="宋体"/>
          <w:spacing w:val="-6"/>
          <w:w w:val="90"/>
          <w:kern w:val="0"/>
          <w:sz w:val="44"/>
          <w:szCs w:val="44"/>
        </w:rPr>
      </w:pPr>
      <w:r>
        <w:rPr>
          <w:rFonts w:hint="eastAsia" w:ascii="方正小标宋简体" w:hAnsi="华文中宋" w:eastAsia="方正小标宋简体" w:cs="宋体"/>
          <w:spacing w:val="-6"/>
          <w:w w:val="90"/>
          <w:kern w:val="0"/>
          <w:sz w:val="44"/>
          <w:szCs w:val="44"/>
        </w:rPr>
        <w:t>202</w:t>
      </w:r>
      <w:r>
        <w:rPr>
          <w:rFonts w:hint="default" w:ascii="方正小标宋简体" w:hAnsi="华文中宋" w:eastAsia="方正小标宋简体" w:cs="宋体"/>
          <w:spacing w:val="-6"/>
          <w:w w:val="90"/>
          <w:kern w:val="0"/>
          <w:sz w:val="44"/>
          <w:szCs w:val="44"/>
          <w:lang w:val="en-US" w:eastAsia="zh-CN"/>
        </w:rPr>
        <w:t>3</w:t>
      </w:r>
      <w:r>
        <w:rPr>
          <w:rFonts w:hint="eastAsia" w:ascii="方正小标宋简体" w:hAnsi="华文中宋" w:eastAsia="方正小标宋简体" w:cs="宋体"/>
          <w:spacing w:val="-6"/>
          <w:w w:val="90"/>
          <w:kern w:val="0"/>
          <w:sz w:val="44"/>
          <w:szCs w:val="44"/>
        </w:rPr>
        <w:t>年资产出租出借成本性支出项目</w:t>
      </w:r>
    </w:p>
    <w:p w14:paraId="5B938BD8">
      <w:pPr>
        <w:spacing w:line="520" w:lineRule="exact"/>
        <w:jc w:val="center"/>
        <w:outlineLvl w:val="0"/>
        <w:rPr>
          <w:rFonts w:ascii="方正小标宋简体" w:hAnsi="华文中宋" w:eastAsia="方正小标宋简体" w:cs="宋体"/>
          <w:spacing w:val="-6"/>
          <w:w w:val="90"/>
          <w:kern w:val="0"/>
          <w:sz w:val="44"/>
          <w:szCs w:val="44"/>
        </w:rPr>
      </w:pPr>
      <w:r>
        <w:rPr>
          <w:rFonts w:hint="eastAsia" w:ascii="方正小标宋简体" w:hAnsi="华文中宋" w:eastAsia="方正小标宋简体" w:cs="宋体"/>
          <w:spacing w:val="-6"/>
          <w:w w:val="90"/>
          <w:kern w:val="0"/>
          <w:sz w:val="44"/>
          <w:szCs w:val="44"/>
        </w:rPr>
        <w:t>绩效评价报告</w:t>
      </w:r>
    </w:p>
    <w:p w14:paraId="3FFF83E8">
      <w:pPr>
        <w:spacing w:line="520" w:lineRule="exact"/>
        <w:jc w:val="center"/>
        <w:rPr>
          <w:rFonts w:ascii="华文中宋" w:hAnsi="华文中宋" w:eastAsia="华文中宋" w:cs="宋体"/>
          <w:b/>
          <w:kern w:val="0"/>
          <w:sz w:val="52"/>
          <w:szCs w:val="52"/>
        </w:rPr>
      </w:pPr>
    </w:p>
    <w:p w14:paraId="2F6D3218">
      <w:pPr>
        <w:spacing w:line="520" w:lineRule="exact"/>
        <w:ind w:firstLine="640"/>
        <w:outlineLvl w:val="0"/>
        <w:rPr>
          <w:rStyle w:val="8"/>
          <w:rFonts w:ascii="黑体" w:hAnsi="黑体" w:eastAsia="黑体"/>
          <w:b w:val="0"/>
          <w:spacing w:val="-4"/>
          <w:sz w:val="32"/>
          <w:szCs w:val="32"/>
        </w:rPr>
      </w:pPr>
      <w:r>
        <w:rPr>
          <w:rStyle w:val="8"/>
          <w:rFonts w:hint="eastAsia" w:ascii="黑体" w:hAnsi="黑体" w:eastAsia="黑体"/>
          <w:b w:val="0"/>
          <w:spacing w:val="-4"/>
          <w:sz w:val="32"/>
          <w:szCs w:val="32"/>
        </w:rPr>
        <w:t>一、基本情况</w:t>
      </w:r>
    </w:p>
    <w:p w14:paraId="14734637">
      <w:pPr>
        <w:spacing w:line="520" w:lineRule="exact"/>
        <w:ind w:firstLine="640"/>
        <w:outlineLvl w:val="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 xml:space="preserve">（一）项目概况 </w:t>
      </w:r>
    </w:p>
    <w:p w14:paraId="2899A603">
      <w:pPr>
        <w:spacing w:line="520" w:lineRule="exact"/>
        <w:ind w:firstLine="627" w:firstLineChars="200"/>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1.项目背景</w:t>
      </w:r>
    </w:p>
    <w:p w14:paraId="6E8DCF41">
      <w:pPr>
        <w:spacing w:line="520" w:lineRule="exact"/>
        <w:ind w:firstLine="624" w:firstLineChars="200"/>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根据自治区财政厅《关于加强自治区本级行政事业单位资产出租管理的通知》（新财资管【2015】131号）文件规定，为提高国有资产效率，利用出租闲置房屋收取租金提高经济效益，租金收入缴纳各项税款后足额上缴国库，增加自治区国库收入，减轻财政负担。按照“规范安排非税收入成本性支出。自治区本级部门非税收入成本性支出预算安排的原则：房屋（建筑物）出租出借收入，成本性支出控制在当年非税征收计划数的</w:t>
      </w:r>
      <w:r>
        <w:rPr>
          <w:rStyle w:val="8"/>
          <w:rFonts w:ascii="仿宋_GB2312" w:hAnsi="仿宋_GB2312" w:eastAsia="仿宋_GB2312" w:cs="仿宋_GB2312"/>
          <w:b w:val="0"/>
          <w:bCs w:val="0"/>
          <w:spacing w:val="-4"/>
          <w:sz w:val="32"/>
          <w:szCs w:val="32"/>
        </w:rPr>
        <w:t>30%以内”。</w:t>
      </w:r>
    </w:p>
    <w:p w14:paraId="025260F9">
      <w:pPr>
        <w:spacing w:line="520" w:lineRule="exact"/>
        <w:ind w:firstLine="627" w:firstLineChars="200"/>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2.主要内容及实施情况</w:t>
      </w:r>
    </w:p>
    <w:p w14:paraId="56A3E552">
      <w:pPr>
        <w:spacing w:line="520" w:lineRule="exact"/>
        <w:ind w:firstLine="624" w:firstLineChars="200"/>
        <w:rPr>
          <w:rStyle w:val="8"/>
          <w:rFonts w:ascii="仿宋_GB2312" w:hAnsi="仿宋_GB2312" w:eastAsia="仿宋_GB2312" w:cs="仿宋_GB2312"/>
          <w:b w:val="0"/>
          <w:bCs w:val="0"/>
          <w:spacing w:val="-4"/>
          <w:sz w:val="32"/>
          <w:szCs w:val="32"/>
        </w:rPr>
      </w:pPr>
      <w:r>
        <w:rPr>
          <w:rStyle w:val="8"/>
          <w:rFonts w:ascii="仿宋_GB2312" w:hAnsi="仿宋_GB2312" w:eastAsia="仿宋_GB2312" w:cs="仿宋_GB2312"/>
          <w:b w:val="0"/>
          <w:bCs w:val="0"/>
          <w:spacing w:val="-4"/>
          <w:sz w:val="32"/>
          <w:szCs w:val="32"/>
        </w:rPr>
        <w:t>20</w:t>
      </w:r>
      <w:r>
        <w:rPr>
          <w:rStyle w:val="8"/>
          <w:rFonts w:hint="eastAsia" w:ascii="仿宋_GB2312" w:hAnsi="仿宋_GB2312" w:eastAsia="仿宋_GB2312" w:cs="仿宋_GB2312"/>
          <w:b w:val="0"/>
          <w:bCs w:val="0"/>
          <w:spacing w:val="-4"/>
          <w:sz w:val="32"/>
          <w:szCs w:val="32"/>
        </w:rPr>
        <w:t>2</w:t>
      </w:r>
      <w:r>
        <w:rPr>
          <w:rStyle w:val="8"/>
          <w:rFonts w:hint="default" w:ascii="仿宋_GB2312" w:hAnsi="仿宋_GB2312" w:eastAsia="仿宋_GB2312" w:cs="仿宋_GB2312"/>
          <w:b w:val="0"/>
          <w:bCs w:val="0"/>
          <w:spacing w:val="-4"/>
          <w:sz w:val="32"/>
          <w:szCs w:val="32"/>
          <w:lang w:val="en-US" w:eastAsia="zh-CN"/>
        </w:rPr>
        <w:t>3</w:t>
      </w:r>
      <w:r>
        <w:rPr>
          <w:rStyle w:val="8"/>
          <w:rFonts w:hint="eastAsia" w:ascii="仿宋_GB2312" w:hAnsi="仿宋_GB2312" w:eastAsia="仿宋_GB2312" w:cs="仿宋_GB2312"/>
          <w:b w:val="0"/>
          <w:bCs w:val="0"/>
          <w:spacing w:val="-4"/>
          <w:sz w:val="32"/>
          <w:szCs w:val="32"/>
        </w:rPr>
        <w:t>年，自治区工业和信息化厅（原自治区建筑材料行业管理办公室）计划征收房租</w:t>
      </w:r>
      <w:r>
        <w:rPr>
          <w:rStyle w:val="8"/>
          <w:rFonts w:hint="default" w:ascii="仿宋_GB2312" w:hAnsi="仿宋_GB2312" w:eastAsia="仿宋_GB2312" w:cs="仿宋_GB2312"/>
          <w:b w:val="0"/>
          <w:bCs w:val="0"/>
          <w:spacing w:val="-4"/>
          <w:sz w:val="32"/>
          <w:szCs w:val="32"/>
          <w:lang w:val="en-US"/>
        </w:rPr>
        <w:t>28</w:t>
      </w:r>
      <w:r>
        <w:rPr>
          <w:rStyle w:val="8"/>
          <w:rFonts w:hint="eastAsia" w:ascii="仿宋_GB2312" w:hAnsi="仿宋_GB2312" w:eastAsia="仿宋_GB2312" w:cs="仿宋_GB2312"/>
          <w:b w:val="0"/>
          <w:bCs w:val="0"/>
          <w:spacing w:val="-4"/>
          <w:sz w:val="32"/>
          <w:szCs w:val="32"/>
        </w:rPr>
        <w:t>万元，全额上缴国库。纳入202</w:t>
      </w:r>
      <w:r>
        <w:rPr>
          <w:rStyle w:val="8"/>
          <w:rFonts w:hint="default" w:ascii="仿宋_GB2312" w:hAnsi="仿宋_GB2312" w:eastAsia="仿宋_GB2312" w:cs="仿宋_GB2312"/>
          <w:b w:val="0"/>
          <w:bCs w:val="0"/>
          <w:spacing w:val="-4"/>
          <w:sz w:val="32"/>
          <w:szCs w:val="32"/>
          <w:lang w:val="en-US" w:eastAsia="zh-CN"/>
        </w:rPr>
        <w:t>3</w:t>
      </w:r>
      <w:r>
        <w:rPr>
          <w:rStyle w:val="8"/>
          <w:rFonts w:hint="eastAsia" w:ascii="仿宋_GB2312" w:hAnsi="仿宋_GB2312" w:eastAsia="仿宋_GB2312" w:cs="仿宋_GB2312"/>
          <w:b w:val="0"/>
          <w:bCs w:val="0"/>
          <w:spacing w:val="-4"/>
          <w:sz w:val="32"/>
          <w:szCs w:val="32"/>
        </w:rPr>
        <w:t>年部门预算，申报房屋出租成本性支出项目预算10万元，主要用于自治区工业和信息化厅办公楼日常维护维修5万元、物业管理费5万元。</w:t>
      </w:r>
    </w:p>
    <w:p w14:paraId="78D084DE">
      <w:pPr>
        <w:spacing w:line="540" w:lineRule="exact"/>
        <w:ind w:firstLine="627"/>
        <w:rPr>
          <w:rStyle w:val="8"/>
          <w:rFonts w:ascii="仿宋_GB2312" w:hAnsi="仿宋" w:eastAsia="仿宋_GB2312"/>
          <w:b w:val="0"/>
          <w:spacing w:val="-4"/>
          <w:sz w:val="32"/>
          <w:szCs w:val="32"/>
        </w:rPr>
      </w:pPr>
      <w:r>
        <w:rPr>
          <w:rStyle w:val="8"/>
          <w:rFonts w:ascii="仿宋_GB2312" w:hAnsi="仿宋" w:eastAsia="仿宋_GB2312"/>
          <w:spacing w:val="-4"/>
          <w:sz w:val="32"/>
          <w:szCs w:val="32"/>
        </w:rPr>
        <w:t>3</w:t>
      </w:r>
      <w:r>
        <w:rPr>
          <w:rStyle w:val="8"/>
          <w:rFonts w:hint="eastAsia" w:ascii="仿宋_GB2312" w:hAnsi="仿宋" w:eastAsia="仿宋_GB2312"/>
          <w:spacing w:val="-4"/>
          <w:sz w:val="32"/>
          <w:szCs w:val="32"/>
        </w:rPr>
        <w:t>.资金投入和使用情况</w:t>
      </w:r>
    </w:p>
    <w:p w14:paraId="11B73805">
      <w:pPr>
        <w:pStyle w:val="5"/>
        <w:widowControl w:val="0"/>
        <w:numPr>
          <w:ilvl w:val="0"/>
          <w:numId w:val="0"/>
        </w:numPr>
        <w:tabs>
          <w:tab w:val="left" w:pos="6372"/>
        </w:tabs>
        <w:adjustRightInd w:val="0"/>
        <w:snapToGrid w:val="0"/>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资金投入情况</w:t>
      </w:r>
    </w:p>
    <w:p w14:paraId="0753FAF1">
      <w:pPr>
        <w:pStyle w:val="5"/>
        <w:widowControl w:val="0"/>
        <w:tabs>
          <w:tab w:val="left" w:pos="6372"/>
        </w:tabs>
        <w:adjustRightInd w:val="0"/>
        <w:snapToGrid w:val="0"/>
        <w:spacing w:line="579" w:lineRule="exact"/>
        <w:ind w:left="638" w:leftChars="304" w:firstLine="0" w:firstLineChars="0"/>
        <w:rPr>
          <w:rFonts w:ascii="仿宋_GB2312" w:hAnsi="仿宋_GB2312" w:eastAsia="仿宋_GB2312" w:cs="仿宋_GB2312"/>
          <w:sz w:val="32"/>
          <w:szCs w:val="32"/>
        </w:rPr>
      </w:pPr>
      <w:r>
        <w:rPr>
          <w:rFonts w:hint="default" w:ascii="仿宋_GB2312" w:hAnsi="仿宋_GB2312" w:eastAsia="仿宋_GB2312" w:cs="仿宋_GB2312"/>
          <w:sz w:val="32"/>
          <w:szCs w:val="32"/>
          <w:lang w:val="en-US"/>
        </w:rPr>
        <w:t>2023</w:t>
      </w:r>
      <w:r>
        <w:rPr>
          <w:rFonts w:hint="eastAsia" w:ascii="仿宋_GB2312" w:hAnsi="仿宋_GB2312" w:eastAsia="仿宋_GB2312" w:cs="仿宋_GB2312"/>
          <w:sz w:val="32"/>
          <w:szCs w:val="32"/>
        </w:rPr>
        <w:t>年</w:t>
      </w:r>
      <w:r>
        <w:rPr>
          <w:rFonts w:hint="eastAsia" w:ascii="仿宋" w:hAnsi="仿宋" w:eastAsia="仿宋"/>
          <w:sz w:val="32"/>
          <w:szCs w:val="32"/>
        </w:rPr>
        <w:t>资产出租出借成本性支出（原建材行办）10万元。</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资金使用情况</w:t>
      </w:r>
    </w:p>
    <w:p w14:paraId="437F181E">
      <w:pPr>
        <w:pStyle w:val="5"/>
        <w:widowControl w:val="0"/>
        <w:tabs>
          <w:tab w:val="left" w:pos="6372"/>
        </w:tabs>
        <w:adjustRightInd w:val="0"/>
        <w:snapToGrid w:val="0"/>
        <w:spacing w:line="579" w:lineRule="exact"/>
        <w:ind w:firstLine="624" w:firstLineChars="200"/>
        <w:rPr>
          <w:rFonts w:hint="eastAsia" w:ascii="仿宋_GB2312" w:hAnsi="仿宋_GB2312" w:eastAsia="仿宋_GB2312" w:cs="仿宋_GB2312"/>
          <w:sz w:val="32"/>
          <w:szCs w:val="32"/>
        </w:rPr>
      </w:pPr>
      <w:r>
        <w:rPr>
          <w:rFonts w:hint="eastAsia" w:ascii="仿宋_GB2312" w:hAnsi="仿宋" w:eastAsia="仿宋_GB2312" w:cs="Times New Roman"/>
          <w:spacing w:val="-4"/>
          <w:kern w:val="0"/>
          <w:sz w:val="32"/>
          <w:szCs w:val="32"/>
        </w:rPr>
        <w:t>根据新疆财政厅预算</w:t>
      </w:r>
      <w:r>
        <w:rPr>
          <w:rFonts w:ascii="仿宋_GB2312" w:hAnsi="仿宋" w:eastAsia="仿宋_GB2312" w:cs="Times New Roman"/>
          <w:spacing w:val="-4"/>
          <w:kern w:val="0"/>
          <w:sz w:val="32"/>
          <w:szCs w:val="32"/>
        </w:rPr>
        <w:t>绩效管理信息系统</w:t>
      </w:r>
      <w:r>
        <w:rPr>
          <w:rFonts w:hint="eastAsia" w:ascii="仿宋_GB2312" w:hAnsi="仿宋" w:eastAsia="仿宋_GB2312" w:cs="Times New Roman"/>
          <w:spacing w:val="-4"/>
          <w:kern w:val="0"/>
          <w:sz w:val="32"/>
          <w:szCs w:val="32"/>
        </w:rPr>
        <w:t>建设项目和自治区工信厅工作总体目标，结合工信厅工作计划，我厅申报资产出租出借成本性支出（原建材行办）10</w:t>
      </w:r>
      <w:r>
        <w:rPr>
          <w:rFonts w:hint="eastAsia" w:ascii="仿宋" w:hAnsi="仿宋" w:eastAsia="仿宋"/>
          <w:sz w:val="32"/>
          <w:szCs w:val="32"/>
        </w:rPr>
        <w:t>万元</w:t>
      </w:r>
      <w:r>
        <w:rPr>
          <w:rFonts w:hint="eastAsia" w:ascii="仿宋_GB2312" w:hAnsi="仿宋_GB2312" w:eastAsia="仿宋_GB2312" w:cs="仿宋_GB2312"/>
          <w:sz w:val="32"/>
          <w:szCs w:val="32"/>
        </w:rPr>
        <w:t>，全部为一般财政拨款资金，截至</w:t>
      </w:r>
      <w:r>
        <w:rPr>
          <w:rFonts w:hint="default" w:ascii="仿宋_GB2312" w:hAnsi="仿宋_GB2312" w:eastAsia="仿宋_GB2312" w:cs="仿宋_GB2312"/>
          <w:sz w:val="32"/>
          <w:szCs w:val="32"/>
          <w:lang w:val="en-US"/>
        </w:rPr>
        <w:t>2023</w:t>
      </w:r>
      <w:r>
        <w:rPr>
          <w:rFonts w:hint="eastAsia" w:ascii="仿宋_GB2312" w:hAnsi="仿宋_GB2312" w:eastAsia="仿宋_GB2312" w:cs="仿宋_GB2312"/>
          <w:sz w:val="32"/>
          <w:szCs w:val="32"/>
        </w:rPr>
        <w:t>年12月31日，该项目实际支付</w:t>
      </w:r>
      <w:r>
        <w:rPr>
          <w:rFonts w:hint="default" w:ascii="仿宋_GB2312" w:hAnsi="仿宋_GB2312" w:eastAsia="仿宋_GB2312" w:cs="仿宋_GB2312"/>
          <w:sz w:val="32"/>
          <w:szCs w:val="32"/>
          <w:lang w:val="en-US"/>
        </w:rPr>
        <w:t>9.97</w:t>
      </w:r>
      <w:r>
        <w:rPr>
          <w:rFonts w:hint="eastAsia" w:ascii="仿宋_GB2312" w:hAnsi="仿宋_GB2312" w:eastAsia="仿宋_GB2312" w:cs="仿宋_GB2312"/>
          <w:sz w:val="32"/>
          <w:szCs w:val="32"/>
        </w:rPr>
        <w:t>万元，支付完成率</w:t>
      </w:r>
      <w:r>
        <w:rPr>
          <w:rFonts w:hint="default" w:ascii="仿宋_GB2312" w:hAnsi="仿宋_GB2312" w:eastAsia="仿宋_GB2312" w:cs="仿宋_GB2312"/>
          <w:sz w:val="32"/>
          <w:szCs w:val="32"/>
          <w:lang w:val="en-US"/>
        </w:rPr>
        <w:t>99.70</w:t>
      </w:r>
      <w:r>
        <w:rPr>
          <w:rFonts w:hint="eastAsia" w:ascii="仿宋_GB2312" w:hAnsi="仿宋_GB2312" w:eastAsia="仿宋_GB2312" w:cs="仿宋_GB2312"/>
          <w:sz w:val="32"/>
          <w:szCs w:val="32"/>
        </w:rPr>
        <w:t>%。</w:t>
      </w:r>
    </w:p>
    <w:p w14:paraId="7862F97E">
      <w:pPr>
        <w:pStyle w:val="5"/>
        <w:widowControl w:val="0"/>
        <w:tabs>
          <w:tab w:val="left" w:pos="6372"/>
        </w:tabs>
        <w:adjustRightInd w:val="0"/>
        <w:snapToGrid w:val="0"/>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开展上述业务活动，发生下列费用支出：</w:t>
      </w:r>
      <w:r>
        <w:rPr>
          <w:rFonts w:ascii="仿宋_GB2312" w:hAnsi="仿宋_GB2312" w:eastAsia="仿宋_GB2312" w:cs="仿宋_GB2312"/>
          <w:sz w:val="32"/>
          <w:szCs w:val="32"/>
        </w:rPr>
        <w:t>维护维修费</w:t>
      </w:r>
      <w:r>
        <w:rPr>
          <w:rFonts w:hint="default" w:ascii="仿宋_GB2312" w:hAnsi="仿宋_GB2312" w:eastAsia="仿宋_GB2312" w:cs="仿宋_GB2312"/>
          <w:sz w:val="32"/>
          <w:szCs w:val="32"/>
          <w:lang w:val="en-US"/>
        </w:rPr>
        <w:t>4.97</w:t>
      </w:r>
      <w:r>
        <w:rPr>
          <w:rFonts w:ascii="仿宋_GB2312" w:hAnsi="仿宋_GB2312" w:eastAsia="仿宋_GB2312" w:cs="仿宋_GB2312"/>
          <w:sz w:val="32"/>
          <w:szCs w:val="32"/>
        </w:rPr>
        <w:t>万元、物业管理费</w:t>
      </w:r>
      <w:r>
        <w:rPr>
          <w:rFonts w:hint="eastAsia" w:ascii="仿宋_GB2312" w:hAnsi="仿宋_GB2312" w:eastAsia="仿宋_GB2312" w:cs="仿宋_GB2312"/>
          <w:sz w:val="32"/>
          <w:szCs w:val="32"/>
        </w:rPr>
        <w:t>5万元,共计</w:t>
      </w:r>
      <w:r>
        <w:rPr>
          <w:rFonts w:hint="default" w:ascii="仿宋_GB2312" w:hAnsi="仿宋_GB2312" w:eastAsia="仿宋_GB2312" w:cs="仿宋_GB2312"/>
          <w:sz w:val="32"/>
          <w:szCs w:val="32"/>
          <w:lang w:val="en-US"/>
        </w:rPr>
        <w:t>9.97</w:t>
      </w:r>
      <w:r>
        <w:rPr>
          <w:rFonts w:hint="eastAsia" w:ascii="仿宋_GB2312" w:hAnsi="仿宋_GB2312" w:eastAsia="仿宋_GB2312" w:cs="仿宋_GB2312"/>
          <w:sz w:val="32"/>
          <w:szCs w:val="32"/>
        </w:rPr>
        <w:t>万元，年度预算执行率</w:t>
      </w:r>
      <w:r>
        <w:rPr>
          <w:rFonts w:hint="default" w:ascii="仿宋_GB2312" w:hAnsi="仿宋_GB2312" w:eastAsia="仿宋_GB2312" w:cs="仿宋_GB2312"/>
          <w:sz w:val="32"/>
          <w:szCs w:val="32"/>
          <w:lang w:val="en-US"/>
        </w:rPr>
        <w:t>99.70</w:t>
      </w:r>
      <w:r>
        <w:rPr>
          <w:rFonts w:hint="eastAsia" w:ascii="仿宋_GB2312" w:hAnsi="仿宋_GB2312" w:eastAsia="仿宋_GB2312" w:cs="仿宋_GB2312"/>
          <w:sz w:val="32"/>
          <w:szCs w:val="32"/>
        </w:rPr>
        <w:t xml:space="preserve">%。 </w:t>
      </w:r>
    </w:p>
    <w:p w14:paraId="585E5D6E">
      <w:pPr>
        <w:spacing w:line="520" w:lineRule="exact"/>
        <w:ind w:firstLine="640"/>
        <w:outlineLvl w:val="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（二）项目绩效目标</w:t>
      </w:r>
    </w:p>
    <w:p w14:paraId="26D6173C">
      <w:pPr>
        <w:widowControl/>
        <w:spacing w:line="520" w:lineRule="exact"/>
        <w:ind w:firstLine="627" w:firstLineChars="200"/>
        <w:jc w:val="left"/>
        <w:rPr>
          <w:rStyle w:val="8"/>
          <w:rFonts w:ascii="仿宋_GB2312" w:hAnsi="仿宋_GB2312" w:eastAsia="仿宋_GB2312" w:cs="仿宋_GB2312"/>
          <w:bCs w:val="0"/>
          <w:spacing w:val="-4"/>
          <w:sz w:val="32"/>
          <w:szCs w:val="32"/>
        </w:rPr>
      </w:pPr>
      <w:r>
        <w:rPr>
          <w:rStyle w:val="8"/>
          <w:rFonts w:hint="eastAsia" w:ascii="仿宋_GB2312" w:hAnsi="仿宋_GB2312" w:eastAsia="仿宋_GB2312" w:cs="仿宋_GB2312"/>
          <w:bCs w:val="0"/>
          <w:spacing w:val="-4"/>
          <w:sz w:val="32"/>
          <w:szCs w:val="32"/>
        </w:rPr>
        <w:t>1.项目绩效总目标</w:t>
      </w:r>
    </w:p>
    <w:p w14:paraId="378391C7">
      <w:pPr>
        <w:widowControl/>
        <w:spacing w:line="520" w:lineRule="exact"/>
        <w:ind w:firstLine="624" w:firstLineChars="200"/>
        <w:jc w:val="left"/>
        <w:rPr>
          <w:rStyle w:val="8"/>
          <w:rFonts w:ascii="仿宋_GB2312" w:hAnsi="仿宋_GB2312" w:eastAsia="仿宋_GB2312" w:cs="仿宋_GB2312"/>
          <w:b w:val="0"/>
          <w:spacing w:val="-4"/>
          <w:sz w:val="32"/>
          <w:szCs w:val="32"/>
        </w:rPr>
      </w:pPr>
      <w:r>
        <w:rPr>
          <w:rStyle w:val="8"/>
          <w:rFonts w:hint="eastAsia" w:ascii="仿宋_GB2312" w:hAnsi="仿宋_GB2312" w:eastAsia="仿宋_GB2312" w:cs="仿宋_GB2312"/>
          <w:b w:val="0"/>
          <w:spacing w:val="-4"/>
          <w:sz w:val="32"/>
          <w:szCs w:val="32"/>
        </w:rPr>
        <w:t>根据</w:t>
      </w:r>
      <w:r>
        <w:rPr>
          <w:rStyle w:val="8"/>
          <w:rFonts w:hint="eastAsia" w:ascii="仿宋_GB2312" w:hAnsi="仿宋_GB2312" w:eastAsia="仿宋_GB2312" w:cs="仿宋_GB2312"/>
          <w:b w:val="0"/>
          <w:bCs w:val="0"/>
          <w:spacing w:val="-4"/>
          <w:sz w:val="32"/>
          <w:szCs w:val="32"/>
        </w:rPr>
        <w:t>自治区工业和信息化厅</w:t>
      </w:r>
      <w:r>
        <w:rPr>
          <w:rStyle w:val="8"/>
          <w:rFonts w:hint="eastAsia" w:ascii="仿宋_GB2312" w:hAnsi="仿宋_GB2312" w:eastAsia="仿宋_GB2312" w:cs="仿宋_GB2312"/>
          <w:b w:val="0"/>
          <w:spacing w:val="-4"/>
          <w:sz w:val="32"/>
          <w:szCs w:val="32"/>
        </w:rPr>
        <w:t>实际</w:t>
      </w:r>
      <w:r>
        <w:rPr>
          <w:rStyle w:val="8"/>
          <w:rFonts w:hint="eastAsia" w:ascii="仿宋_GB2312" w:hAnsi="仿宋_GB2312" w:eastAsia="仿宋_GB2312" w:cs="仿宋_GB2312"/>
          <w:b w:val="0"/>
          <w:spacing w:val="-4"/>
          <w:sz w:val="32"/>
          <w:szCs w:val="32"/>
          <w:lang w:eastAsia="zh-CN"/>
        </w:rPr>
        <w:t>需要</w:t>
      </w:r>
      <w:r>
        <w:rPr>
          <w:rStyle w:val="8"/>
          <w:rFonts w:hint="eastAsia" w:ascii="仿宋_GB2312" w:hAnsi="仿宋_GB2312" w:eastAsia="仿宋_GB2312" w:cs="仿宋_GB2312"/>
          <w:b w:val="0"/>
          <w:spacing w:val="-4"/>
          <w:sz w:val="32"/>
          <w:szCs w:val="32"/>
        </w:rPr>
        <w:t>，</w:t>
      </w:r>
      <w:r>
        <w:rPr>
          <w:rStyle w:val="8"/>
          <w:rFonts w:hint="eastAsia" w:ascii="仿宋_GB2312" w:hAnsi="仿宋_GB2312" w:eastAsia="仿宋_GB2312" w:cs="仿宋_GB2312"/>
          <w:b w:val="0"/>
          <w:spacing w:val="-4"/>
          <w:sz w:val="32"/>
          <w:szCs w:val="32"/>
          <w:lang w:eastAsia="zh-CN"/>
        </w:rPr>
        <w:t>对国有资产</w:t>
      </w:r>
      <w:r>
        <w:rPr>
          <w:rStyle w:val="8"/>
          <w:rFonts w:hint="eastAsia" w:ascii="仿宋_GB2312" w:hAnsi="仿宋_GB2312" w:eastAsia="仿宋_GB2312" w:cs="仿宋_GB2312"/>
          <w:b w:val="0"/>
          <w:spacing w:val="-4"/>
          <w:sz w:val="32"/>
          <w:szCs w:val="32"/>
        </w:rPr>
        <w:t>进行维修维护，保证国有资产增值保值，收到资金用于业务</w:t>
      </w:r>
      <w:r>
        <w:rPr>
          <w:rStyle w:val="8"/>
          <w:rFonts w:hint="eastAsia" w:ascii="仿宋_GB2312" w:hAnsi="仿宋_GB2312" w:eastAsia="仿宋_GB2312" w:cs="仿宋_GB2312"/>
          <w:b w:val="0"/>
          <w:spacing w:val="-4"/>
          <w:sz w:val="32"/>
          <w:szCs w:val="32"/>
          <w:lang w:eastAsia="zh-CN"/>
        </w:rPr>
        <w:t>用房</w:t>
      </w:r>
      <w:r>
        <w:rPr>
          <w:rStyle w:val="8"/>
          <w:rFonts w:hint="eastAsia" w:ascii="仿宋_GB2312" w:hAnsi="仿宋_GB2312" w:eastAsia="仿宋_GB2312" w:cs="仿宋_GB2312"/>
          <w:b w:val="0"/>
          <w:bCs w:val="0"/>
          <w:spacing w:val="-4"/>
          <w:sz w:val="32"/>
          <w:szCs w:val="32"/>
        </w:rPr>
        <w:t>日常维护支出</w:t>
      </w:r>
      <w:r>
        <w:rPr>
          <w:rStyle w:val="8"/>
          <w:rFonts w:hint="eastAsia" w:ascii="仿宋_GB2312" w:hAnsi="仿宋_GB2312" w:eastAsia="仿宋_GB2312" w:cs="仿宋_GB2312"/>
          <w:b w:val="0"/>
          <w:spacing w:val="-4"/>
          <w:sz w:val="32"/>
          <w:szCs w:val="32"/>
        </w:rPr>
        <w:t>，</w:t>
      </w:r>
      <w:r>
        <w:rPr>
          <w:rStyle w:val="8"/>
          <w:rFonts w:hint="eastAsia" w:ascii="仿宋_GB2312" w:hAnsi="仿宋_GB2312" w:eastAsia="仿宋_GB2312" w:cs="仿宋_GB2312"/>
          <w:b w:val="0"/>
          <w:spacing w:val="-4"/>
          <w:sz w:val="32"/>
          <w:szCs w:val="32"/>
          <w:lang w:eastAsia="zh-CN"/>
        </w:rPr>
        <w:t>保证正常工作的开展</w:t>
      </w:r>
      <w:r>
        <w:rPr>
          <w:rStyle w:val="8"/>
          <w:rFonts w:hint="eastAsia" w:ascii="仿宋_GB2312" w:hAnsi="仿宋_GB2312" w:eastAsia="仿宋_GB2312" w:cs="仿宋_GB2312"/>
          <w:b w:val="0"/>
          <w:spacing w:val="-4"/>
          <w:sz w:val="32"/>
          <w:szCs w:val="32"/>
        </w:rPr>
        <w:t>。</w:t>
      </w:r>
    </w:p>
    <w:p w14:paraId="204FC8FB">
      <w:pPr>
        <w:widowControl/>
        <w:spacing w:line="520" w:lineRule="exact"/>
        <w:ind w:firstLine="627" w:firstLineChars="200"/>
        <w:jc w:val="left"/>
        <w:rPr>
          <w:rStyle w:val="8"/>
          <w:rFonts w:ascii="仿宋_GB2312" w:hAnsi="仿宋_GB2312" w:eastAsia="仿宋_GB2312" w:cs="仿宋_GB2312"/>
          <w:bCs w:val="0"/>
          <w:spacing w:val="-4"/>
          <w:sz w:val="32"/>
          <w:szCs w:val="32"/>
        </w:rPr>
      </w:pPr>
      <w:r>
        <w:rPr>
          <w:rStyle w:val="8"/>
          <w:rFonts w:hint="eastAsia" w:ascii="仿宋_GB2312" w:hAnsi="仿宋_GB2312" w:eastAsia="仿宋_GB2312" w:cs="仿宋_GB2312"/>
          <w:bCs w:val="0"/>
          <w:spacing w:val="-4"/>
          <w:sz w:val="32"/>
          <w:szCs w:val="32"/>
        </w:rPr>
        <w:t>2.项目绩效阶段性目标</w:t>
      </w:r>
    </w:p>
    <w:p w14:paraId="369D1502">
      <w:pPr>
        <w:widowControl/>
        <w:spacing w:line="520" w:lineRule="exact"/>
        <w:ind w:firstLine="624" w:firstLineChars="200"/>
        <w:jc w:val="left"/>
        <w:rPr>
          <w:rStyle w:val="8"/>
          <w:rFonts w:ascii="仿宋_GB2312" w:hAnsi="仿宋_GB2312" w:eastAsia="仿宋_GB2312" w:cs="仿宋_GB2312"/>
          <w:b w:val="0"/>
          <w:spacing w:val="-4"/>
          <w:sz w:val="32"/>
          <w:szCs w:val="32"/>
        </w:rPr>
      </w:pPr>
      <w:r>
        <w:rPr>
          <w:rStyle w:val="8"/>
          <w:rFonts w:hint="eastAsia" w:ascii="仿宋_GB2312" w:hAnsi="仿宋_GB2312" w:eastAsia="仿宋_GB2312" w:cs="仿宋_GB2312"/>
          <w:b w:val="0"/>
          <w:spacing w:val="-4"/>
          <w:sz w:val="32"/>
          <w:szCs w:val="32"/>
        </w:rPr>
        <w:t>一季度，</w:t>
      </w:r>
      <w:r>
        <w:rPr>
          <w:rStyle w:val="8"/>
          <w:rFonts w:hint="eastAsia" w:ascii="仿宋_GB2312" w:hAnsi="仿宋_GB2312" w:eastAsia="仿宋_GB2312" w:cs="仿宋_GB2312"/>
          <w:b w:val="0"/>
          <w:bCs w:val="0"/>
          <w:spacing w:val="-4"/>
          <w:sz w:val="32"/>
          <w:szCs w:val="32"/>
        </w:rPr>
        <w:t>对业务楼</w:t>
      </w:r>
      <w:r>
        <w:rPr>
          <w:rStyle w:val="8"/>
          <w:rFonts w:hint="eastAsia" w:ascii="仿宋_GB2312" w:hAnsi="仿宋_GB2312" w:eastAsia="仿宋_GB2312" w:cs="仿宋_GB2312"/>
          <w:b w:val="0"/>
          <w:spacing w:val="-4"/>
          <w:sz w:val="32"/>
          <w:szCs w:val="32"/>
        </w:rPr>
        <w:t>基础及附属设施进行全面检查，形成维修报告；二季度，收缴房屋出租租金，缴入国库；三季度，根据维修报告，实施修缮</w:t>
      </w:r>
      <w:r>
        <w:rPr>
          <w:rStyle w:val="8"/>
          <w:rFonts w:hint="eastAsia" w:ascii="仿宋_GB2312" w:hAnsi="仿宋_GB2312" w:eastAsia="仿宋_GB2312" w:cs="仿宋_GB2312"/>
          <w:b w:val="0"/>
          <w:spacing w:val="-4"/>
          <w:sz w:val="32"/>
          <w:szCs w:val="32"/>
          <w:lang w:eastAsia="zh-CN"/>
        </w:rPr>
        <w:t>及</w:t>
      </w:r>
      <w:r>
        <w:rPr>
          <w:rStyle w:val="8"/>
          <w:rFonts w:hint="eastAsia" w:ascii="仿宋_GB2312" w:hAnsi="仿宋_GB2312" w:eastAsia="仿宋_GB2312" w:cs="仿宋_GB2312"/>
          <w:b w:val="0"/>
          <w:spacing w:val="-4"/>
          <w:sz w:val="32"/>
          <w:szCs w:val="32"/>
        </w:rPr>
        <w:t>结算维修费用，完成预算执行。</w:t>
      </w:r>
    </w:p>
    <w:p w14:paraId="3165F14C">
      <w:pPr>
        <w:spacing w:line="520" w:lineRule="exact"/>
        <w:ind w:firstLine="640"/>
        <w:outlineLvl w:val="0"/>
        <w:rPr>
          <w:rStyle w:val="8"/>
          <w:rFonts w:ascii="黑体" w:hAnsi="黑体" w:eastAsia="黑体"/>
          <w:b w:val="0"/>
          <w:spacing w:val="-4"/>
          <w:sz w:val="32"/>
          <w:szCs w:val="32"/>
        </w:rPr>
      </w:pPr>
      <w:r>
        <w:rPr>
          <w:rStyle w:val="8"/>
          <w:rFonts w:hint="eastAsia" w:ascii="黑体" w:hAnsi="黑体" w:eastAsia="黑体"/>
          <w:b w:val="0"/>
          <w:spacing w:val="-4"/>
          <w:sz w:val="32"/>
          <w:szCs w:val="32"/>
        </w:rPr>
        <w:t>二、绩效评价工作开展情况</w:t>
      </w:r>
    </w:p>
    <w:p w14:paraId="5FEB6407">
      <w:pPr>
        <w:spacing w:line="520" w:lineRule="exact"/>
        <w:ind w:firstLine="640"/>
        <w:outlineLvl w:val="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（一）绩效评价目的、对象和范围</w:t>
      </w:r>
    </w:p>
    <w:p w14:paraId="274F3A4E">
      <w:pPr>
        <w:widowControl/>
        <w:spacing w:line="520" w:lineRule="exact"/>
        <w:ind w:firstLine="627" w:firstLineChars="200"/>
        <w:jc w:val="left"/>
        <w:rPr>
          <w:rStyle w:val="8"/>
          <w:rFonts w:ascii="仿宋_GB2312" w:hAnsi="仿宋_GB2312" w:eastAsia="仿宋_GB2312" w:cs="仿宋_GB2312"/>
          <w:b w:val="0"/>
          <w:spacing w:val="-4"/>
          <w:sz w:val="32"/>
          <w:szCs w:val="32"/>
        </w:rPr>
      </w:pPr>
      <w:r>
        <w:rPr>
          <w:rStyle w:val="8"/>
          <w:rFonts w:hint="eastAsia" w:ascii="仿宋_GB2312" w:hAnsi="仿宋_GB2312" w:eastAsia="仿宋_GB2312" w:cs="仿宋_GB2312"/>
          <w:spacing w:val="-4"/>
          <w:sz w:val="32"/>
          <w:szCs w:val="32"/>
        </w:rPr>
        <w:t>绩效评价目的：</w:t>
      </w:r>
      <w:r>
        <w:rPr>
          <w:rFonts w:hint="eastAsia" w:ascii="仿宋_GB2312" w:hAnsi="宋体" w:eastAsia="仿宋_GB2312"/>
          <w:sz w:val="32"/>
          <w:szCs w:val="28"/>
        </w:rPr>
        <w:t>本次评价旨在客观反映资产出租出借</w:t>
      </w:r>
      <w:r>
        <w:rPr>
          <w:rStyle w:val="8"/>
          <w:rFonts w:hint="eastAsia" w:ascii="仿宋_GB2312" w:hAnsi="仿宋_GB2312" w:eastAsia="仿宋_GB2312" w:cs="仿宋_GB2312"/>
          <w:b w:val="0"/>
          <w:spacing w:val="-4"/>
          <w:sz w:val="32"/>
          <w:szCs w:val="32"/>
        </w:rPr>
        <w:t>成本性支出资金</w:t>
      </w:r>
      <w:r>
        <w:rPr>
          <w:rStyle w:val="8"/>
          <w:rFonts w:hint="eastAsia" w:ascii="仿宋_GB2312" w:hAnsi="仿宋_GB2312" w:eastAsia="仿宋_GB2312" w:cs="仿宋_GB2312"/>
          <w:b w:val="0"/>
          <w:bCs w:val="0"/>
          <w:spacing w:val="-4"/>
          <w:sz w:val="32"/>
          <w:szCs w:val="32"/>
        </w:rPr>
        <w:t>项目管理情况、项目完成情况、取得的成绩及效益，进而分析在政策制定、预算资金安排、项目管理等方面存在的问题并提出针对性建议</w:t>
      </w:r>
      <w:r>
        <w:rPr>
          <w:rStyle w:val="8"/>
          <w:rFonts w:hint="eastAsia" w:ascii="仿宋_GB2312" w:hAnsi="仿宋_GB2312" w:eastAsia="仿宋_GB2312" w:cs="仿宋_GB2312"/>
          <w:b w:val="0"/>
          <w:spacing w:val="-4"/>
          <w:sz w:val="32"/>
          <w:szCs w:val="32"/>
        </w:rPr>
        <w:t>。</w:t>
      </w:r>
    </w:p>
    <w:p w14:paraId="1DE0AADC">
      <w:pPr>
        <w:widowControl/>
        <w:spacing w:line="520" w:lineRule="exact"/>
        <w:ind w:firstLine="627" w:firstLineChars="200"/>
        <w:jc w:val="left"/>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绩效评价对象：</w:t>
      </w:r>
      <w:r>
        <w:rPr>
          <w:rStyle w:val="8"/>
          <w:rFonts w:hint="eastAsia" w:ascii="仿宋_GB2312" w:hAnsi="仿宋_GB2312" w:eastAsia="仿宋_GB2312" w:cs="仿宋_GB2312"/>
          <w:b w:val="0"/>
          <w:spacing w:val="-4"/>
          <w:sz w:val="32"/>
          <w:szCs w:val="32"/>
        </w:rPr>
        <w:t>自治区工业和信息化厅</w:t>
      </w:r>
    </w:p>
    <w:p w14:paraId="28C65B4A">
      <w:pPr>
        <w:widowControl/>
        <w:spacing w:line="520" w:lineRule="exact"/>
        <w:ind w:firstLine="627" w:firstLineChars="200"/>
        <w:jc w:val="left"/>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绩效评价范围：</w:t>
      </w:r>
      <w:r>
        <w:rPr>
          <w:rStyle w:val="8"/>
          <w:rFonts w:hint="eastAsia" w:ascii="仿宋_GB2312" w:hAnsi="仿宋_GB2312" w:eastAsia="仿宋_GB2312" w:cs="仿宋_GB2312"/>
          <w:b w:val="0"/>
          <w:spacing w:val="-4"/>
          <w:sz w:val="32"/>
          <w:szCs w:val="32"/>
        </w:rPr>
        <w:t>自治区工业和信息化厅资产出租出借成本性支出项目的使用及绩效情况。</w:t>
      </w:r>
    </w:p>
    <w:p w14:paraId="1886E84C">
      <w:pPr>
        <w:spacing w:line="520" w:lineRule="exact"/>
        <w:ind w:firstLine="640"/>
        <w:outlineLvl w:val="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（二）绩效评价原则、评价指标体系、评价方法和评价标准</w:t>
      </w:r>
    </w:p>
    <w:p w14:paraId="490658A6">
      <w:pPr>
        <w:widowControl/>
        <w:spacing w:line="520" w:lineRule="exact"/>
        <w:ind w:firstLine="643" w:firstLineChars="200"/>
        <w:rPr>
          <w:rFonts w:ascii="仿宋_GB2312" w:hAnsi="宋体" w:eastAsia="仿宋_GB2312"/>
          <w:sz w:val="32"/>
          <w:szCs w:val="28"/>
        </w:rPr>
      </w:pPr>
      <w:r>
        <w:rPr>
          <w:rFonts w:hint="eastAsia" w:ascii="仿宋_GB2312" w:hAnsi="宋体" w:eastAsia="仿宋_GB2312"/>
          <w:b/>
          <w:bCs/>
          <w:sz w:val="32"/>
          <w:szCs w:val="28"/>
        </w:rPr>
        <w:t>绩效评价原则：</w:t>
      </w:r>
      <w:r>
        <w:rPr>
          <w:rFonts w:hint="eastAsia" w:ascii="仿宋_GB2312" w:hAnsi="宋体" w:eastAsia="仿宋_GB2312"/>
          <w:sz w:val="32"/>
          <w:szCs w:val="28"/>
        </w:rPr>
        <w:t>对</w:t>
      </w:r>
      <w:r>
        <w:rPr>
          <w:rStyle w:val="8"/>
          <w:rFonts w:hint="eastAsia" w:ascii="仿宋_GB2312" w:hAnsi="仿宋_GB2312" w:eastAsia="仿宋_GB2312" w:cs="仿宋_GB2312"/>
          <w:b w:val="0"/>
          <w:spacing w:val="-4"/>
          <w:sz w:val="32"/>
          <w:szCs w:val="32"/>
        </w:rPr>
        <w:t>资产出租出借成本性支出</w:t>
      </w:r>
      <w:r>
        <w:rPr>
          <w:rStyle w:val="8"/>
          <w:rFonts w:hint="eastAsia" w:ascii="仿宋_GB2312" w:hAnsi="仿宋_GB2312" w:eastAsia="仿宋_GB2312" w:cs="仿宋_GB2312"/>
          <w:b w:val="0"/>
          <w:bCs w:val="0"/>
          <w:spacing w:val="-4"/>
          <w:sz w:val="32"/>
          <w:szCs w:val="32"/>
        </w:rPr>
        <w:t>项目的绩效评价</w:t>
      </w:r>
      <w:r>
        <w:rPr>
          <w:rFonts w:hint="eastAsia" w:ascii="仿宋_GB2312" w:hAnsi="宋体" w:eastAsia="仿宋_GB2312"/>
          <w:sz w:val="32"/>
          <w:szCs w:val="28"/>
        </w:rPr>
        <w:t>遵循以下基本原则：</w:t>
      </w:r>
    </w:p>
    <w:p w14:paraId="69CC6E48">
      <w:pPr>
        <w:widowControl/>
        <w:spacing w:line="520" w:lineRule="exact"/>
        <w:ind w:firstLine="640" w:firstLineChars="200"/>
        <w:rPr>
          <w:rFonts w:ascii="仿宋_GB2312" w:hAnsi="宋体" w:eastAsia="仿宋_GB2312"/>
          <w:sz w:val="32"/>
          <w:szCs w:val="28"/>
        </w:rPr>
      </w:pPr>
      <w:r>
        <w:rPr>
          <w:rFonts w:hint="eastAsia" w:ascii="仿宋_GB2312" w:hAnsi="宋体" w:eastAsia="仿宋_GB2312"/>
          <w:sz w:val="32"/>
          <w:szCs w:val="28"/>
        </w:rPr>
        <w:t>（1）科学公正。运用科学合理的方法，按照规范的程序，对项目绩效进行客观、公正的反映。</w:t>
      </w:r>
    </w:p>
    <w:p w14:paraId="5BB55DD9">
      <w:pPr>
        <w:widowControl/>
        <w:spacing w:line="520" w:lineRule="exact"/>
        <w:ind w:firstLine="640" w:firstLineChars="200"/>
        <w:rPr>
          <w:rFonts w:ascii="仿宋_GB2312" w:hAnsi="宋体" w:eastAsia="仿宋_GB2312"/>
          <w:sz w:val="32"/>
          <w:szCs w:val="28"/>
        </w:rPr>
      </w:pPr>
      <w:r>
        <w:rPr>
          <w:rFonts w:hint="eastAsia" w:ascii="仿宋_GB2312" w:hAnsi="宋体" w:eastAsia="仿宋_GB2312"/>
          <w:sz w:val="32"/>
          <w:szCs w:val="28"/>
        </w:rPr>
        <w:t>（2）统筹兼顾。单位自评、部门评价和财政评价应职责明确，各有侧重，相互衔接。单位自评由项目单位，即无线电管理局自主实施，“谁支出、谁自评”。部门评价和财政评价应在单位自评的基础上开展，必要时可委托第三方机构实施。</w:t>
      </w:r>
    </w:p>
    <w:p w14:paraId="191D6132">
      <w:pPr>
        <w:widowControl/>
        <w:spacing w:line="520" w:lineRule="exact"/>
        <w:ind w:firstLine="640" w:firstLineChars="200"/>
        <w:rPr>
          <w:rFonts w:ascii="仿宋_GB2312" w:hAnsi="宋体" w:eastAsia="仿宋_GB2312"/>
          <w:sz w:val="32"/>
          <w:szCs w:val="28"/>
        </w:rPr>
      </w:pPr>
      <w:r>
        <w:rPr>
          <w:rFonts w:hint="eastAsia" w:ascii="仿宋_GB2312" w:hAnsi="宋体" w:eastAsia="仿宋_GB2312"/>
          <w:sz w:val="32"/>
          <w:szCs w:val="28"/>
        </w:rPr>
        <w:t>（3）激励约束。绩效评价结果应与预算安排、政策调整、改进管理实质性挂钩，体现奖优罚劣和激励相容导向，有效要安排、低效要压减、无效要问责。</w:t>
      </w:r>
    </w:p>
    <w:p w14:paraId="7EEC9241">
      <w:pPr>
        <w:widowControl/>
        <w:spacing w:line="520" w:lineRule="exact"/>
        <w:ind w:firstLine="640" w:firstLineChars="200"/>
        <w:rPr>
          <w:rFonts w:ascii="仿宋_GB2312" w:hAnsi="宋体" w:eastAsia="仿宋_GB2312"/>
          <w:sz w:val="32"/>
          <w:szCs w:val="28"/>
        </w:rPr>
      </w:pPr>
      <w:r>
        <w:rPr>
          <w:rFonts w:hint="eastAsia" w:ascii="仿宋_GB2312" w:hAnsi="宋体" w:eastAsia="仿宋_GB2312"/>
          <w:sz w:val="32"/>
          <w:szCs w:val="28"/>
        </w:rPr>
        <w:t>（4）公开透明。绩效评价结果应依法依规公开，并自觉接受社会监督。</w:t>
      </w:r>
    </w:p>
    <w:p w14:paraId="5049E058">
      <w:pPr>
        <w:widowControl/>
        <w:spacing w:line="520" w:lineRule="exact"/>
        <w:ind w:firstLine="643" w:firstLineChars="200"/>
        <w:rPr>
          <w:rFonts w:ascii="楷体" w:hAnsi="楷体" w:eastAsia="楷体" w:cs="楷体"/>
          <w:b/>
          <w:bCs/>
          <w:sz w:val="30"/>
          <w:szCs w:val="30"/>
        </w:rPr>
      </w:pPr>
      <w:r>
        <w:rPr>
          <w:rFonts w:hint="eastAsia" w:ascii="仿宋_GB2312" w:hAnsi="宋体" w:eastAsia="仿宋_GB2312"/>
          <w:b/>
          <w:bCs/>
          <w:sz w:val="32"/>
          <w:szCs w:val="28"/>
        </w:rPr>
        <w:t>评价指标体系（附表说明）</w:t>
      </w:r>
      <w:r>
        <w:rPr>
          <w:rFonts w:hint="eastAsia" w:ascii="仿宋_GB2312" w:hAnsi="宋体" w:eastAsia="仿宋_GB2312"/>
          <w:sz w:val="32"/>
          <w:szCs w:val="28"/>
        </w:rPr>
        <w:t>：</w:t>
      </w:r>
      <w:r>
        <w:rPr>
          <w:rFonts w:hint="eastAsia" w:ascii="仿宋_GB2312" w:hAnsi="仿宋_GB2312" w:eastAsia="仿宋_GB2312" w:cs="仿宋_GB2312"/>
          <w:sz w:val="32"/>
          <w:szCs w:val="32"/>
        </w:rPr>
        <w:t xml:space="preserve"> 根据《项目支出绩效评价管理办法》（财预〔2020〕10号）等相关文件要求，本次专项资金的评价指标体系包括评价指标、权重、评分标准，完整的绩效评价指标体系。（详见附表）</w:t>
      </w:r>
    </w:p>
    <w:tbl>
      <w:tblPr>
        <w:tblStyle w:val="6"/>
        <w:tblW w:w="812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620"/>
        <w:gridCol w:w="1812"/>
        <w:gridCol w:w="2711"/>
        <w:gridCol w:w="1027"/>
        <w:gridCol w:w="950"/>
      </w:tblGrid>
      <w:tr w14:paraId="6C9F8E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6" w:hRule="atLeast"/>
          <w:tblHeader/>
          <w:jc w:val="center"/>
        </w:trPr>
        <w:tc>
          <w:tcPr>
            <w:tcW w:w="1620" w:type="dxa"/>
            <w:shd w:val="clear" w:color="auto" w:fill="FFFFFF"/>
            <w:vAlign w:val="center"/>
          </w:tcPr>
          <w:p w14:paraId="0F47038A">
            <w:pPr>
              <w:widowControl/>
              <w:snapToGrid w:val="0"/>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1812" w:type="dxa"/>
            <w:shd w:val="clear" w:color="auto" w:fill="FFFFFF"/>
            <w:vAlign w:val="center"/>
          </w:tcPr>
          <w:p w14:paraId="32CEF841">
            <w:pPr>
              <w:widowControl/>
              <w:snapToGrid w:val="0"/>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2711" w:type="dxa"/>
            <w:shd w:val="clear" w:color="auto" w:fill="FFFFFF"/>
            <w:vAlign w:val="center"/>
          </w:tcPr>
          <w:p w14:paraId="70F2CED8">
            <w:pPr>
              <w:widowControl/>
              <w:snapToGrid w:val="0"/>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1027" w:type="dxa"/>
            <w:shd w:val="clear" w:color="auto" w:fill="FFFFFF"/>
            <w:vAlign w:val="center"/>
          </w:tcPr>
          <w:p w14:paraId="3C989B23">
            <w:pPr>
              <w:widowControl/>
              <w:snapToGrid w:val="0"/>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950" w:type="dxa"/>
            <w:shd w:val="clear" w:color="auto" w:fill="FFFFFF"/>
            <w:vAlign w:val="center"/>
          </w:tcPr>
          <w:p w14:paraId="38047EF5">
            <w:pPr>
              <w:widowControl/>
              <w:snapToGrid w:val="0"/>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54A3B5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restart"/>
            <w:shd w:val="clear" w:color="auto" w:fill="FFFFFF"/>
            <w:vAlign w:val="center"/>
          </w:tcPr>
          <w:p w14:paraId="0848E82D">
            <w:pPr>
              <w:widowControl/>
              <w:snapToGrid w:val="0"/>
              <w:jc w:val="center"/>
              <w:rPr>
                <w:rFonts w:ascii="宋体" w:hAnsi="宋体" w:cs="宋体"/>
                <w:color w:val="000000"/>
                <w:kern w:val="0"/>
                <w:sz w:val="22"/>
                <w:szCs w:val="22"/>
              </w:rPr>
            </w:pPr>
          </w:p>
          <w:p w14:paraId="5CA652FD">
            <w:pPr>
              <w:widowControl/>
              <w:snapToGrid w:val="0"/>
              <w:jc w:val="center"/>
              <w:rPr>
                <w:rFonts w:ascii="宋体" w:hAnsi="宋体" w:cs="宋体"/>
                <w:color w:val="000000"/>
                <w:kern w:val="0"/>
                <w:sz w:val="22"/>
                <w:szCs w:val="22"/>
              </w:rPr>
            </w:pPr>
          </w:p>
          <w:p w14:paraId="0FEF13F6">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决策　</w:t>
            </w:r>
          </w:p>
          <w:p w14:paraId="3A4BF2E9">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　</w:t>
            </w:r>
          </w:p>
          <w:p w14:paraId="563FC781">
            <w:pPr>
              <w:snapToGrid w:val="0"/>
              <w:jc w:val="center"/>
              <w:rPr>
                <w:rFonts w:ascii="宋体" w:hAnsi="宋体" w:cs="宋体"/>
                <w:color w:val="000000"/>
                <w:kern w:val="0"/>
                <w:sz w:val="22"/>
                <w:szCs w:val="22"/>
              </w:rPr>
            </w:pPr>
            <w:r>
              <w:rPr>
                <w:rFonts w:hint="eastAsia" w:ascii="宋体" w:hAnsi="宋体" w:cs="宋体"/>
                <w:color w:val="000000"/>
                <w:kern w:val="0"/>
                <w:sz w:val="22"/>
                <w:szCs w:val="22"/>
              </w:rPr>
              <w:t>　</w:t>
            </w:r>
          </w:p>
          <w:p w14:paraId="49810A1C">
            <w:pPr>
              <w:widowControl/>
              <w:snapToGrid w:val="0"/>
              <w:rPr>
                <w:rFonts w:ascii="宋体" w:hAnsi="宋体" w:cs="宋体"/>
                <w:color w:val="000000"/>
                <w:kern w:val="0"/>
                <w:sz w:val="22"/>
                <w:szCs w:val="22"/>
              </w:rPr>
            </w:pPr>
          </w:p>
        </w:tc>
        <w:tc>
          <w:tcPr>
            <w:tcW w:w="1812" w:type="dxa"/>
            <w:vMerge w:val="restart"/>
            <w:shd w:val="clear" w:color="auto" w:fill="FFFFFF"/>
            <w:vAlign w:val="center"/>
          </w:tcPr>
          <w:p w14:paraId="61A97FBB">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2711" w:type="dxa"/>
            <w:shd w:val="clear" w:color="auto" w:fill="FFFFFF"/>
            <w:vAlign w:val="center"/>
          </w:tcPr>
          <w:p w14:paraId="4EC3A883">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立项依据充分性</w:t>
            </w:r>
          </w:p>
        </w:tc>
        <w:tc>
          <w:tcPr>
            <w:tcW w:w="1027" w:type="dxa"/>
            <w:shd w:val="clear" w:color="auto" w:fill="FFFFFF"/>
            <w:vAlign w:val="center"/>
          </w:tcPr>
          <w:p w14:paraId="19ECDD0F">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950" w:type="dxa"/>
            <w:shd w:val="clear" w:color="auto" w:fill="FFFFFF"/>
            <w:vAlign w:val="center"/>
          </w:tcPr>
          <w:p w14:paraId="26077137">
            <w:pPr>
              <w:widowControl/>
              <w:snapToGrid w:val="0"/>
              <w:jc w:val="left"/>
              <w:rPr>
                <w:rFonts w:ascii="宋体" w:hAnsi="宋体" w:cs="宋体"/>
                <w:color w:val="000000"/>
                <w:kern w:val="0"/>
                <w:sz w:val="22"/>
                <w:szCs w:val="22"/>
              </w:rPr>
            </w:pPr>
          </w:p>
        </w:tc>
      </w:tr>
      <w:tr w14:paraId="522BFE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6D8F0EEE">
            <w:pPr>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753AD032">
            <w:pPr>
              <w:widowControl/>
              <w:snapToGrid w:val="0"/>
              <w:jc w:val="center"/>
              <w:rPr>
                <w:rFonts w:ascii="宋体" w:hAnsi="宋体" w:cs="宋体"/>
                <w:color w:val="000000"/>
                <w:kern w:val="0"/>
                <w:sz w:val="22"/>
                <w:szCs w:val="22"/>
              </w:rPr>
            </w:pPr>
          </w:p>
        </w:tc>
        <w:tc>
          <w:tcPr>
            <w:tcW w:w="2711" w:type="dxa"/>
            <w:shd w:val="clear" w:color="auto" w:fill="FFFFFF"/>
            <w:vAlign w:val="center"/>
          </w:tcPr>
          <w:p w14:paraId="373D9012">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立项程序规范性</w:t>
            </w:r>
          </w:p>
        </w:tc>
        <w:tc>
          <w:tcPr>
            <w:tcW w:w="1027" w:type="dxa"/>
            <w:shd w:val="clear" w:color="auto" w:fill="FFFFFF"/>
            <w:vAlign w:val="center"/>
          </w:tcPr>
          <w:p w14:paraId="0E3905D7">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950" w:type="dxa"/>
            <w:shd w:val="clear" w:color="auto" w:fill="FFFFFF"/>
            <w:vAlign w:val="center"/>
          </w:tcPr>
          <w:p w14:paraId="203ECC72">
            <w:pPr>
              <w:widowControl/>
              <w:snapToGrid w:val="0"/>
              <w:jc w:val="left"/>
              <w:rPr>
                <w:rFonts w:ascii="宋体" w:hAnsi="宋体" w:cs="宋体"/>
                <w:color w:val="000000"/>
                <w:kern w:val="0"/>
                <w:sz w:val="22"/>
                <w:szCs w:val="22"/>
              </w:rPr>
            </w:pPr>
          </w:p>
        </w:tc>
      </w:tr>
      <w:tr w14:paraId="75C2E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70173FD4">
            <w:pPr>
              <w:snapToGrid w:val="0"/>
              <w:jc w:val="center"/>
              <w:rPr>
                <w:rFonts w:ascii="宋体" w:hAnsi="宋体" w:cs="宋体"/>
                <w:color w:val="000000"/>
                <w:kern w:val="0"/>
                <w:sz w:val="22"/>
                <w:szCs w:val="22"/>
              </w:rPr>
            </w:pPr>
          </w:p>
        </w:tc>
        <w:tc>
          <w:tcPr>
            <w:tcW w:w="1812" w:type="dxa"/>
            <w:vMerge w:val="restart"/>
            <w:shd w:val="clear" w:color="auto" w:fill="FFFFFF"/>
            <w:vAlign w:val="center"/>
          </w:tcPr>
          <w:p w14:paraId="15A3EBB6">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2711" w:type="dxa"/>
            <w:shd w:val="clear" w:color="auto" w:fill="FFFFFF"/>
            <w:vAlign w:val="center"/>
          </w:tcPr>
          <w:p w14:paraId="4C699C31">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绩效目标合理性</w:t>
            </w:r>
          </w:p>
        </w:tc>
        <w:tc>
          <w:tcPr>
            <w:tcW w:w="1027" w:type="dxa"/>
            <w:shd w:val="clear" w:color="000000" w:fill="FFFFFF"/>
            <w:vAlign w:val="center"/>
          </w:tcPr>
          <w:p w14:paraId="111DA3F7">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950" w:type="dxa"/>
            <w:shd w:val="clear" w:color="000000" w:fill="FFFFFF"/>
            <w:vAlign w:val="center"/>
          </w:tcPr>
          <w:p w14:paraId="64A400EE">
            <w:pPr>
              <w:widowControl/>
              <w:snapToGrid w:val="0"/>
              <w:jc w:val="left"/>
              <w:rPr>
                <w:rFonts w:ascii="宋体" w:hAnsi="宋体" w:cs="宋体"/>
                <w:color w:val="000000"/>
                <w:kern w:val="0"/>
                <w:sz w:val="22"/>
                <w:szCs w:val="22"/>
              </w:rPr>
            </w:pPr>
          </w:p>
        </w:tc>
      </w:tr>
      <w:tr w14:paraId="1C248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6BA19B68">
            <w:pPr>
              <w:widowControl/>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2F6069D6">
            <w:pPr>
              <w:widowControl/>
              <w:snapToGrid w:val="0"/>
              <w:jc w:val="center"/>
              <w:rPr>
                <w:rFonts w:ascii="宋体" w:hAnsi="宋体" w:cs="宋体"/>
                <w:color w:val="000000"/>
                <w:kern w:val="0"/>
                <w:sz w:val="22"/>
                <w:szCs w:val="22"/>
              </w:rPr>
            </w:pPr>
          </w:p>
        </w:tc>
        <w:tc>
          <w:tcPr>
            <w:tcW w:w="2711" w:type="dxa"/>
            <w:shd w:val="clear" w:color="auto" w:fill="FFFFFF"/>
            <w:vAlign w:val="center"/>
          </w:tcPr>
          <w:p w14:paraId="17EC47B8">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绩效指标明确性</w:t>
            </w:r>
          </w:p>
        </w:tc>
        <w:tc>
          <w:tcPr>
            <w:tcW w:w="1027" w:type="dxa"/>
            <w:shd w:val="clear" w:color="000000" w:fill="FFFFFF"/>
            <w:vAlign w:val="center"/>
          </w:tcPr>
          <w:p w14:paraId="10603C6A">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950" w:type="dxa"/>
            <w:shd w:val="clear" w:color="000000" w:fill="FFFFFF"/>
            <w:vAlign w:val="center"/>
          </w:tcPr>
          <w:p w14:paraId="03C04DAC">
            <w:pPr>
              <w:widowControl/>
              <w:snapToGrid w:val="0"/>
              <w:rPr>
                <w:rFonts w:ascii="宋体" w:hAnsi="宋体" w:cs="宋体"/>
                <w:color w:val="000000"/>
                <w:kern w:val="0"/>
                <w:sz w:val="22"/>
                <w:szCs w:val="22"/>
              </w:rPr>
            </w:pPr>
          </w:p>
        </w:tc>
      </w:tr>
      <w:tr w14:paraId="6A5125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402B1B1A">
            <w:pPr>
              <w:snapToGrid w:val="0"/>
              <w:jc w:val="center"/>
              <w:rPr>
                <w:rFonts w:ascii="宋体" w:hAnsi="宋体" w:cs="宋体"/>
                <w:color w:val="000000"/>
                <w:kern w:val="0"/>
                <w:sz w:val="22"/>
                <w:szCs w:val="22"/>
              </w:rPr>
            </w:pPr>
          </w:p>
        </w:tc>
        <w:tc>
          <w:tcPr>
            <w:tcW w:w="1812" w:type="dxa"/>
            <w:vMerge w:val="restart"/>
            <w:shd w:val="clear" w:color="auto" w:fill="FFFFFF"/>
            <w:vAlign w:val="center"/>
          </w:tcPr>
          <w:p w14:paraId="7DE59339">
            <w:pPr>
              <w:widowControl/>
              <w:snapToGrid w:val="0"/>
              <w:jc w:val="center"/>
              <w:rPr>
                <w:rFonts w:ascii="宋体" w:hAnsi="宋体" w:cs="宋体"/>
                <w:color w:val="000000"/>
                <w:kern w:val="0"/>
                <w:sz w:val="22"/>
                <w:szCs w:val="22"/>
              </w:rPr>
            </w:pPr>
          </w:p>
          <w:p w14:paraId="5386B2AA">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14:paraId="7DB433F0">
            <w:pPr>
              <w:snapToGrid w:val="0"/>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711" w:type="dxa"/>
            <w:shd w:val="clear" w:color="auto" w:fill="FFFFFF"/>
            <w:vAlign w:val="center"/>
          </w:tcPr>
          <w:p w14:paraId="4EE42387">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预算编制科学性</w:t>
            </w:r>
          </w:p>
        </w:tc>
        <w:tc>
          <w:tcPr>
            <w:tcW w:w="1027" w:type="dxa"/>
            <w:shd w:val="clear" w:color="auto" w:fill="FFFFFF"/>
            <w:vAlign w:val="center"/>
          </w:tcPr>
          <w:p w14:paraId="4C6DA3F0">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950" w:type="dxa"/>
            <w:shd w:val="clear" w:color="auto" w:fill="FFFFFF"/>
            <w:vAlign w:val="center"/>
          </w:tcPr>
          <w:p w14:paraId="4F098278">
            <w:pPr>
              <w:widowControl/>
              <w:snapToGrid w:val="0"/>
              <w:rPr>
                <w:rFonts w:ascii="宋体" w:hAnsi="宋体" w:cs="宋体"/>
                <w:color w:val="000000"/>
                <w:kern w:val="0"/>
                <w:sz w:val="22"/>
                <w:szCs w:val="22"/>
              </w:rPr>
            </w:pPr>
          </w:p>
        </w:tc>
      </w:tr>
      <w:tr w14:paraId="7A9D7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6BBD584F">
            <w:pPr>
              <w:widowControl/>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68ABA763">
            <w:pPr>
              <w:widowControl/>
              <w:snapToGrid w:val="0"/>
              <w:jc w:val="center"/>
              <w:rPr>
                <w:rFonts w:ascii="宋体" w:hAnsi="宋体" w:cs="宋体"/>
                <w:color w:val="000000"/>
                <w:kern w:val="0"/>
                <w:sz w:val="22"/>
                <w:szCs w:val="22"/>
              </w:rPr>
            </w:pPr>
          </w:p>
        </w:tc>
        <w:tc>
          <w:tcPr>
            <w:tcW w:w="2711" w:type="dxa"/>
            <w:shd w:val="clear" w:color="auto" w:fill="FFFFFF"/>
            <w:vAlign w:val="center"/>
          </w:tcPr>
          <w:p w14:paraId="11A0B38A">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资金分配合理性</w:t>
            </w:r>
          </w:p>
        </w:tc>
        <w:tc>
          <w:tcPr>
            <w:tcW w:w="1027" w:type="dxa"/>
            <w:shd w:val="clear" w:color="auto" w:fill="FFFFFF"/>
            <w:vAlign w:val="center"/>
          </w:tcPr>
          <w:p w14:paraId="162BF26E">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950" w:type="dxa"/>
            <w:shd w:val="clear" w:color="auto" w:fill="FFFFFF"/>
            <w:vAlign w:val="center"/>
          </w:tcPr>
          <w:p w14:paraId="7A7DBE53">
            <w:pPr>
              <w:widowControl/>
              <w:snapToGrid w:val="0"/>
              <w:rPr>
                <w:rFonts w:ascii="宋体" w:hAnsi="宋体" w:cs="宋体"/>
                <w:color w:val="000000"/>
                <w:kern w:val="0"/>
                <w:sz w:val="22"/>
                <w:szCs w:val="22"/>
              </w:rPr>
            </w:pPr>
          </w:p>
        </w:tc>
      </w:tr>
      <w:tr w14:paraId="53992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restart"/>
            <w:shd w:val="clear" w:color="auto" w:fill="FFFFFF"/>
            <w:vAlign w:val="center"/>
          </w:tcPr>
          <w:p w14:paraId="459DF357">
            <w:pPr>
              <w:snapToGrid w:val="0"/>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1812" w:type="dxa"/>
            <w:vMerge w:val="restart"/>
            <w:shd w:val="clear" w:color="auto" w:fill="FFFFFF"/>
            <w:vAlign w:val="center"/>
          </w:tcPr>
          <w:p w14:paraId="1D2E7A3E">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2711" w:type="dxa"/>
            <w:shd w:val="clear" w:color="auto" w:fill="FFFFFF"/>
            <w:vAlign w:val="center"/>
          </w:tcPr>
          <w:p w14:paraId="41686D52">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1027" w:type="dxa"/>
            <w:shd w:val="clear" w:color="000000" w:fill="FFFFFF"/>
            <w:vAlign w:val="center"/>
          </w:tcPr>
          <w:p w14:paraId="6B2857A2">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950" w:type="dxa"/>
            <w:shd w:val="clear" w:color="000000" w:fill="FFFFFF"/>
            <w:vAlign w:val="center"/>
          </w:tcPr>
          <w:p w14:paraId="5527DFB6">
            <w:pPr>
              <w:widowControl/>
              <w:snapToGrid w:val="0"/>
              <w:rPr>
                <w:rFonts w:ascii="宋体" w:hAnsi="宋体" w:cs="宋体"/>
                <w:color w:val="000000"/>
                <w:kern w:val="0"/>
                <w:sz w:val="22"/>
                <w:szCs w:val="22"/>
              </w:rPr>
            </w:pPr>
          </w:p>
        </w:tc>
      </w:tr>
      <w:tr w14:paraId="746BE2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19D5BEE1">
            <w:pPr>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307D18C7">
            <w:pPr>
              <w:snapToGrid w:val="0"/>
              <w:jc w:val="center"/>
              <w:rPr>
                <w:rFonts w:ascii="宋体" w:hAnsi="宋体" w:cs="宋体"/>
                <w:color w:val="000000"/>
                <w:kern w:val="0"/>
                <w:sz w:val="22"/>
                <w:szCs w:val="22"/>
              </w:rPr>
            </w:pPr>
          </w:p>
        </w:tc>
        <w:tc>
          <w:tcPr>
            <w:tcW w:w="2711" w:type="dxa"/>
            <w:shd w:val="clear" w:color="auto" w:fill="FFFFFF"/>
            <w:vAlign w:val="center"/>
          </w:tcPr>
          <w:p w14:paraId="4173DED3">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1027" w:type="dxa"/>
            <w:shd w:val="clear" w:color="auto" w:fill="FFFFFF"/>
            <w:vAlign w:val="center"/>
          </w:tcPr>
          <w:p w14:paraId="0A5852F4">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950" w:type="dxa"/>
            <w:shd w:val="clear" w:color="auto" w:fill="FFFFFF"/>
            <w:vAlign w:val="center"/>
          </w:tcPr>
          <w:p w14:paraId="7E9359DB">
            <w:pPr>
              <w:widowControl/>
              <w:snapToGrid w:val="0"/>
              <w:rPr>
                <w:rFonts w:ascii="宋体" w:hAnsi="宋体" w:cs="宋体"/>
                <w:color w:val="000000"/>
                <w:kern w:val="0"/>
                <w:sz w:val="22"/>
                <w:szCs w:val="22"/>
              </w:rPr>
            </w:pPr>
          </w:p>
        </w:tc>
      </w:tr>
      <w:tr w14:paraId="315BEE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617A971B">
            <w:pPr>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69E4F5B9">
            <w:pPr>
              <w:widowControl/>
              <w:snapToGrid w:val="0"/>
              <w:jc w:val="center"/>
              <w:rPr>
                <w:rFonts w:ascii="宋体" w:hAnsi="宋体" w:cs="宋体"/>
                <w:color w:val="000000"/>
                <w:kern w:val="0"/>
                <w:sz w:val="22"/>
                <w:szCs w:val="22"/>
              </w:rPr>
            </w:pPr>
          </w:p>
        </w:tc>
        <w:tc>
          <w:tcPr>
            <w:tcW w:w="2711" w:type="dxa"/>
            <w:shd w:val="clear" w:color="auto" w:fill="FFFFFF"/>
            <w:vAlign w:val="center"/>
          </w:tcPr>
          <w:p w14:paraId="18A0D464">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资金使用合规性</w:t>
            </w:r>
          </w:p>
        </w:tc>
        <w:tc>
          <w:tcPr>
            <w:tcW w:w="1027" w:type="dxa"/>
            <w:shd w:val="clear" w:color="000000" w:fill="FFFFFF"/>
            <w:vAlign w:val="center"/>
          </w:tcPr>
          <w:p w14:paraId="68070671">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950" w:type="dxa"/>
            <w:shd w:val="clear" w:color="000000" w:fill="FFFFFF"/>
            <w:vAlign w:val="center"/>
          </w:tcPr>
          <w:p w14:paraId="557812D0">
            <w:pPr>
              <w:widowControl/>
              <w:snapToGrid w:val="0"/>
              <w:rPr>
                <w:rFonts w:ascii="宋体" w:hAnsi="宋体" w:cs="宋体"/>
                <w:color w:val="000000"/>
                <w:kern w:val="0"/>
                <w:sz w:val="22"/>
                <w:szCs w:val="22"/>
              </w:rPr>
            </w:pPr>
          </w:p>
        </w:tc>
      </w:tr>
      <w:tr w14:paraId="441435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201405FA">
            <w:pPr>
              <w:snapToGrid w:val="0"/>
              <w:jc w:val="center"/>
              <w:rPr>
                <w:rFonts w:ascii="宋体" w:hAnsi="宋体" w:cs="宋体"/>
                <w:color w:val="000000"/>
                <w:kern w:val="0"/>
                <w:sz w:val="22"/>
                <w:szCs w:val="22"/>
              </w:rPr>
            </w:pPr>
          </w:p>
        </w:tc>
        <w:tc>
          <w:tcPr>
            <w:tcW w:w="1812" w:type="dxa"/>
            <w:vMerge w:val="restart"/>
            <w:shd w:val="clear" w:color="auto" w:fill="FFFFFF"/>
            <w:vAlign w:val="center"/>
          </w:tcPr>
          <w:p w14:paraId="7D64A255">
            <w:pPr>
              <w:widowControl/>
              <w:snapToGrid w:val="0"/>
              <w:jc w:val="center"/>
              <w:rPr>
                <w:rFonts w:ascii="宋体" w:hAnsi="宋体" w:cs="宋体"/>
                <w:color w:val="000000"/>
                <w:kern w:val="0"/>
                <w:sz w:val="22"/>
                <w:szCs w:val="22"/>
              </w:rPr>
            </w:pPr>
          </w:p>
          <w:p w14:paraId="158F3282">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14:paraId="7DE4D30A">
            <w:pPr>
              <w:snapToGrid w:val="0"/>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711" w:type="dxa"/>
            <w:shd w:val="clear" w:color="auto" w:fill="FFFFFF"/>
            <w:vAlign w:val="center"/>
          </w:tcPr>
          <w:p w14:paraId="39D050F5">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管理制度健全性</w:t>
            </w:r>
          </w:p>
        </w:tc>
        <w:tc>
          <w:tcPr>
            <w:tcW w:w="1027" w:type="dxa"/>
            <w:shd w:val="clear" w:color="000000" w:fill="FFFFFF"/>
            <w:vAlign w:val="center"/>
          </w:tcPr>
          <w:p w14:paraId="4CF97B94">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950" w:type="dxa"/>
            <w:shd w:val="clear" w:color="000000" w:fill="FFFFFF"/>
            <w:vAlign w:val="center"/>
          </w:tcPr>
          <w:p w14:paraId="04C8865F">
            <w:pPr>
              <w:widowControl/>
              <w:snapToGrid w:val="0"/>
              <w:rPr>
                <w:rFonts w:ascii="宋体" w:hAnsi="宋体" w:cs="宋体"/>
                <w:color w:val="000000"/>
                <w:kern w:val="0"/>
                <w:sz w:val="22"/>
                <w:szCs w:val="22"/>
              </w:rPr>
            </w:pPr>
          </w:p>
        </w:tc>
      </w:tr>
      <w:tr w14:paraId="25574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3A0A93C2">
            <w:pPr>
              <w:widowControl/>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1EA7FAAD">
            <w:pPr>
              <w:widowControl/>
              <w:snapToGrid w:val="0"/>
              <w:jc w:val="center"/>
              <w:rPr>
                <w:rFonts w:ascii="宋体" w:hAnsi="宋体" w:cs="宋体"/>
                <w:color w:val="000000"/>
                <w:kern w:val="0"/>
                <w:sz w:val="22"/>
                <w:szCs w:val="22"/>
              </w:rPr>
            </w:pPr>
          </w:p>
        </w:tc>
        <w:tc>
          <w:tcPr>
            <w:tcW w:w="2711" w:type="dxa"/>
            <w:shd w:val="clear" w:color="auto" w:fill="FFFFFF"/>
            <w:vAlign w:val="center"/>
          </w:tcPr>
          <w:p w14:paraId="54821AF4">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制度执行有效性</w:t>
            </w:r>
          </w:p>
        </w:tc>
        <w:tc>
          <w:tcPr>
            <w:tcW w:w="1027" w:type="dxa"/>
            <w:shd w:val="clear" w:color="000000" w:fill="FFFFFF"/>
            <w:vAlign w:val="center"/>
          </w:tcPr>
          <w:p w14:paraId="3683AB88">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950" w:type="dxa"/>
            <w:shd w:val="clear" w:color="000000" w:fill="FFFFFF"/>
            <w:vAlign w:val="center"/>
          </w:tcPr>
          <w:p w14:paraId="16C230E2">
            <w:pPr>
              <w:widowControl/>
              <w:snapToGrid w:val="0"/>
              <w:rPr>
                <w:rFonts w:ascii="宋体" w:hAnsi="宋体" w:cs="宋体"/>
                <w:color w:val="000000"/>
                <w:kern w:val="0"/>
                <w:sz w:val="22"/>
                <w:szCs w:val="22"/>
              </w:rPr>
            </w:pPr>
          </w:p>
        </w:tc>
      </w:tr>
      <w:tr w14:paraId="18E71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restart"/>
            <w:shd w:val="clear" w:color="auto" w:fill="FFFFFF"/>
            <w:vAlign w:val="center"/>
          </w:tcPr>
          <w:p w14:paraId="1415BB08">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1812" w:type="dxa"/>
            <w:shd w:val="clear" w:color="auto" w:fill="FFFFFF"/>
            <w:vAlign w:val="center"/>
          </w:tcPr>
          <w:p w14:paraId="7F91F636">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2711" w:type="dxa"/>
            <w:shd w:val="clear" w:color="auto" w:fill="FFFFFF"/>
            <w:vAlign w:val="center"/>
          </w:tcPr>
          <w:p w14:paraId="08549F4B">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1027" w:type="dxa"/>
            <w:shd w:val="clear" w:color="000000" w:fill="FFFFFF"/>
            <w:vAlign w:val="center"/>
          </w:tcPr>
          <w:p w14:paraId="270ADBA2">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50" w:type="dxa"/>
            <w:shd w:val="clear" w:color="000000" w:fill="FFFFFF"/>
            <w:vAlign w:val="center"/>
          </w:tcPr>
          <w:p w14:paraId="44C85486">
            <w:pPr>
              <w:widowControl/>
              <w:snapToGrid w:val="0"/>
              <w:rPr>
                <w:rFonts w:ascii="宋体" w:hAnsi="宋体" w:cs="宋体"/>
                <w:color w:val="000000"/>
                <w:kern w:val="0"/>
                <w:sz w:val="22"/>
                <w:szCs w:val="22"/>
              </w:rPr>
            </w:pPr>
          </w:p>
        </w:tc>
      </w:tr>
      <w:tr w14:paraId="109B47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158B3202">
            <w:pPr>
              <w:widowControl/>
              <w:snapToGrid w:val="0"/>
              <w:jc w:val="center"/>
              <w:rPr>
                <w:rFonts w:ascii="宋体" w:hAnsi="宋体" w:cs="宋体"/>
                <w:color w:val="000000"/>
                <w:kern w:val="0"/>
                <w:sz w:val="22"/>
                <w:szCs w:val="22"/>
              </w:rPr>
            </w:pPr>
          </w:p>
        </w:tc>
        <w:tc>
          <w:tcPr>
            <w:tcW w:w="1812" w:type="dxa"/>
            <w:shd w:val="clear" w:color="auto" w:fill="FFFFFF"/>
            <w:vAlign w:val="center"/>
          </w:tcPr>
          <w:p w14:paraId="471D40CB">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2711" w:type="dxa"/>
            <w:shd w:val="clear" w:color="auto" w:fill="FFFFFF"/>
            <w:vAlign w:val="center"/>
          </w:tcPr>
          <w:p w14:paraId="5E812435">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1027" w:type="dxa"/>
            <w:shd w:val="clear" w:color="000000" w:fill="FFFFFF"/>
            <w:vAlign w:val="center"/>
          </w:tcPr>
          <w:p w14:paraId="28E060FF">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50" w:type="dxa"/>
            <w:shd w:val="clear" w:color="000000" w:fill="FFFFFF"/>
            <w:vAlign w:val="center"/>
          </w:tcPr>
          <w:p w14:paraId="79B319E1">
            <w:pPr>
              <w:widowControl/>
              <w:snapToGrid w:val="0"/>
              <w:rPr>
                <w:rFonts w:ascii="宋体" w:hAnsi="宋体" w:cs="宋体"/>
                <w:color w:val="000000"/>
                <w:kern w:val="0"/>
                <w:sz w:val="22"/>
                <w:szCs w:val="22"/>
              </w:rPr>
            </w:pPr>
          </w:p>
        </w:tc>
      </w:tr>
      <w:tr w14:paraId="785873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6B70C819">
            <w:pPr>
              <w:snapToGrid w:val="0"/>
              <w:jc w:val="center"/>
              <w:rPr>
                <w:rFonts w:ascii="宋体" w:hAnsi="宋体" w:cs="宋体"/>
                <w:color w:val="000000"/>
                <w:kern w:val="0"/>
                <w:sz w:val="22"/>
                <w:szCs w:val="22"/>
              </w:rPr>
            </w:pPr>
          </w:p>
        </w:tc>
        <w:tc>
          <w:tcPr>
            <w:tcW w:w="1812" w:type="dxa"/>
            <w:shd w:val="clear" w:color="auto" w:fill="FFFFFF"/>
            <w:vAlign w:val="center"/>
          </w:tcPr>
          <w:p w14:paraId="064A68EF">
            <w:pPr>
              <w:snapToGrid w:val="0"/>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2711" w:type="dxa"/>
            <w:shd w:val="clear" w:color="auto" w:fill="FFFFFF"/>
            <w:vAlign w:val="center"/>
          </w:tcPr>
          <w:p w14:paraId="6A7C2C19">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1027" w:type="dxa"/>
            <w:shd w:val="clear" w:color="000000" w:fill="FFFFFF"/>
            <w:vAlign w:val="center"/>
          </w:tcPr>
          <w:p w14:paraId="071B2F25">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50" w:type="dxa"/>
            <w:shd w:val="clear" w:color="000000" w:fill="FFFFFF"/>
            <w:vAlign w:val="center"/>
          </w:tcPr>
          <w:p w14:paraId="03DE6BB4">
            <w:pPr>
              <w:widowControl/>
              <w:snapToGrid w:val="0"/>
              <w:rPr>
                <w:rFonts w:ascii="宋体" w:hAnsi="宋体" w:cs="宋体"/>
                <w:color w:val="000000"/>
                <w:kern w:val="0"/>
                <w:sz w:val="22"/>
                <w:szCs w:val="22"/>
              </w:rPr>
            </w:pPr>
          </w:p>
        </w:tc>
      </w:tr>
      <w:tr w14:paraId="4DCD0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6C35B6A4">
            <w:pPr>
              <w:widowControl/>
              <w:snapToGrid w:val="0"/>
              <w:jc w:val="center"/>
              <w:rPr>
                <w:rFonts w:ascii="宋体" w:hAnsi="宋体" w:cs="宋体"/>
                <w:color w:val="000000"/>
                <w:kern w:val="0"/>
                <w:sz w:val="22"/>
                <w:szCs w:val="22"/>
              </w:rPr>
            </w:pPr>
          </w:p>
        </w:tc>
        <w:tc>
          <w:tcPr>
            <w:tcW w:w="1812" w:type="dxa"/>
            <w:shd w:val="clear" w:color="auto" w:fill="FFFFFF"/>
            <w:vAlign w:val="center"/>
          </w:tcPr>
          <w:p w14:paraId="0318E309">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2711" w:type="dxa"/>
            <w:shd w:val="clear" w:color="auto" w:fill="FFFFFF"/>
            <w:vAlign w:val="center"/>
          </w:tcPr>
          <w:p w14:paraId="34420124">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1027" w:type="dxa"/>
            <w:shd w:val="clear" w:color="000000" w:fill="FFFFFF"/>
            <w:vAlign w:val="center"/>
          </w:tcPr>
          <w:p w14:paraId="459D2362">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50" w:type="dxa"/>
            <w:shd w:val="clear" w:color="000000" w:fill="FFFFFF"/>
            <w:vAlign w:val="center"/>
          </w:tcPr>
          <w:p w14:paraId="3D6754AA">
            <w:pPr>
              <w:widowControl/>
              <w:snapToGrid w:val="0"/>
              <w:rPr>
                <w:rFonts w:ascii="宋体" w:hAnsi="宋体" w:cs="宋体"/>
                <w:color w:val="000000"/>
                <w:kern w:val="0"/>
                <w:sz w:val="22"/>
                <w:szCs w:val="22"/>
              </w:rPr>
            </w:pPr>
          </w:p>
        </w:tc>
      </w:tr>
      <w:tr w14:paraId="2E71B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restart"/>
            <w:shd w:val="clear" w:color="auto" w:fill="FFFFFF"/>
            <w:vAlign w:val="center"/>
          </w:tcPr>
          <w:p w14:paraId="26364C5F">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1812" w:type="dxa"/>
            <w:vMerge w:val="restart"/>
            <w:shd w:val="clear" w:color="auto" w:fill="FFFFFF"/>
            <w:vAlign w:val="center"/>
          </w:tcPr>
          <w:p w14:paraId="4C2ED5BB">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2711" w:type="dxa"/>
            <w:shd w:val="clear" w:color="auto" w:fill="FFFFFF"/>
            <w:vAlign w:val="center"/>
          </w:tcPr>
          <w:p w14:paraId="726E0EDE">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1027" w:type="dxa"/>
            <w:shd w:val="clear" w:color="auto" w:fill="FFFFFF"/>
            <w:vAlign w:val="center"/>
          </w:tcPr>
          <w:p w14:paraId="7E5EAB9A">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50" w:type="dxa"/>
            <w:shd w:val="clear" w:color="auto" w:fill="FFFFFF"/>
            <w:vAlign w:val="center"/>
          </w:tcPr>
          <w:p w14:paraId="71AA4286">
            <w:pPr>
              <w:widowControl/>
              <w:snapToGrid w:val="0"/>
              <w:rPr>
                <w:rFonts w:ascii="宋体" w:hAnsi="宋体" w:cs="宋体"/>
                <w:color w:val="000000"/>
                <w:kern w:val="0"/>
                <w:sz w:val="22"/>
                <w:szCs w:val="22"/>
              </w:rPr>
            </w:pPr>
          </w:p>
        </w:tc>
      </w:tr>
      <w:tr w14:paraId="52ABD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6B359E88">
            <w:pPr>
              <w:widowControl/>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14C37B43">
            <w:pPr>
              <w:widowControl/>
              <w:snapToGrid w:val="0"/>
              <w:jc w:val="center"/>
              <w:rPr>
                <w:rFonts w:ascii="宋体" w:hAnsi="宋体" w:cs="宋体"/>
                <w:color w:val="000000"/>
                <w:kern w:val="0"/>
                <w:sz w:val="22"/>
                <w:szCs w:val="22"/>
              </w:rPr>
            </w:pPr>
          </w:p>
        </w:tc>
        <w:tc>
          <w:tcPr>
            <w:tcW w:w="2711" w:type="dxa"/>
            <w:shd w:val="clear" w:color="auto" w:fill="FFFFFF"/>
            <w:vAlign w:val="center"/>
          </w:tcPr>
          <w:p w14:paraId="106D4C10">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1027" w:type="dxa"/>
            <w:shd w:val="clear" w:color="000000" w:fill="FFFFFF"/>
            <w:vAlign w:val="center"/>
          </w:tcPr>
          <w:p w14:paraId="58FA4198">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50" w:type="dxa"/>
            <w:shd w:val="clear" w:color="000000" w:fill="FFFFFF"/>
            <w:vAlign w:val="center"/>
          </w:tcPr>
          <w:p w14:paraId="0269AFF1">
            <w:pPr>
              <w:widowControl/>
              <w:snapToGrid w:val="0"/>
              <w:rPr>
                <w:rFonts w:ascii="宋体" w:hAnsi="宋体" w:cs="宋体"/>
                <w:color w:val="000000"/>
                <w:kern w:val="0"/>
                <w:sz w:val="22"/>
                <w:szCs w:val="22"/>
              </w:rPr>
            </w:pPr>
          </w:p>
        </w:tc>
      </w:tr>
    </w:tbl>
    <w:p w14:paraId="3A3C2FE1">
      <w:pPr>
        <w:widowControl/>
        <w:snapToGrid w:val="0"/>
        <w:spacing w:line="520" w:lineRule="exact"/>
        <w:ind w:firstLine="643" w:firstLineChars="200"/>
        <w:rPr>
          <w:rFonts w:ascii="仿宋_GB2312" w:hAnsi="宋体" w:eastAsia="仿宋_GB2312"/>
          <w:sz w:val="32"/>
          <w:szCs w:val="28"/>
        </w:rPr>
      </w:pPr>
      <w:r>
        <w:rPr>
          <w:rFonts w:hint="eastAsia" w:ascii="仿宋_GB2312" w:hAnsi="宋体" w:eastAsia="仿宋_GB2312"/>
          <w:b/>
          <w:bCs/>
          <w:sz w:val="32"/>
          <w:szCs w:val="28"/>
        </w:rPr>
        <w:t>评价方法：</w:t>
      </w:r>
      <w:r>
        <w:rPr>
          <w:rFonts w:hint="eastAsia" w:ascii="仿宋_GB2312" w:hAnsi="宋体" w:eastAsia="仿宋_GB2312"/>
          <w:sz w:val="32"/>
          <w:szCs w:val="28"/>
        </w:rPr>
        <w:t>按照设定的指标体系，成立了评价小组，由评价小组成员采用成本效益分析法、因素分析法等方法参与评价、进行打分，最终项目负责人进行梳理并整改。</w:t>
      </w:r>
    </w:p>
    <w:p w14:paraId="259AEC55">
      <w:pPr>
        <w:pStyle w:val="4"/>
        <w:snapToGrid w:val="0"/>
        <w:spacing w:line="520" w:lineRule="exact"/>
        <w:ind w:firstLine="643" w:firstLineChars="200"/>
        <w:rPr>
          <w:rFonts w:ascii="仿宋_GB2312" w:eastAsia="仿宋_GB2312" w:cs="Times New Roman"/>
          <w:sz w:val="32"/>
          <w:szCs w:val="28"/>
          <w:lang w:val="en-US" w:bidi="ar-SA"/>
        </w:rPr>
      </w:pPr>
      <w:r>
        <w:rPr>
          <w:rFonts w:hint="eastAsia" w:ascii="仿宋_GB2312" w:eastAsia="仿宋_GB2312" w:cs="Times New Roman"/>
          <w:b/>
          <w:bCs/>
          <w:sz w:val="32"/>
          <w:szCs w:val="28"/>
          <w:lang w:val="en-US"/>
        </w:rPr>
        <w:t>评价标准：</w:t>
      </w:r>
      <w:r>
        <w:rPr>
          <w:rFonts w:hint="eastAsia" w:ascii="仿宋_GB2312" w:eastAsia="仿宋_GB2312" w:cs="Times New Roman"/>
          <w:sz w:val="32"/>
          <w:szCs w:val="28"/>
          <w:lang w:val="en-US"/>
        </w:rPr>
        <w:t>采用</w:t>
      </w:r>
      <w:r>
        <w:rPr>
          <w:rFonts w:hint="eastAsia" w:ascii="仿宋_GB2312" w:eastAsia="仿宋_GB2312" w:cs="Times New Roman"/>
          <w:sz w:val="32"/>
          <w:szCs w:val="28"/>
          <w:lang w:val="en-US" w:bidi="ar-SA"/>
        </w:rPr>
        <w:t>计划标准评价，即以预先制定的目标、计划、预算、定额等作为评价标准，用于对</w:t>
      </w:r>
      <w:r>
        <w:rPr>
          <w:rStyle w:val="8"/>
          <w:rFonts w:hint="eastAsia" w:ascii="仿宋_GB2312" w:hAnsi="仿宋_GB2312" w:eastAsia="仿宋_GB2312" w:cs="仿宋_GB2312"/>
          <w:b w:val="0"/>
          <w:spacing w:val="-4"/>
          <w:sz w:val="32"/>
          <w:szCs w:val="32"/>
        </w:rPr>
        <w:t>资产出租出借成本性支出</w:t>
      </w:r>
      <w:r>
        <w:rPr>
          <w:rStyle w:val="8"/>
          <w:rFonts w:hint="eastAsia" w:ascii="仿宋_GB2312" w:hAnsi="仿宋_GB2312" w:eastAsia="仿宋_GB2312" w:cs="仿宋_GB2312"/>
          <w:b w:val="0"/>
          <w:bCs w:val="0"/>
          <w:spacing w:val="-4"/>
          <w:sz w:val="32"/>
          <w:szCs w:val="32"/>
          <w:lang w:val="en-US"/>
        </w:rPr>
        <w:t>项目的</w:t>
      </w:r>
      <w:r>
        <w:rPr>
          <w:rFonts w:hint="eastAsia" w:ascii="仿宋_GB2312" w:eastAsia="仿宋_GB2312" w:cs="Times New Roman"/>
          <w:sz w:val="32"/>
          <w:szCs w:val="28"/>
          <w:lang w:val="en-US" w:bidi="ar-SA"/>
        </w:rPr>
        <w:t>绩效指标完成情况进行比较。</w:t>
      </w:r>
    </w:p>
    <w:p w14:paraId="7FFFB6C2">
      <w:pPr>
        <w:snapToGrid w:val="0"/>
        <w:spacing w:line="520" w:lineRule="exact"/>
        <w:ind w:firstLine="640"/>
        <w:outlineLvl w:val="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（三）绩效评价工作过程</w:t>
      </w:r>
    </w:p>
    <w:p w14:paraId="520766E7">
      <w:pPr>
        <w:widowControl/>
        <w:snapToGrid w:val="0"/>
        <w:spacing w:line="520" w:lineRule="exact"/>
        <w:ind w:firstLine="627" w:firstLineChars="200"/>
        <w:jc w:val="left"/>
        <w:rPr>
          <w:rStyle w:val="8"/>
          <w:rFonts w:ascii="仿宋_GB2312" w:hAnsi="仿宋_GB2312" w:eastAsia="仿宋_GB2312" w:cs="仿宋_GB2312"/>
          <w:b w:val="0"/>
          <w:spacing w:val="-4"/>
          <w:sz w:val="32"/>
          <w:szCs w:val="32"/>
        </w:rPr>
      </w:pPr>
      <w:r>
        <w:rPr>
          <w:rStyle w:val="8"/>
          <w:rFonts w:hint="eastAsia" w:ascii="仿宋_GB2312" w:hAnsi="仿宋_GB2312" w:eastAsia="仿宋_GB2312" w:cs="仿宋_GB2312"/>
          <w:bCs w:val="0"/>
          <w:spacing w:val="-4"/>
          <w:sz w:val="32"/>
          <w:szCs w:val="32"/>
        </w:rPr>
        <w:t>1.前期准备。</w:t>
      </w:r>
      <w:r>
        <w:rPr>
          <w:rStyle w:val="8"/>
          <w:rFonts w:hint="eastAsia" w:ascii="仿宋_GB2312" w:hAnsi="仿宋_GB2312" w:eastAsia="仿宋_GB2312" w:cs="仿宋_GB2312"/>
          <w:b w:val="0"/>
          <w:spacing w:val="-4"/>
          <w:sz w:val="32"/>
          <w:szCs w:val="32"/>
        </w:rPr>
        <w:t>成立部门绩效评价小组，学习评价指标体系和绩效相关文件通知。</w:t>
      </w:r>
    </w:p>
    <w:p w14:paraId="529F7CCE">
      <w:pPr>
        <w:widowControl/>
        <w:snapToGrid w:val="0"/>
        <w:spacing w:line="520" w:lineRule="exact"/>
        <w:ind w:firstLine="627" w:firstLineChars="200"/>
        <w:jc w:val="left"/>
        <w:rPr>
          <w:rStyle w:val="8"/>
          <w:rFonts w:ascii="仿宋_GB2312" w:hAnsi="仿宋_GB2312" w:eastAsia="仿宋_GB2312" w:cs="仿宋_GB2312"/>
          <w:b w:val="0"/>
          <w:spacing w:val="-4"/>
          <w:sz w:val="32"/>
          <w:szCs w:val="32"/>
        </w:rPr>
      </w:pPr>
      <w:r>
        <w:rPr>
          <w:rStyle w:val="8"/>
          <w:rFonts w:hint="eastAsia" w:ascii="仿宋_GB2312" w:hAnsi="仿宋_GB2312" w:eastAsia="仿宋_GB2312" w:cs="仿宋_GB2312"/>
          <w:bCs w:val="0"/>
          <w:spacing w:val="-4"/>
          <w:sz w:val="32"/>
          <w:szCs w:val="32"/>
        </w:rPr>
        <w:t>2.组织实施。</w:t>
      </w:r>
      <w:r>
        <w:rPr>
          <w:rStyle w:val="8"/>
          <w:rFonts w:hint="eastAsia" w:ascii="仿宋_GB2312" w:hAnsi="仿宋_GB2312" w:eastAsia="仿宋_GB2312" w:cs="仿宋_GB2312"/>
          <w:b w:val="0"/>
          <w:spacing w:val="-4"/>
          <w:sz w:val="32"/>
          <w:szCs w:val="32"/>
        </w:rPr>
        <w:t>按照规定的工作程序组织绩效评价自评，注重评价质量，撰写绩效评价报告。</w:t>
      </w:r>
    </w:p>
    <w:p w14:paraId="7D72CC77">
      <w:pPr>
        <w:widowControl/>
        <w:snapToGrid w:val="0"/>
        <w:spacing w:line="520" w:lineRule="exact"/>
        <w:ind w:firstLine="627" w:firstLineChars="200"/>
        <w:jc w:val="left"/>
        <w:rPr>
          <w:rStyle w:val="8"/>
          <w:rFonts w:ascii="仿宋_GB2312" w:hAnsi="仿宋_GB2312" w:eastAsia="仿宋_GB2312" w:cs="仿宋_GB2312"/>
          <w:b w:val="0"/>
          <w:spacing w:val="-4"/>
          <w:sz w:val="32"/>
          <w:szCs w:val="32"/>
        </w:rPr>
      </w:pPr>
      <w:r>
        <w:rPr>
          <w:rStyle w:val="8"/>
          <w:rFonts w:hint="eastAsia" w:ascii="仿宋_GB2312" w:hAnsi="仿宋_GB2312" w:eastAsia="仿宋_GB2312" w:cs="仿宋_GB2312"/>
          <w:bCs w:val="0"/>
          <w:spacing w:val="-4"/>
          <w:sz w:val="32"/>
          <w:szCs w:val="32"/>
        </w:rPr>
        <w:t>3.分析评价。</w:t>
      </w:r>
      <w:r>
        <w:rPr>
          <w:rStyle w:val="8"/>
          <w:rFonts w:hint="eastAsia" w:ascii="仿宋_GB2312" w:hAnsi="仿宋_GB2312" w:eastAsia="仿宋_GB2312" w:cs="仿宋_GB2312"/>
          <w:b w:val="0"/>
          <w:spacing w:val="-4"/>
          <w:sz w:val="32"/>
          <w:szCs w:val="32"/>
        </w:rPr>
        <w:t>对评价结果进行整改，充分运用分析评价指导项目绩效工作。</w:t>
      </w:r>
    </w:p>
    <w:p w14:paraId="154C22CC">
      <w:pPr>
        <w:snapToGrid w:val="0"/>
        <w:spacing w:line="520" w:lineRule="exact"/>
        <w:ind w:firstLine="640"/>
        <w:outlineLvl w:val="0"/>
        <w:rPr>
          <w:rStyle w:val="8"/>
          <w:rFonts w:ascii="黑体" w:hAnsi="黑体" w:eastAsia="黑体"/>
          <w:b w:val="0"/>
          <w:color w:val="000000" w:themeColor="text1"/>
          <w:spacing w:val="-4"/>
          <w:sz w:val="32"/>
          <w:szCs w:val="32"/>
          <w:highlight w:val="none"/>
          <w14:textFill>
            <w14:solidFill>
              <w14:schemeClr w14:val="tx1"/>
            </w14:solidFill>
          </w14:textFill>
        </w:rPr>
      </w:pPr>
      <w:r>
        <w:rPr>
          <w:rStyle w:val="8"/>
          <w:rFonts w:hint="eastAsia" w:ascii="黑体" w:hAnsi="黑体" w:eastAsia="黑体"/>
          <w:b w:val="0"/>
          <w:color w:val="000000" w:themeColor="text1"/>
          <w:spacing w:val="-4"/>
          <w:sz w:val="32"/>
          <w:szCs w:val="32"/>
          <w:highlight w:val="none"/>
          <w14:textFill>
            <w14:solidFill>
              <w14:schemeClr w14:val="tx1"/>
            </w14:solidFill>
          </w14:textFill>
        </w:rPr>
        <w:t>三、综合评价情况及评价结论（附相关评分表）</w:t>
      </w:r>
    </w:p>
    <w:p w14:paraId="37AB6781">
      <w:pPr>
        <w:widowControl/>
        <w:snapToGrid w:val="0"/>
        <w:spacing w:line="520" w:lineRule="exact"/>
        <w:ind w:firstLine="624" w:firstLineChars="200"/>
        <w:jc w:val="left"/>
        <w:rPr>
          <w:rStyle w:val="8"/>
          <w:rFonts w:ascii="仿宋_GB2312" w:hAnsi="仿宋_GB2312" w:eastAsia="仿宋_GB2312" w:cs="仿宋_GB2312"/>
          <w:b w:val="0"/>
          <w:spacing w:val="-4"/>
          <w:sz w:val="32"/>
          <w:szCs w:val="32"/>
        </w:rPr>
      </w:pPr>
      <w:r>
        <w:rPr>
          <w:rStyle w:val="8"/>
          <w:rFonts w:hint="eastAsia" w:ascii="仿宋_GB2312" w:hAnsi="仿宋_GB2312" w:eastAsia="仿宋_GB2312" w:cs="仿宋_GB2312"/>
          <w:b w:val="0"/>
          <w:spacing w:val="-4"/>
          <w:sz w:val="32"/>
          <w:szCs w:val="32"/>
        </w:rPr>
        <w:t>自治区工业和信息化厅资产出租出借成本性支出项目绩效经部门绩效评价小</w:t>
      </w:r>
      <w:r>
        <w:rPr>
          <w:rStyle w:val="8"/>
          <w:rFonts w:hint="eastAsia" w:ascii="仿宋_GB2312" w:hAnsi="仿宋_GB2312" w:eastAsia="仿宋_GB2312" w:cs="仿宋_GB2312"/>
          <w:b w:val="0"/>
          <w:color w:val="000000" w:themeColor="text1"/>
          <w:spacing w:val="-4"/>
          <w:sz w:val="32"/>
          <w:szCs w:val="32"/>
          <w14:textFill>
            <w14:solidFill>
              <w14:schemeClr w14:val="tx1"/>
            </w14:solidFill>
          </w14:textFill>
        </w:rPr>
        <w:t>组综合评价，得分为100</w:t>
      </w:r>
      <w:r>
        <w:rPr>
          <w:rStyle w:val="8"/>
          <w:rFonts w:ascii="仿宋_GB2312" w:hAnsi="仿宋_GB2312" w:eastAsia="仿宋_GB2312" w:cs="仿宋_GB2312"/>
          <w:b w:val="0"/>
          <w:color w:val="000000" w:themeColor="text1"/>
          <w:spacing w:val="-4"/>
          <w:sz w:val="32"/>
          <w:szCs w:val="32"/>
          <w14:textFill>
            <w14:solidFill>
              <w14:schemeClr w14:val="tx1"/>
            </w14:solidFill>
          </w14:textFill>
        </w:rPr>
        <w:t>分，</w:t>
      </w:r>
      <w:r>
        <w:rPr>
          <w:rStyle w:val="8"/>
          <w:rFonts w:ascii="仿宋_GB2312" w:hAnsi="仿宋_GB2312" w:eastAsia="仿宋_GB2312" w:cs="仿宋_GB2312"/>
          <w:b w:val="0"/>
          <w:spacing w:val="-4"/>
          <w:sz w:val="32"/>
          <w:szCs w:val="32"/>
        </w:rPr>
        <w:t>评价等级为良</w:t>
      </w:r>
    </w:p>
    <w:p w14:paraId="60049AC2">
      <w:pPr>
        <w:pStyle w:val="2"/>
      </w:pPr>
    </w:p>
    <w:tbl>
      <w:tblPr>
        <w:tblStyle w:val="6"/>
        <w:tblW w:w="812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620"/>
        <w:gridCol w:w="1812"/>
        <w:gridCol w:w="2711"/>
        <w:gridCol w:w="1027"/>
        <w:gridCol w:w="950"/>
      </w:tblGrid>
      <w:tr w14:paraId="7A3AB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4" w:hRule="atLeast"/>
          <w:tblHeader/>
          <w:jc w:val="center"/>
        </w:trPr>
        <w:tc>
          <w:tcPr>
            <w:tcW w:w="1620" w:type="dxa"/>
            <w:shd w:val="clear" w:color="auto" w:fill="FFFFFF"/>
            <w:vAlign w:val="center"/>
          </w:tcPr>
          <w:p w14:paraId="63485B8B">
            <w:pPr>
              <w:widowControl/>
              <w:snapToGrid w:val="0"/>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1812" w:type="dxa"/>
            <w:shd w:val="clear" w:color="auto" w:fill="FFFFFF"/>
            <w:vAlign w:val="center"/>
          </w:tcPr>
          <w:p w14:paraId="04B6ACCA">
            <w:pPr>
              <w:widowControl/>
              <w:snapToGrid w:val="0"/>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2711" w:type="dxa"/>
            <w:shd w:val="clear" w:color="auto" w:fill="FFFFFF"/>
            <w:vAlign w:val="center"/>
          </w:tcPr>
          <w:p w14:paraId="0EB8633F">
            <w:pPr>
              <w:widowControl/>
              <w:snapToGrid w:val="0"/>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1027" w:type="dxa"/>
            <w:shd w:val="clear" w:color="auto" w:fill="FFFFFF"/>
            <w:vAlign w:val="center"/>
          </w:tcPr>
          <w:p w14:paraId="1A6F1F3E">
            <w:pPr>
              <w:widowControl/>
              <w:snapToGrid w:val="0"/>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950" w:type="dxa"/>
            <w:shd w:val="clear" w:color="auto" w:fill="FFFFFF"/>
            <w:vAlign w:val="center"/>
          </w:tcPr>
          <w:p w14:paraId="1E1C1A76">
            <w:pPr>
              <w:widowControl/>
              <w:snapToGrid w:val="0"/>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442CB4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restart"/>
            <w:shd w:val="clear" w:color="auto" w:fill="FFFFFF"/>
            <w:vAlign w:val="center"/>
          </w:tcPr>
          <w:p w14:paraId="4E831E1F">
            <w:pPr>
              <w:widowControl/>
              <w:snapToGrid w:val="0"/>
              <w:jc w:val="center"/>
              <w:rPr>
                <w:rFonts w:ascii="宋体" w:hAnsi="宋体" w:cs="宋体"/>
                <w:color w:val="000000"/>
                <w:kern w:val="0"/>
                <w:sz w:val="22"/>
                <w:szCs w:val="22"/>
              </w:rPr>
            </w:pPr>
          </w:p>
          <w:p w14:paraId="5AFC3583">
            <w:pPr>
              <w:widowControl/>
              <w:snapToGrid w:val="0"/>
              <w:jc w:val="center"/>
              <w:rPr>
                <w:rFonts w:ascii="宋体" w:hAnsi="宋体" w:cs="宋体"/>
                <w:color w:val="000000"/>
                <w:kern w:val="0"/>
                <w:sz w:val="22"/>
                <w:szCs w:val="22"/>
              </w:rPr>
            </w:pPr>
          </w:p>
          <w:p w14:paraId="3BA5B0BC">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决策　</w:t>
            </w:r>
          </w:p>
          <w:p w14:paraId="0DCF1395">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　</w:t>
            </w:r>
          </w:p>
          <w:p w14:paraId="150DEEC0">
            <w:pPr>
              <w:snapToGrid w:val="0"/>
              <w:jc w:val="center"/>
              <w:rPr>
                <w:rFonts w:ascii="宋体" w:hAnsi="宋体" w:cs="宋体"/>
                <w:color w:val="000000"/>
                <w:kern w:val="0"/>
                <w:sz w:val="22"/>
                <w:szCs w:val="22"/>
              </w:rPr>
            </w:pPr>
            <w:r>
              <w:rPr>
                <w:rFonts w:hint="eastAsia" w:ascii="宋体" w:hAnsi="宋体" w:cs="宋体"/>
                <w:color w:val="000000"/>
                <w:kern w:val="0"/>
                <w:sz w:val="22"/>
                <w:szCs w:val="22"/>
              </w:rPr>
              <w:t>　</w:t>
            </w:r>
          </w:p>
          <w:p w14:paraId="7788FA0C">
            <w:pPr>
              <w:widowControl/>
              <w:snapToGrid w:val="0"/>
              <w:rPr>
                <w:rFonts w:ascii="宋体" w:hAnsi="宋体" w:cs="宋体"/>
                <w:color w:val="000000"/>
                <w:kern w:val="0"/>
                <w:sz w:val="22"/>
                <w:szCs w:val="22"/>
              </w:rPr>
            </w:pPr>
          </w:p>
        </w:tc>
        <w:tc>
          <w:tcPr>
            <w:tcW w:w="1812" w:type="dxa"/>
            <w:vMerge w:val="restart"/>
            <w:shd w:val="clear" w:color="auto" w:fill="FFFFFF"/>
            <w:vAlign w:val="center"/>
          </w:tcPr>
          <w:p w14:paraId="0C70A807">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2711" w:type="dxa"/>
            <w:shd w:val="clear" w:color="auto" w:fill="FFFFFF"/>
            <w:vAlign w:val="center"/>
          </w:tcPr>
          <w:p w14:paraId="6D88459A">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立项依据充分性</w:t>
            </w:r>
          </w:p>
        </w:tc>
        <w:tc>
          <w:tcPr>
            <w:tcW w:w="1027" w:type="dxa"/>
            <w:shd w:val="clear" w:color="auto" w:fill="FFFFFF"/>
            <w:vAlign w:val="center"/>
          </w:tcPr>
          <w:p w14:paraId="4EC7ED73">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950" w:type="dxa"/>
            <w:shd w:val="clear" w:color="auto" w:fill="FFFFFF"/>
            <w:vAlign w:val="center"/>
          </w:tcPr>
          <w:p w14:paraId="174265EA">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r>
      <w:tr w14:paraId="601DD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73FA9A72">
            <w:pPr>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3F7A464C">
            <w:pPr>
              <w:widowControl/>
              <w:snapToGrid w:val="0"/>
              <w:jc w:val="center"/>
              <w:rPr>
                <w:rFonts w:ascii="宋体" w:hAnsi="宋体" w:cs="宋体"/>
                <w:color w:val="000000"/>
                <w:kern w:val="0"/>
                <w:sz w:val="22"/>
                <w:szCs w:val="22"/>
              </w:rPr>
            </w:pPr>
          </w:p>
        </w:tc>
        <w:tc>
          <w:tcPr>
            <w:tcW w:w="2711" w:type="dxa"/>
            <w:shd w:val="clear" w:color="auto" w:fill="FFFFFF"/>
            <w:vAlign w:val="center"/>
          </w:tcPr>
          <w:p w14:paraId="5A1D5845">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立项程序规范性</w:t>
            </w:r>
          </w:p>
        </w:tc>
        <w:tc>
          <w:tcPr>
            <w:tcW w:w="1027" w:type="dxa"/>
            <w:shd w:val="clear" w:color="auto" w:fill="FFFFFF"/>
            <w:vAlign w:val="center"/>
          </w:tcPr>
          <w:p w14:paraId="79230F11">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950" w:type="dxa"/>
            <w:shd w:val="clear" w:color="auto" w:fill="FFFFFF"/>
            <w:vAlign w:val="center"/>
          </w:tcPr>
          <w:p w14:paraId="5D1CFF55">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5</w:t>
            </w:r>
          </w:p>
        </w:tc>
      </w:tr>
      <w:tr w14:paraId="3E9A1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27B17828">
            <w:pPr>
              <w:snapToGrid w:val="0"/>
              <w:jc w:val="center"/>
              <w:rPr>
                <w:rFonts w:ascii="宋体" w:hAnsi="宋体" w:cs="宋体"/>
                <w:color w:val="000000"/>
                <w:kern w:val="0"/>
                <w:sz w:val="22"/>
                <w:szCs w:val="22"/>
              </w:rPr>
            </w:pPr>
          </w:p>
        </w:tc>
        <w:tc>
          <w:tcPr>
            <w:tcW w:w="1812" w:type="dxa"/>
            <w:vMerge w:val="restart"/>
            <w:shd w:val="clear" w:color="auto" w:fill="FFFFFF"/>
            <w:vAlign w:val="center"/>
          </w:tcPr>
          <w:p w14:paraId="4110682F">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2711" w:type="dxa"/>
            <w:shd w:val="clear" w:color="auto" w:fill="FFFFFF"/>
            <w:vAlign w:val="center"/>
          </w:tcPr>
          <w:p w14:paraId="6D7249C9">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绩效目标合理性</w:t>
            </w:r>
          </w:p>
        </w:tc>
        <w:tc>
          <w:tcPr>
            <w:tcW w:w="1027" w:type="dxa"/>
            <w:shd w:val="clear" w:color="000000" w:fill="FFFFFF"/>
            <w:vAlign w:val="center"/>
          </w:tcPr>
          <w:p w14:paraId="0945B1DF">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950" w:type="dxa"/>
            <w:shd w:val="clear" w:color="000000" w:fill="FFFFFF"/>
            <w:vAlign w:val="center"/>
          </w:tcPr>
          <w:p w14:paraId="09611C94">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27AB13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55161679">
            <w:pPr>
              <w:widowControl/>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608541D4">
            <w:pPr>
              <w:widowControl/>
              <w:snapToGrid w:val="0"/>
              <w:jc w:val="center"/>
              <w:rPr>
                <w:rFonts w:ascii="宋体" w:hAnsi="宋体" w:cs="宋体"/>
                <w:color w:val="000000"/>
                <w:kern w:val="0"/>
                <w:sz w:val="22"/>
                <w:szCs w:val="22"/>
              </w:rPr>
            </w:pPr>
          </w:p>
        </w:tc>
        <w:tc>
          <w:tcPr>
            <w:tcW w:w="2711" w:type="dxa"/>
            <w:shd w:val="clear" w:color="auto" w:fill="FFFFFF"/>
            <w:vAlign w:val="center"/>
          </w:tcPr>
          <w:p w14:paraId="7740AE93">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绩效指标明确性</w:t>
            </w:r>
          </w:p>
        </w:tc>
        <w:tc>
          <w:tcPr>
            <w:tcW w:w="1027" w:type="dxa"/>
            <w:shd w:val="clear" w:color="000000" w:fill="FFFFFF"/>
            <w:vAlign w:val="center"/>
          </w:tcPr>
          <w:p w14:paraId="7A357B85">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950" w:type="dxa"/>
            <w:shd w:val="clear" w:color="000000" w:fill="FFFFFF"/>
            <w:vAlign w:val="center"/>
          </w:tcPr>
          <w:p w14:paraId="10779716">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w:t>
            </w:r>
          </w:p>
        </w:tc>
      </w:tr>
      <w:tr w14:paraId="0817FF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5395D8EC">
            <w:pPr>
              <w:snapToGrid w:val="0"/>
              <w:jc w:val="center"/>
              <w:rPr>
                <w:rFonts w:ascii="宋体" w:hAnsi="宋体" w:cs="宋体"/>
                <w:color w:val="000000"/>
                <w:kern w:val="0"/>
                <w:sz w:val="22"/>
                <w:szCs w:val="22"/>
              </w:rPr>
            </w:pPr>
          </w:p>
        </w:tc>
        <w:tc>
          <w:tcPr>
            <w:tcW w:w="1812" w:type="dxa"/>
            <w:vMerge w:val="restart"/>
            <w:shd w:val="clear" w:color="auto" w:fill="FFFFFF"/>
            <w:vAlign w:val="center"/>
          </w:tcPr>
          <w:p w14:paraId="4141CC8B">
            <w:pPr>
              <w:widowControl/>
              <w:snapToGrid w:val="0"/>
              <w:jc w:val="center"/>
              <w:rPr>
                <w:rFonts w:ascii="宋体" w:hAnsi="宋体" w:cs="宋体"/>
                <w:color w:val="000000"/>
                <w:kern w:val="0"/>
                <w:sz w:val="22"/>
                <w:szCs w:val="22"/>
              </w:rPr>
            </w:pPr>
          </w:p>
          <w:p w14:paraId="7537B3A7">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14:paraId="787A1310">
            <w:pPr>
              <w:snapToGrid w:val="0"/>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711" w:type="dxa"/>
            <w:shd w:val="clear" w:color="auto" w:fill="FFFFFF"/>
            <w:vAlign w:val="center"/>
          </w:tcPr>
          <w:p w14:paraId="33CE269B">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预算编制科学性</w:t>
            </w:r>
          </w:p>
        </w:tc>
        <w:tc>
          <w:tcPr>
            <w:tcW w:w="1027" w:type="dxa"/>
            <w:shd w:val="clear" w:color="auto" w:fill="FFFFFF"/>
            <w:vAlign w:val="center"/>
          </w:tcPr>
          <w:p w14:paraId="0FE17EC7">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950" w:type="dxa"/>
            <w:shd w:val="clear" w:color="auto" w:fill="FFFFFF"/>
            <w:vAlign w:val="center"/>
          </w:tcPr>
          <w:p w14:paraId="506C9F48">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r>
      <w:tr w14:paraId="2FB7F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5552CCAF">
            <w:pPr>
              <w:widowControl/>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77F05567">
            <w:pPr>
              <w:widowControl/>
              <w:snapToGrid w:val="0"/>
              <w:jc w:val="center"/>
              <w:rPr>
                <w:rFonts w:ascii="宋体" w:hAnsi="宋体" w:cs="宋体"/>
                <w:color w:val="000000"/>
                <w:kern w:val="0"/>
                <w:sz w:val="22"/>
                <w:szCs w:val="22"/>
              </w:rPr>
            </w:pPr>
          </w:p>
        </w:tc>
        <w:tc>
          <w:tcPr>
            <w:tcW w:w="2711" w:type="dxa"/>
            <w:shd w:val="clear" w:color="auto" w:fill="FFFFFF"/>
            <w:vAlign w:val="center"/>
          </w:tcPr>
          <w:p w14:paraId="6023FEAC">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资金分配合理性</w:t>
            </w:r>
          </w:p>
        </w:tc>
        <w:tc>
          <w:tcPr>
            <w:tcW w:w="1027" w:type="dxa"/>
            <w:shd w:val="clear" w:color="auto" w:fill="FFFFFF"/>
            <w:vAlign w:val="center"/>
          </w:tcPr>
          <w:p w14:paraId="0C182D2D">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950" w:type="dxa"/>
            <w:shd w:val="clear" w:color="auto" w:fill="FFFFFF"/>
            <w:vAlign w:val="center"/>
          </w:tcPr>
          <w:p w14:paraId="23236A48">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5</w:t>
            </w:r>
          </w:p>
        </w:tc>
      </w:tr>
      <w:tr w14:paraId="4331B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restart"/>
            <w:shd w:val="clear" w:color="auto" w:fill="FFFFFF"/>
            <w:vAlign w:val="center"/>
          </w:tcPr>
          <w:p w14:paraId="33F163EF">
            <w:pPr>
              <w:snapToGrid w:val="0"/>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1812" w:type="dxa"/>
            <w:vMerge w:val="restart"/>
            <w:shd w:val="clear" w:color="auto" w:fill="FFFFFF"/>
            <w:vAlign w:val="center"/>
          </w:tcPr>
          <w:p w14:paraId="33474728">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2711" w:type="dxa"/>
            <w:shd w:val="clear" w:color="auto" w:fill="FFFFFF"/>
            <w:vAlign w:val="center"/>
          </w:tcPr>
          <w:p w14:paraId="0E4E146B">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1027" w:type="dxa"/>
            <w:shd w:val="clear" w:color="000000" w:fill="FFFFFF"/>
            <w:vAlign w:val="center"/>
          </w:tcPr>
          <w:p w14:paraId="341F4E0A">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950" w:type="dxa"/>
            <w:shd w:val="clear" w:color="000000" w:fill="FFFFFF"/>
            <w:vAlign w:val="center"/>
          </w:tcPr>
          <w:p w14:paraId="3477E1C8">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5</w:t>
            </w:r>
          </w:p>
        </w:tc>
      </w:tr>
      <w:tr w14:paraId="23EF1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53430581">
            <w:pPr>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1D09D32C">
            <w:pPr>
              <w:snapToGrid w:val="0"/>
              <w:jc w:val="center"/>
              <w:rPr>
                <w:rFonts w:ascii="宋体" w:hAnsi="宋体" w:cs="宋体"/>
                <w:color w:val="000000"/>
                <w:kern w:val="0"/>
                <w:sz w:val="22"/>
                <w:szCs w:val="22"/>
              </w:rPr>
            </w:pPr>
          </w:p>
        </w:tc>
        <w:tc>
          <w:tcPr>
            <w:tcW w:w="2711" w:type="dxa"/>
            <w:shd w:val="clear" w:color="auto" w:fill="FFFFFF"/>
            <w:vAlign w:val="center"/>
          </w:tcPr>
          <w:p w14:paraId="574229E0">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1027" w:type="dxa"/>
            <w:shd w:val="clear" w:color="auto" w:fill="FFFFFF"/>
            <w:vAlign w:val="center"/>
          </w:tcPr>
          <w:p w14:paraId="29BDC9B8">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950" w:type="dxa"/>
            <w:shd w:val="clear" w:color="auto" w:fill="FFFFFF"/>
            <w:vAlign w:val="center"/>
          </w:tcPr>
          <w:p w14:paraId="291484C8">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3</w:t>
            </w:r>
          </w:p>
        </w:tc>
      </w:tr>
      <w:tr w14:paraId="76858B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1BB3B922">
            <w:pPr>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666895EF">
            <w:pPr>
              <w:widowControl/>
              <w:snapToGrid w:val="0"/>
              <w:jc w:val="center"/>
              <w:rPr>
                <w:rFonts w:ascii="宋体" w:hAnsi="宋体" w:cs="宋体"/>
                <w:color w:val="000000"/>
                <w:kern w:val="0"/>
                <w:sz w:val="22"/>
                <w:szCs w:val="22"/>
              </w:rPr>
            </w:pPr>
          </w:p>
        </w:tc>
        <w:tc>
          <w:tcPr>
            <w:tcW w:w="2711" w:type="dxa"/>
            <w:shd w:val="clear" w:color="auto" w:fill="FFFFFF"/>
            <w:vAlign w:val="center"/>
          </w:tcPr>
          <w:p w14:paraId="12AD2FE2">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资金使用合规性</w:t>
            </w:r>
          </w:p>
        </w:tc>
        <w:tc>
          <w:tcPr>
            <w:tcW w:w="1027" w:type="dxa"/>
            <w:shd w:val="clear" w:color="000000" w:fill="FFFFFF"/>
            <w:vAlign w:val="center"/>
          </w:tcPr>
          <w:p w14:paraId="1A4A796D">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950" w:type="dxa"/>
            <w:shd w:val="clear" w:color="000000" w:fill="FFFFFF"/>
            <w:vAlign w:val="center"/>
          </w:tcPr>
          <w:p w14:paraId="5CD6C8B3">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r>
      <w:tr w14:paraId="444A0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2223E228">
            <w:pPr>
              <w:snapToGrid w:val="0"/>
              <w:jc w:val="center"/>
              <w:rPr>
                <w:rFonts w:ascii="宋体" w:hAnsi="宋体" w:cs="宋体"/>
                <w:color w:val="000000"/>
                <w:kern w:val="0"/>
                <w:sz w:val="22"/>
                <w:szCs w:val="22"/>
              </w:rPr>
            </w:pPr>
          </w:p>
        </w:tc>
        <w:tc>
          <w:tcPr>
            <w:tcW w:w="1812" w:type="dxa"/>
            <w:vMerge w:val="restart"/>
            <w:shd w:val="clear" w:color="auto" w:fill="FFFFFF"/>
            <w:vAlign w:val="center"/>
          </w:tcPr>
          <w:p w14:paraId="4DB27994">
            <w:pPr>
              <w:widowControl/>
              <w:snapToGrid w:val="0"/>
              <w:jc w:val="center"/>
              <w:rPr>
                <w:rFonts w:ascii="宋体" w:hAnsi="宋体" w:cs="宋体"/>
                <w:color w:val="000000"/>
                <w:kern w:val="0"/>
                <w:sz w:val="22"/>
                <w:szCs w:val="22"/>
              </w:rPr>
            </w:pPr>
          </w:p>
          <w:p w14:paraId="7FDE7600">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14:paraId="387DA5E5">
            <w:pPr>
              <w:snapToGrid w:val="0"/>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711" w:type="dxa"/>
            <w:shd w:val="clear" w:color="auto" w:fill="FFFFFF"/>
            <w:vAlign w:val="center"/>
          </w:tcPr>
          <w:p w14:paraId="3FA6DA86">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管理制度健全性</w:t>
            </w:r>
          </w:p>
        </w:tc>
        <w:tc>
          <w:tcPr>
            <w:tcW w:w="1027" w:type="dxa"/>
            <w:shd w:val="clear" w:color="000000" w:fill="FFFFFF"/>
            <w:vAlign w:val="center"/>
          </w:tcPr>
          <w:p w14:paraId="551DC64A">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950" w:type="dxa"/>
            <w:shd w:val="clear" w:color="000000" w:fill="FFFFFF"/>
            <w:vAlign w:val="center"/>
          </w:tcPr>
          <w:p w14:paraId="3BC1E88C">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r>
      <w:tr w14:paraId="397A46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01E0F596">
            <w:pPr>
              <w:widowControl/>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457875FE">
            <w:pPr>
              <w:widowControl/>
              <w:snapToGrid w:val="0"/>
              <w:jc w:val="center"/>
              <w:rPr>
                <w:rFonts w:ascii="宋体" w:hAnsi="宋体" w:cs="宋体"/>
                <w:color w:val="000000"/>
                <w:kern w:val="0"/>
                <w:sz w:val="22"/>
                <w:szCs w:val="22"/>
              </w:rPr>
            </w:pPr>
          </w:p>
        </w:tc>
        <w:tc>
          <w:tcPr>
            <w:tcW w:w="2711" w:type="dxa"/>
            <w:shd w:val="clear" w:color="auto" w:fill="FFFFFF"/>
            <w:vAlign w:val="center"/>
          </w:tcPr>
          <w:p w14:paraId="5BD51578">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制度执行有效性</w:t>
            </w:r>
          </w:p>
        </w:tc>
        <w:tc>
          <w:tcPr>
            <w:tcW w:w="1027" w:type="dxa"/>
            <w:shd w:val="clear" w:color="000000" w:fill="FFFFFF"/>
            <w:vAlign w:val="center"/>
          </w:tcPr>
          <w:p w14:paraId="1BC84101">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950" w:type="dxa"/>
            <w:shd w:val="clear" w:color="000000" w:fill="FFFFFF"/>
            <w:vAlign w:val="center"/>
          </w:tcPr>
          <w:p w14:paraId="43CFEEDB">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4</w:t>
            </w:r>
          </w:p>
        </w:tc>
      </w:tr>
      <w:tr w14:paraId="0A719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restart"/>
            <w:shd w:val="clear" w:color="auto" w:fill="FFFFFF"/>
            <w:vAlign w:val="center"/>
          </w:tcPr>
          <w:p w14:paraId="5812B166">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1812" w:type="dxa"/>
            <w:shd w:val="clear" w:color="auto" w:fill="FFFFFF"/>
            <w:vAlign w:val="center"/>
          </w:tcPr>
          <w:p w14:paraId="11DF65C4">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2711" w:type="dxa"/>
            <w:shd w:val="clear" w:color="auto" w:fill="FFFFFF"/>
            <w:vAlign w:val="center"/>
          </w:tcPr>
          <w:p w14:paraId="079F7CCC">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1027" w:type="dxa"/>
            <w:shd w:val="clear" w:color="000000" w:fill="FFFFFF"/>
            <w:vAlign w:val="center"/>
          </w:tcPr>
          <w:p w14:paraId="228EEB3F">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50" w:type="dxa"/>
            <w:shd w:val="clear" w:color="000000" w:fill="FFFFFF"/>
            <w:vAlign w:val="center"/>
          </w:tcPr>
          <w:p w14:paraId="4AFE31D5">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14:paraId="4F9E2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79E691E0">
            <w:pPr>
              <w:widowControl/>
              <w:snapToGrid w:val="0"/>
              <w:jc w:val="center"/>
              <w:rPr>
                <w:rFonts w:ascii="宋体" w:hAnsi="宋体" w:cs="宋体"/>
                <w:color w:val="000000"/>
                <w:kern w:val="0"/>
                <w:sz w:val="22"/>
                <w:szCs w:val="22"/>
              </w:rPr>
            </w:pPr>
          </w:p>
        </w:tc>
        <w:tc>
          <w:tcPr>
            <w:tcW w:w="1812" w:type="dxa"/>
            <w:shd w:val="clear" w:color="auto" w:fill="FFFFFF"/>
            <w:vAlign w:val="center"/>
          </w:tcPr>
          <w:p w14:paraId="7E9B823C">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2711" w:type="dxa"/>
            <w:shd w:val="clear" w:color="auto" w:fill="FFFFFF"/>
            <w:vAlign w:val="center"/>
          </w:tcPr>
          <w:p w14:paraId="56F64B5A">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1027" w:type="dxa"/>
            <w:shd w:val="clear" w:color="000000" w:fill="FFFFFF"/>
            <w:vAlign w:val="center"/>
          </w:tcPr>
          <w:p w14:paraId="7C303E37">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50" w:type="dxa"/>
            <w:shd w:val="clear" w:color="000000" w:fill="FFFFFF"/>
            <w:vAlign w:val="center"/>
          </w:tcPr>
          <w:p w14:paraId="342558EE">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14:paraId="24B7E7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110B93DF">
            <w:pPr>
              <w:snapToGrid w:val="0"/>
              <w:jc w:val="center"/>
              <w:rPr>
                <w:rFonts w:ascii="宋体" w:hAnsi="宋体" w:cs="宋体"/>
                <w:color w:val="000000"/>
                <w:kern w:val="0"/>
                <w:sz w:val="22"/>
                <w:szCs w:val="22"/>
              </w:rPr>
            </w:pPr>
          </w:p>
        </w:tc>
        <w:tc>
          <w:tcPr>
            <w:tcW w:w="1812" w:type="dxa"/>
            <w:shd w:val="clear" w:color="auto" w:fill="FFFFFF"/>
            <w:vAlign w:val="center"/>
          </w:tcPr>
          <w:p w14:paraId="03E9BD02">
            <w:pPr>
              <w:snapToGrid w:val="0"/>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2711" w:type="dxa"/>
            <w:shd w:val="clear" w:color="auto" w:fill="FFFFFF"/>
            <w:vAlign w:val="center"/>
          </w:tcPr>
          <w:p w14:paraId="1EF3589D">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1027" w:type="dxa"/>
            <w:shd w:val="clear" w:color="000000" w:fill="FFFFFF"/>
            <w:vAlign w:val="center"/>
          </w:tcPr>
          <w:p w14:paraId="16053CFD">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50" w:type="dxa"/>
            <w:shd w:val="clear" w:color="000000" w:fill="FFFFFF"/>
            <w:vAlign w:val="center"/>
          </w:tcPr>
          <w:p w14:paraId="0BA66E55">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14:paraId="19BD3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2A29B88E">
            <w:pPr>
              <w:widowControl/>
              <w:snapToGrid w:val="0"/>
              <w:jc w:val="center"/>
              <w:rPr>
                <w:rFonts w:ascii="宋体" w:hAnsi="宋体" w:cs="宋体"/>
                <w:color w:val="000000"/>
                <w:kern w:val="0"/>
                <w:sz w:val="22"/>
                <w:szCs w:val="22"/>
              </w:rPr>
            </w:pPr>
          </w:p>
        </w:tc>
        <w:tc>
          <w:tcPr>
            <w:tcW w:w="1812" w:type="dxa"/>
            <w:shd w:val="clear" w:color="auto" w:fill="FFFFFF"/>
            <w:vAlign w:val="center"/>
          </w:tcPr>
          <w:p w14:paraId="26F0FDA4">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2711" w:type="dxa"/>
            <w:shd w:val="clear" w:color="auto" w:fill="FFFFFF"/>
            <w:vAlign w:val="center"/>
          </w:tcPr>
          <w:p w14:paraId="7602BCAA">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1027" w:type="dxa"/>
            <w:shd w:val="clear" w:color="000000" w:fill="FFFFFF"/>
            <w:vAlign w:val="center"/>
          </w:tcPr>
          <w:p w14:paraId="4B3AEAE6">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50" w:type="dxa"/>
            <w:shd w:val="clear" w:color="000000" w:fill="FFFFFF"/>
            <w:vAlign w:val="center"/>
          </w:tcPr>
          <w:p w14:paraId="611E3D28">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14:paraId="2F9BA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restart"/>
            <w:shd w:val="clear" w:color="auto" w:fill="FFFFFF"/>
            <w:vAlign w:val="center"/>
          </w:tcPr>
          <w:p w14:paraId="21EDCEE7">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1812" w:type="dxa"/>
            <w:vMerge w:val="restart"/>
            <w:shd w:val="clear" w:color="auto" w:fill="FFFFFF"/>
            <w:vAlign w:val="center"/>
          </w:tcPr>
          <w:p w14:paraId="709D8496">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2711" w:type="dxa"/>
            <w:shd w:val="clear" w:color="auto" w:fill="FFFFFF"/>
            <w:vAlign w:val="center"/>
          </w:tcPr>
          <w:p w14:paraId="642FEF21">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1027" w:type="dxa"/>
            <w:shd w:val="clear" w:color="auto" w:fill="FFFFFF"/>
            <w:vAlign w:val="center"/>
          </w:tcPr>
          <w:p w14:paraId="797BB0FF">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950" w:type="dxa"/>
            <w:shd w:val="clear" w:color="auto" w:fill="FFFFFF"/>
            <w:vAlign w:val="center"/>
          </w:tcPr>
          <w:p w14:paraId="545F5A9B">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5</w:t>
            </w:r>
          </w:p>
        </w:tc>
      </w:tr>
      <w:tr w14:paraId="5858EA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20" w:type="dxa"/>
            <w:vMerge w:val="continue"/>
            <w:shd w:val="clear" w:color="auto" w:fill="FFFFFF"/>
            <w:vAlign w:val="center"/>
          </w:tcPr>
          <w:p w14:paraId="51A356E8">
            <w:pPr>
              <w:widowControl/>
              <w:snapToGrid w:val="0"/>
              <w:jc w:val="center"/>
              <w:rPr>
                <w:rFonts w:ascii="宋体" w:hAnsi="宋体" w:cs="宋体"/>
                <w:color w:val="000000"/>
                <w:kern w:val="0"/>
                <w:sz w:val="22"/>
                <w:szCs w:val="22"/>
              </w:rPr>
            </w:pPr>
          </w:p>
        </w:tc>
        <w:tc>
          <w:tcPr>
            <w:tcW w:w="1812" w:type="dxa"/>
            <w:vMerge w:val="continue"/>
            <w:shd w:val="clear" w:color="auto" w:fill="FFFFFF"/>
            <w:vAlign w:val="center"/>
          </w:tcPr>
          <w:p w14:paraId="62F859D1">
            <w:pPr>
              <w:widowControl/>
              <w:snapToGrid w:val="0"/>
              <w:jc w:val="center"/>
              <w:rPr>
                <w:rFonts w:ascii="宋体" w:hAnsi="宋体" w:cs="宋体"/>
                <w:color w:val="000000"/>
                <w:kern w:val="0"/>
                <w:sz w:val="22"/>
                <w:szCs w:val="22"/>
              </w:rPr>
            </w:pPr>
          </w:p>
        </w:tc>
        <w:tc>
          <w:tcPr>
            <w:tcW w:w="2711" w:type="dxa"/>
            <w:shd w:val="clear" w:color="auto" w:fill="FFFFFF"/>
            <w:vAlign w:val="center"/>
          </w:tcPr>
          <w:p w14:paraId="0B4403F0">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1027" w:type="dxa"/>
            <w:shd w:val="clear" w:color="000000" w:fill="FFFFFF"/>
            <w:vAlign w:val="center"/>
          </w:tcPr>
          <w:p w14:paraId="020FA135">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50" w:type="dxa"/>
            <w:shd w:val="clear" w:color="000000" w:fill="FFFFFF"/>
            <w:vAlign w:val="center"/>
          </w:tcPr>
          <w:p w14:paraId="7EC31541">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14:paraId="783C1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6143" w:type="dxa"/>
            <w:gridSpan w:val="3"/>
            <w:shd w:val="clear" w:color="auto" w:fill="FFFFFF"/>
            <w:vAlign w:val="center"/>
          </w:tcPr>
          <w:p w14:paraId="5C15FA23">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027" w:type="dxa"/>
            <w:shd w:val="clear" w:color="000000" w:fill="FFFFFF"/>
            <w:vAlign w:val="center"/>
          </w:tcPr>
          <w:p w14:paraId="3F110143">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fldChar w:fldCharType="begin"/>
            </w:r>
            <w:r>
              <w:rPr>
                <w:rFonts w:hint="eastAsia" w:ascii="宋体" w:hAnsi="宋体" w:cs="宋体"/>
                <w:color w:val="000000"/>
                <w:kern w:val="0"/>
                <w:sz w:val="22"/>
                <w:szCs w:val="22"/>
              </w:rPr>
              <w:instrText xml:space="preserve"> = sum(D2:D18) \* MERGEFORMAT </w:instrText>
            </w:r>
            <w:r>
              <w:rPr>
                <w:rFonts w:hint="eastAsia" w:ascii="宋体" w:hAnsi="宋体" w:cs="宋体"/>
                <w:color w:val="000000"/>
                <w:kern w:val="0"/>
                <w:sz w:val="22"/>
                <w:szCs w:val="22"/>
              </w:rPr>
              <w:fldChar w:fldCharType="separate"/>
            </w:r>
            <w:r>
              <w:rPr>
                <w:rFonts w:hint="eastAsia" w:ascii="宋体" w:hAnsi="宋体" w:cs="宋体"/>
                <w:color w:val="000000"/>
                <w:kern w:val="0"/>
                <w:sz w:val="22"/>
                <w:szCs w:val="22"/>
              </w:rPr>
              <w:t>100</w:t>
            </w:r>
            <w:r>
              <w:rPr>
                <w:rFonts w:hint="eastAsia" w:ascii="宋体" w:hAnsi="宋体" w:cs="宋体"/>
                <w:color w:val="000000"/>
                <w:kern w:val="0"/>
                <w:sz w:val="22"/>
                <w:szCs w:val="22"/>
              </w:rPr>
              <w:fldChar w:fldCharType="end"/>
            </w:r>
          </w:p>
        </w:tc>
        <w:tc>
          <w:tcPr>
            <w:tcW w:w="950" w:type="dxa"/>
            <w:shd w:val="clear" w:color="000000" w:fill="FFFFFF"/>
            <w:vAlign w:val="center"/>
          </w:tcPr>
          <w:p w14:paraId="1ED239FE">
            <w:pPr>
              <w:widowControl/>
              <w:snapToGrid w:val="0"/>
              <w:jc w:val="center"/>
              <w:rPr>
                <w:rFonts w:ascii="宋体" w:hAnsi="宋体" w:cs="宋体"/>
                <w:color w:val="000000"/>
                <w:kern w:val="0"/>
                <w:sz w:val="22"/>
                <w:szCs w:val="22"/>
              </w:rPr>
            </w:pPr>
            <w:r>
              <w:rPr>
                <w:rFonts w:hint="eastAsia" w:ascii="宋体" w:hAnsi="宋体" w:cs="宋体"/>
                <w:color w:val="000000"/>
                <w:kern w:val="0"/>
                <w:sz w:val="22"/>
                <w:szCs w:val="22"/>
              </w:rPr>
              <w:t>100</w:t>
            </w:r>
          </w:p>
        </w:tc>
      </w:tr>
    </w:tbl>
    <w:p w14:paraId="0E8F93F3">
      <w:pPr>
        <w:spacing w:line="520" w:lineRule="exact"/>
        <w:ind w:firstLine="640"/>
        <w:outlineLvl w:val="0"/>
        <w:rPr>
          <w:rStyle w:val="8"/>
          <w:rFonts w:ascii="黑体" w:hAnsi="黑体" w:eastAsia="黑体"/>
          <w:b w:val="0"/>
          <w:spacing w:val="-4"/>
          <w:sz w:val="32"/>
          <w:szCs w:val="32"/>
        </w:rPr>
      </w:pPr>
      <w:r>
        <w:rPr>
          <w:rStyle w:val="8"/>
          <w:rFonts w:hint="eastAsia" w:ascii="黑体" w:hAnsi="黑体" w:eastAsia="黑体"/>
          <w:b w:val="0"/>
          <w:spacing w:val="-4"/>
          <w:sz w:val="32"/>
          <w:szCs w:val="32"/>
        </w:rPr>
        <w:t>四、绩效评价指标分析</w:t>
      </w:r>
    </w:p>
    <w:p w14:paraId="4F88ED08">
      <w:pPr>
        <w:tabs>
          <w:tab w:val="left" w:pos="4275"/>
        </w:tabs>
        <w:spacing w:line="520" w:lineRule="exact"/>
        <w:ind w:firstLine="567" w:firstLineChars="181"/>
        <w:outlineLvl w:val="1"/>
        <w:rPr>
          <w:rStyle w:val="8"/>
          <w:rFonts w:ascii="楷体" w:hAnsi="楷体" w:eastAsia="楷体"/>
          <w:b w:val="0"/>
          <w:bCs w:val="0"/>
          <w:spacing w:val="-4"/>
          <w:sz w:val="32"/>
          <w:szCs w:val="32"/>
        </w:rPr>
      </w:pPr>
      <w:r>
        <w:rPr>
          <w:rStyle w:val="8"/>
          <w:rFonts w:hint="eastAsia" w:ascii="楷体" w:hAnsi="楷体" w:eastAsia="楷体" w:cs="楷体"/>
          <w:bCs w:val="0"/>
          <w:spacing w:val="-4"/>
          <w:sz w:val="32"/>
          <w:szCs w:val="32"/>
        </w:rPr>
        <w:t>（一）项目决策情况</w:t>
      </w:r>
    </w:p>
    <w:p w14:paraId="49BA7344">
      <w:pPr>
        <w:widowControl/>
        <w:spacing w:line="520" w:lineRule="exact"/>
        <w:ind w:firstLine="624" w:firstLineChars="200"/>
        <w:jc w:val="left"/>
        <w:rPr>
          <w:rStyle w:val="8"/>
          <w:rFonts w:ascii="仿宋_GB2312" w:hAnsi="仿宋_GB2312" w:eastAsia="仿宋_GB2312" w:cs="仿宋_GB2312"/>
          <w:b w:val="0"/>
          <w:spacing w:val="-4"/>
          <w:sz w:val="32"/>
          <w:szCs w:val="32"/>
        </w:rPr>
      </w:pPr>
      <w:r>
        <w:rPr>
          <w:rStyle w:val="8"/>
          <w:rFonts w:hint="eastAsia" w:ascii="仿宋_GB2312" w:hAnsi="仿宋_GB2312" w:eastAsia="仿宋_GB2312" w:cs="仿宋_GB2312"/>
          <w:b w:val="0"/>
          <w:spacing w:val="-4"/>
          <w:sz w:val="32"/>
          <w:szCs w:val="32"/>
        </w:rPr>
        <w:t>成立了项目小组，项目小组由技术人员、综合管理人员、财务人员共同组成，经项目小组研究确定并提出申请，</w:t>
      </w:r>
      <w:r>
        <w:rPr>
          <w:rStyle w:val="8"/>
          <w:rFonts w:hint="eastAsia" w:ascii="仿宋_GB2312" w:hAnsi="仿宋_GB2312" w:eastAsia="仿宋_GB2312" w:cs="仿宋_GB2312"/>
          <w:b w:val="0"/>
          <w:spacing w:val="-4"/>
          <w:sz w:val="32"/>
          <w:szCs w:val="32"/>
          <w:lang w:eastAsia="zh-CN"/>
        </w:rPr>
        <w:t>经上会</w:t>
      </w:r>
      <w:r>
        <w:rPr>
          <w:rStyle w:val="8"/>
          <w:rFonts w:hint="eastAsia" w:ascii="仿宋_GB2312" w:hAnsi="仿宋_GB2312" w:eastAsia="仿宋_GB2312" w:cs="仿宋_GB2312"/>
          <w:b w:val="0"/>
          <w:spacing w:val="-4"/>
          <w:sz w:val="32"/>
          <w:szCs w:val="32"/>
        </w:rPr>
        <w:t>同意</w:t>
      </w:r>
      <w:r>
        <w:rPr>
          <w:rStyle w:val="8"/>
          <w:rFonts w:hint="eastAsia" w:ascii="仿宋_GB2312" w:hAnsi="仿宋_GB2312" w:eastAsia="仿宋_GB2312" w:cs="仿宋_GB2312"/>
          <w:b w:val="0"/>
          <w:spacing w:val="-4"/>
          <w:sz w:val="32"/>
          <w:szCs w:val="32"/>
          <w:lang w:eastAsia="zh-CN"/>
        </w:rPr>
        <w:t>后</w:t>
      </w:r>
      <w:r>
        <w:rPr>
          <w:rStyle w:val="8"/>
          <w:rFonts w:hint="eastAsia" w:ascii="仿宋_GB2312" w:hAnsi="仿宋_GB2312" w:eastAsia="仿宋_GB2312" w:cs="仿宋_GB2312"/>
          <w:b w:val="0"/>
          <w:spacing w:val="-4"/>
          <w:sz w:val="32"/>
          <w:szCs w:val="32"/>
        </w:rPr>
        <w:t>实施项目。</w:t>
      </w:r>
    </w:p>
    <w:p w14:paraId="70E86610">
      <w:pPr>
        <w:tabs>
          <w:tab w:val="left" w:pos="4275"/>
        </w:tabs>
        <w:spacing w:line="520" w:lineRule="exact"/>
        <w:ind w:firstLine="567" w:firstLineChars="181"/>
        <w:outlineLvl w:val="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（二）项目过程情况</w:t>
      </w:r>
    </w:p>
    <w:p w14:paraId="68BFEED5">
      <w:pPr>
        <w:pStyle w:val="4"/>
        <w:ind w:firstLine="622" w:firstLineChars="200"/>
        <w:rPr>
          <w:b/>
          <w:lang w:val="en-US" w:bidi="ar-SA"/>
        </w:rPr>
      </w:pPr>
      <w:r>
        <w:rPr>
          <w:rFonts w:hint="eastAsia"/>
          <w:b/>
          <w:lang w:val="en-US" w:bidi="ar-SA"/>
        </w:rPr>
        <w:t>1.项目资金到位情况分析</w:t>
      </w:r>
    </w:p>
    <w:p w14:paraId="4F04CA8D">
      <w:pPr>
        <w:tabs>
          <w:tab w:val="left" w:pos="8596"/>
        </w:tabs>
        <w:spacing w:line="520" w:lineRule="exact"/>
        <w:ind w:firstLine="564" w:firstLineChars="181"/>
        <w:outlineLvl w:val="1"/>
        <w:rPr>
          <w:rStyle w:val="8"/>
          <w:rFonts w:ascii="仿宋_GB2312" w:hAnsi="仿宋_GB2312" w:eastAsia="仿宋_GB2312" w:cs="仿宋_GB2312"/>
          <w:b w:val="0"/>
          <w:spacing w:val="-4"/>
          <w:sz w:val="32"/>
          <w:szCs w:val="32"/>
        </w:rPr>
      </w:pPr>
      <w:r>
        <w:rPr>
          <w:rStyle w:val="8"/>
          <w:rFonts w:hint="eastAsia" w:ascii="仿宋_GB2312" w:hAnsi="仿宋_GB2312" w:eastAsia="仿宋_GB2312" w:cs="仿宋_GB2312"/>
          <w:b w:val="0"/>
          <w:spacing w:val="-4"/>
          <w:sz w:val="32"/>
          <w:szCs w:val="32"/>
        </w:rPr>
        <w:t>根据财政厅《关于批复自治区本级预算单位</w:t>
      </w:r>
      <w:r>
        <w:rPr>
          <w:rStyle w:val="8"/>
          <w:rFonts w:hint="default" w:ascii="仿宋_GB2312" w:hAnsi="仿宋_GB2312" w:eastAsia="仿宋_GB2312" w:cs="仿宋_GB2312"/>
          <w:b w:val="0"/>
          <w:spacing w:val="-4"/>
          <w:sz w:val="32"/>
          <w:szCs w:val="32"/>
          <w:lang w:val="en-US"/>
        </w:rPr>
        <w:t>202</w:t>
      </w:r>
      <w:r>
        <w:rPr>
          <w:rStyle w:val="8"/>
          <w:rFonts w:hint="eastAsia" w:ascii="仿宋_GB2312" w:hAnsi="仿宋_GB2312" w:eastAsia="仿宋_GB2312" w:cs="仿宋_GB2312"/>
          <w:b w:val="0"/>
          <w:spacing w:val="-4"/>
          <w:sz w:val="32"/>
          <w:szCs w:val="32"/>
          <w:lang w:val="en-US" w:eastAsia="zh-CN"/>
        </w:rPr>
        <w:t>3</w:t>
      </w:r>
      <w:r>
        <w:rPr>
          <w:rStyle w:val="8"/>
          <w:rFonts w:hint="eastAsia" w:ascii="仿宋_GB2312" w:hAnsi="仿宋_GB2312" w:eastAsia="仿宋_GB2312" w:cs="仿宋_GB2312"/>
          <w:b w:val="0"/>
          <w:spacing w:val="-4"/>
          <w:sz w:val="32"/>
          <w:szCs w:val="32"/>
        </w:rPr>
        <w:t>年部门预算的通知》（新财预【</w:t>
      </w:r>
      <w:r>
        <w:rPr>
          <w:rStyle w:val="8"/>
          <w:rFonts w:hint="default" w:ascii="仿宋_GB2312" w:hAnsi="仿宋_GB2312" w:eastAsia="仿宋_GB2312" w:cs="仿宋_GB2312"/>
          <w:b w:val="0"/>
          <w:spacing w:val="-4"/>
          <w:sz w:val="32"/>
          <w:szCs w:val="32"/>
          <w:lang w:val="en-US"/>
        </w:rPr>
        <w:t>202</w:t>
      </w:r>
      <w:r>
        <w:rPr>
          <w:rStyle w:val="8"/>
          <w:rFonts w:hint="eastAsia" w:ascii="仿宋_GB2312" w:hAnsi="仿宋_GB2312" w:eastAsia="仿宋_GB2312" w:cs="仿宋_GB2312"/>
          <w:b w:val="0"/>
          <w:spacing w:val="-4"/>
          <w:sz w:val="32"/>
          <w:szCs w:val="32"/>
          <w:lang w:val="en-US" w:eastAsia="zh-CN"/>
        </w:rPr>
        <w:t>3</w:t>
      </w:r>
      <w:r>
        <w:rPr>
          <w:rStyle w:val="8"/>
          <w:rFonts w:hint="eastAsia" w:ascii="仿宋_GB2312" w:hAnsi="仿宋_GB2312" w:eastAsia="仿宋_GB2312" w:cs="仿宋_GB2312"/>
          <w:b w:val="0"/>
          <w:spacing w:val="-4"/>
          <w:sz w:val="32"/>
          <w:szCs w:val="32"/>
        </w:rPr>
        <w:t>】1号）要求，单位</w:t>
      </w:r>
      <w:r>
        <w:rPr>
          <w:rStyle w:val="8"/>
          <w:rFonts w:hint="default" w:ascii="仿宋_GB2312" w:hAnsi="仿宋_GB2312" w:eastAsia="仿宋_GB2312" w:cs="仿宋_GB2312"/>
          <w:b w:val="0"/>
          <w:spacing w:val="-4"/>
          <w:sz w:val="32"/>
          <w:szCs w:val="32"/>
          <w:lang w:val="en-US"/>
        </w:rPr>
        <w:t>202</w:t>
      </w:r>
      <w:r>
        <w:rPr>
          <w:rStyle w:val="8"/>
          <w:rFonts w:hint="eastAsia" w:ascii="仿宋_GB2312" w:hAnsi="仿宋_GB2312" w:eastAsia="仿宋_GB2312" w:cs="仿宋_GB2312"/>
          <w:b w:val="0"/>
          <w:spacing w:val="-4"/>
          <w:sz w:val="32"/>
          <w:szCs w:val="32"/>
          <w:lang w:val="en-US" w:eastAsia="zh-CN"/>
        </w:rPr>
        <w:t>3</w:t>
      </w:r>
      <w:r>
        <w:rPr>
          <w:rStyle w:val="8"/>
          <w:rFonts w:hint="eastAsia" w:ascii="仿宋_GB2312" w:hAnsi="仿宋_GB2312" w:eastAsia="仿宋_GB2312" w:cs="仿宋_GB2312"/>
          <w:b w:val="0"/>
          <w:spacing w:val="-4"/>
          <w:sz w:val="32"/>
          <w:szCs w:val="32"/>
        </w:rPr>
        <w:t>年自治区工信厅资产出租出借成本性支出10万元</w:t>
      </w:r>
      <w:r>
        <w:rPr>
          <w:rStyle w:val="8"/>
          <w:rFonts w:hint="eastAsia" w:ascii="仿宋_GB2312" w:hAnsi="仿宋_GB2312" w:eastAsia="仿宋_GB2312" w:cs="仿宋_GB2312"/>
          <w:b w:val="0"/>
          <w:spacing w:val="-4"/>
          <w:sz w:val="32"/>
          <w:szCs w:val="32"/>
          <w:lang w:eastAsia="zh-CN"/>
        </w:rPr>
        <w:t>，</w:t>
      </w:r>
      <w:r>
        <w:rPr>
          <w:rStyle w:val="8"/>
          <w:rFonts w:hint="eastAsia" w:ascii="仿宋_GB2312" w:hAnsi="仿宋_GB2312" w:eastAsia="仿宋_GB2312" w:cs="仿宋_GB2312"/>
          <w:b w:val="0"/>
          <w:spacing w:val="-4"/>
          <w:sz w:val="32"/>
          <w:szCs w:val="32"/>
        </w:rPr>
        <w:t>通过财政平台实际下达了10万元，资金下达率为100%。</w:t>
      </w:r>
    </w:p>
    <w:p w14:paraId="12504F93">
      <w:pPr>
        <w:spacing w:line="540" w:lineRule="exact"/>
        <w:ind w:firstLine="643" w:firstLineChars="200"/>
        <w:rPr>
          <w:rFonts w:ascii="仿宋_GB2312" w:eastAsia="仿宋_GB2312"/>
          <w:b/>
          <w:bCs/>
          <w:sz w:val="32"/>
          <w:szCs w:val="32"/>
        </w:rPr>
      </w:pPr>
      <w:r>
        <w:rPr>
          <w:rFonts w:hint="eastAsia" w:ascii="仿宋_GB2312" w:eastAsia="仿宋_GB2312"/>
          <w:b/>
          <w:bCs/>
          <w:sz w:val="32"/>
          <w:szCs w:val="32"/>
        </w:rPr>
        <w:t>2.项目资金执行情况</w:t>
      </w:r>
    </w:p>
    <w:p w14:paraId="530A53AE">
      <w:pPr>
        <w:spacing w:line="540" w:lineRule="exact"/>
        <w:ind w:firstLine="645"/>
        <w:rPr>
          <w:rFonts w:ascii="仿宋_GB2312" w:eastAsia="仿宋_GB2312"/>
          <w:sz w:val="32"/>
          <w:szCs w:val="32"/>
        </w:rPr>
      </w:pPr>
      <w:r>
        <w:rPr>
          <w:rFonts w:hint="default" w:ascii="仿宋_GB2312" w:eastAsia="仿宋_GB2312"/>
          <w:sz w:val="32"/>
          <w:szCs w:val="32"/>
          <w:lang w:val="en-US"/>
        </w:rPr>
        <w:t>202</w:t>
      </w:r>
      <w:r>
        <w:rPr>
          <w:rFonts w:hint="eastAsia" w:ascii="仿宋_GB2312" w:eastAsia="仿宋_GB2312"/>
          <w:sz w:val="32"/>
          <w:szCs w:val="32"/>
          <w:lang w:val="en-US" w:eastAsia="zh-CN"/>
        </w:rPr>
        <w:t>3</w:t>
      </w:r>
      <w:r>
        <w:rPr>
          <w:rFonts w:hint="eastAsia" w:ascii="仿宋_GB2312" w:eastAsia="仿宋_GB2312"/>
          <w:sz w:val="32"/>
          <w:szCs w:val="32"/>
        </w:rPr>
        <w:t>年下拨预算指标10万元</w:t>
      </w:r>
      <w:r>
        <w:rPr>
          <w:rFonts w:hint="eastAsia" w:ascii="仿宋_GB2312" w:hAnsi="宋体" w:eastAsia="仿宋_GB2312"/>
          <w:sz w:val="32"/>
          <w:szCs w:val="32"/>
        </w:rPr>
        <w:t>，</w:t>
      </w:r>
      <w:r>
        <w:rPr>
          <w:rFonts w:ascii="仿宋_GB2312" w:eastAsia="仿宋_GB2312"/>
          <w:sz w:val="32"/>
          <w:szCs w:val="32"/>
        </w:rPr>
        <w:t>维护维修费</w:t>
      </w:r>
      <w:r>
        <w:rPr>
          <w:rFonts w:hint="eastAsia" w:ascii="仿宋_GB2312" w:eastAsia="仿宋_GB2312"/>
          <w:sz w:val="32"/>
          <w:szCs w:val="32"/>
          <w:lang w:val="en-US" w:eastAsia="zh-CN"/>
        </w:rPr>
        <w:t>5</w:t>
      </w:r>
      <w:r>
        <w:rPr>
          <w:rFonts w:ascii="仿宋_GB2312" w:eastAsia="仿宋_GB2312"/>
          <w:sz w:val="32"/>
          <w:szCs w:val="32"/>
        </w:rPr>
        <w:t>万元、物业管理费</w:t>
      </w:r>
      <w:r>
        <w:rPr>
          <w:rFonts w:hint="eastAsia" w:ascii="仿宋_GB2312" w:eastAsia="仿宋_GB2312"/>
          <w:sz w:val="32"/>
          <w:szCs w:val="32"/>
        </w:rPr>
        <w:t>5万元，为工信厅业务楼房屋安全保障提供了资金保障。</w:t>
      </w:r>
    </w:p>
    <w:p w14:paraId="3BEB0F24">
      <w:pPr>
        <w:spacing w:line="540" w:lineRule="exact"/>
        <w:ind w:firstLine="643" w:firstLineChars="200"/>
        <w:rPr>
          <w:b/>
          <w:bCs/>
        </w:rPr>
      </w:pPr>
      <w:r>
        <w:rPr>
          <w:rFonts w:hint="eastAsia" w:ascii="仿宋_GB2312" w:eastAsia="仿宋_GB2312"/>
          <w:b/>
          <w:sz w:val="32"/>
          <w:szCs w:val="32"/>
        </w:rPr>
        <w:t>3.项目管理情况</w:t>
      </w:r>
    </w:p>
    <w:p w14:paraId="45E6DF8E">
      <w:pPr>
        <w:spacing w:line="560" w:lineRule="exact"/>
        <w:ind w:firstLine="640" w:firstLineChars="200"/>
        <w:rPr>
          <w:rFonts w:ascii="仿宋_GB2312" w:eastAsia="仿宋_GB2312"/>
          <w:sz w:val="32"/>
          <w:szCs w:val="32"/>
        </w:rPr>
      </w:pPr>
      <w:r>
        <w:rPr>
          <w:rFonts w:hint="eastAsia" w:ascii="仿宋_GB2312" w:eastAsia="仿宋_GB2312"/>
          <w:sz w:val="32"/>
          <w:szCs w:val="32"/>
        </w:rPr>
        <w:t>项目在实施过程中，严格按照《预算法》中的要求申报、实施、验收、付款等原则执行。依据财政部门年初下达的指标和核定的资金用途使用资金，按统一管理、统筹安排、专款专用的原则，履行单位内部审核手续。严格遵守国家、自治区的会计制度，加强财务审核、监督工作。</w:t>
      </w:r>
    </w:p>
    <w:p w14:paraId="6E9B374C">
      <w:pPr>
        <w:tabs>
          <w:tab w:val="left" w:pos="8596"/>
        </w:tabs>
        <w:spacing w:line="520" w:lineRule="exact"/>
        <w:ind w:firstLine="567" w:firstLineChars="181"/>
        <w:outlineLvl w:val="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（三）项目产出情况</w:t>
      </w:r>
    </w:p>
    <w:p w14:paraId="0450E8AB">
      <w:pPr>
        <w:tabs>
          <w:tab w:val="left" w:pos="8596"/>
        </w:tabs>
        <w:spacing w:line="520" w:lineRule="exact"/>
        <w:ind w:firstLine="579" w:firstLineChars="181"/>
        <w:outlineLvl w:val="1"/>
        <w:rPr>
          <w:rFonts w:ascii="仿宋_GB2312" w:hAnsi="仿宋_GB2312" w:eastAsia="仿宋_GB2312" w:cs="仿宋_GB2312"/>
          <w:szCs w:val="40"/>
        </w:rPr>
      </w:pPr>
      <w:r>
        <w:rPr>
          <w:rFonts w:hint="eastAsia" w:ascii="仿宋_GB2312" w:hAnsi="仿宋_GB2312" w:eastAsia="仿宋_GB2312" w:cs="仿宋_GB2312"/>
          <w:sz w:val="32"/>
          <w:szCs w:val="40"/>
        </w:rPr>
        <w:t>根据自治区工信厅资产的实际需要，实现闲置固定资产价值最大化，对资产进行维修维护，保证国有资产增值保值，收到资金用于办公楼维修维护费及物业管理。做好安全保障及安防设施建设，保障人身财产安全。</w:t>
      </w:r>
      <w:r>
        <w:rPr>
          <w:rFonts w:ascii="仿宋_GB2312" w:hAnsi="仿宋_GB2312" w:eastAsia="仿宋_GB2312" w:cs="仿宋_GB2312"/>
          <w:szCs w:val="40"/>
        </w:rPr>
        <w:tab/>
      </w:r>
    </w:p>
    <w:p w14:paraId="2A4E4866">
      <w:pPr>
        <w:widowControl/>
        <w:spacing w:line="520" w:lineRule="exact"/>
        <w:ind w:firstLine="627" w:firstLineChars="200"/>
        <w:jc w:val="left"/>
        <w:rPr>
          <w:rFonts w:ascii="仿宋_GB2312" w:hAnsi="仿宋_GB2312" w:eastAsia="仿宋_GB2312" w:cs="仿宋_GB2312"/>
          <w:sz w:val="32"/>
          <w:szCs w:val="40"/>
        </w:rPr>
      </w:pPr>
      <w:r>
        <w:rPr>
          <w:rStyle w:val="8"/>
          <w:rFonts w:hint="eastAsia" w:ascii="仿宋_GB2312" w:hAnsi="仿宋_GB2312" w:eastAsia="仿宋_GB2312" w:cs="仿宋_GB2312"/>
          <w:bCs w:val="0"/>
          <w:color w:val="000000" w:themeColor="text1"/>
          <w:spacing w:val="-4"/>
          <w:sz w:val="32"/>
          <w:szCs w:val="32"/>
          <w14:textFill>
            <w14:solidFill>
              <w14:schemeClr w14:val="tx1"/>
            </w14:solidFill>
          </w14:textFill>
        </w:rPr>
        <w:t>1.数量指标：</w:t>
      </w:r>
      <w:r>
        <w:rPr>
          <w:rFonts w:hint="eastAsia" w:ascii="仿宋_GB2312" w:hAnsi="仿宋_GB2312" w:eastAsia="仿宋_GB2312" w:cs="仿宋_GB2312"/>
          <w:sz w:val="32"/>
          <w:szCs w:val="40"/>
        </w:rPr>
        <w:t>年度预设指标为出租房屋的单位，指标值为1家，实际完成1家，无偏差，实际完成率100%，得5分；年度预设指标维护房屋的面积，指标值为1733.97平方米，实际完成1733</w:t>
      </w:r>
      <w:r>
        <w:rPr>
          <w:rFonts w:hint="eastAsia" w:ascii="仿宋_GB2312" w:hAnsi="仿宋_GB2312" w:eastAsia="仿宋_GB2312" w:cs="仿宋_GB2312"/>
          <w:sz w:val="32"/>
          <w:szCs w:val="40"/>
          <w:lang w:val="en-US" w:eastAsia="zh-CN"/>
        </w:rPr>
        <w:t>.</w:t>
      </w:r>
      <w:r>
        <w:rPr>
          <w:rFonts w:hint="eastAsia" w:ascii="仿宋_GB2312" w:hAnsi="仿宋_GB2312" w:eastAsia="仿宋_GB2312" w:cs="仿宋_GB2312"/>
          <w:sz w:val="32"/>
          <w:szCs w:val="40"/>
        </w:rPr>
        <w:t>97平方米，无偏差，实际完成率100%，得5分。</w:t>
      </w:r>
    </w:p>
    <w:p w14:paraId="3DF35692">
      <w:pPr>
        <w:pStyle w:val="4"/>
        <w:spacing w:line="520" w:lineRule="exact"/>
        <w:ind w:firstLine="643" w:firstLineChars="200"/>
        <w:rPr>
          <w:rFonts w:ascii="仿宋_GB2312" w:hAnsi="仿宋_GB2312" w:eastAsia="仿宋_GB2312" w:cs="仿宋_GB2312"/>
          <w:sz w:val="32"/>
          <w:szCs w:val="40"/>
          <w:lang w:val="en-US"/>
        </w:rPr>
      </w:pPr>
      <w:r>
        <w:rPr>
          <w:rFonts w:hint="eastAsia" w:ascii="仿宋_GB2312" w:hAnsi="仿宋_GB2312" w:eastAsia="仿宋_GB2312" w:cs="仿宋_GB2312"/>
          <w:b/>
          <w:bCs/>
          <w:sz w:val="32"/>
          <w:szCs w:val="40"/>
          <w:lang w:val="en-US"/>
        </w:rPr>
        <w:t>2.质量指标：</w:t>
      </w:r>
      <w:r>
        <w:rPr>
          <w:rFonts w:hint="eastAsia" w:ascii="仿宋_GB2312" w:hAnsi="仿宋_GB2312" w:eastAsia="仿宋_GB2312" w:cs="仿宋_GB2312"/>
          <w:sz w:val="32"/>
          <w:szCs w:val="40"/>
          <w:lang w:val="en-US"/>
        </w:rPr>
        <w:t>年度预设指标为房屋维修维护质量合格率，指标为100%，实际完成100%，无偏差，实际完成100%，得10分。</w:t>
      </w:r>
    </w:p>
    <w:p w14:paraId="3A3FA52F">
      <w:pPr>
        <w:pStyle w:val="4"/>
        <w:spacing w:line="520" w:lineRule="exact"/>
        <w:ind w:firstLine="643" w:firstLineChars="200"/>
        <w:rPr>
          <w:rFonts w:ascii="仿宋_GB2312" w:hAnsi="仿宋_GB2312" w:eastAsia="仿宋_GB2312" w:cs="仿宋_GB2312"/>
          <w:sz w:val="32"/>
          <w:szCs w:val="40"/>
          <w:lang w:val="en-US"/>
        </w:rPr>
      </w:pPr>
      <w:r>
        <w:rPr>
          <w:rFonts w:hint="eastAsia" w:ascii="仿宋_GB2312" w:hAnsi="仿宋_GB2312" w:eastAsia="仿宋_GB2312" w:cs="仿宋_GB2312"/>
          <w:b/>
          <w:bCs/>
          <w:sz w:val="32"/>
          <w:szCs w:val="40"/>
          <w:lang w:val="en-US"/>
        </w:rPr>
        <w:t>3.时效指标：</w:t>
      </w:r>
      <w:r>
        <w:rPr>
          <w:rStyle w:val="8"/>
          <w:rFonts w:hint="eastAsia" w:ascii="仿宋_GB2312" w:hAnsi="仿宋_GB2312" w:eastAsia="仿宋_GB2312" w:cs="仿宋_GB2312"/>
          <w:b w:val="0"/>
          <w:color w:val="000000" w:themeColor="text1"/>
          <w:spacing w:val="-4"/>
          <w:sz w:val="32"/>
          <w:szCs w:val="32"/>
          <w:lang w:val="en-US"/>
          <w14:textFill>
            <w14:solidFill>
              <w14:schemeClr w14:val="tx1"/>
            </w14:solidFill>
          </w14:textFill>
        </w:rPr>
        <w:t>时效指标设定为项目完成时间，</w:t>
      </w:r>
      <w:r>
        <w:rPr>
          <w:rStyle w:val="8"/>
          <w:rFonts w:hint="eastAsia" w:ascii="仿宋_GB2312" w:hAnsi="仿宋_GB2312" w:eastAsia="仿宋_GB2312" w:cs="仿宋_GB2312"/>
          <w:b w:val="0"/>
          <w:spacing w:val="-4"/>
          <w:sz w:val="32"/>
          <w:szCs w:val="32"/>
          <w:lang w:val="en-US"/>
        </w:rPr>
        <w:t>年度指标值</w:t>
      </w:r>
      <w:r>
        <w:rPr>
          <w:rStyle w:val="8"/>
          <w:rFonts w:hint="default" w:ascii="仿宋_GB2312" w:hAnsi="仿宋_GB2312" w:eastAsia="仿宋_GB2312" w:cs="仿宋_GB2312"/>
          <w:b w:val="0"/>
          <w:color w:val="000000" w:themeColor="text1"/>
          <w:spacing w:val="-4"/>
          <w:sz w:val="32"/>
          <w:szCs w:val="32"/>
          <w:lang w:val="en-US"/>
          <w14:textFill>
            <w14:solidFill>
              <w14:schemeClr w14:val="tx1"/>
            </w14:solidFill>
          </w14:textFill>
        </w:rPr>
        <w:t>202</w:t>
      </w:r>
      <w:r>
        <w:rPr>
          <w:rStyle w:val="8"/>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3</w:t>
      </w:r>
      <w:r>
        <w:rPr>
          <w:rStyle w:val="8"/>
          <w:rFonts w:hint="eastAsia" w:ascii="仿宋_GB2312" w:hAnsi="仿宋_GB2312" w:eastAsia="仿宋_GB2312" w:cs="仿宋_GB2312"/>
          <w:b w:val="0"/>
          <w:color w:val="000000" w:themeColor="text1"/>
          <w:spacing w:val="-4"/>
          <w:sz w:val="32"/>
          <w:szCs w:val="32"/>
          <w:lang w:val="en-US"/>
          <w14:textFill>
            <w14:solidFill>
              <w14:schemeClr w14:val="tx1"/>
            </w14:solidFill>
          </w14:textFill>
        </w:rPr>
        <w:t>年12月31日，实际完成</w:t>
      </w:r>
      <w:r>
        <w:rPr>
          <w:rStyle w:val="8"/>
          <w:rFonts w:hint="default" w:ascii="仿宋_GB2312" w:hAnsi="仿宋_GB2312" w:eastAsia="仿宋_GB2312" w:cs="仿宋_GB2312"/>
          <w:b w:val="0"/>
          <w:color w:val="000000" w:themeColor="text1"/>
          <w:spacing w:val="-4"/>
          <w:sz w:val="32"/>
          <w:szCs w:val="32"/>
          <w:lang w:val="en-US"/>
          <w14:textFill>
            <w14:solidFill>
              <w14:schemeClr w14:val="tx1"/>
            </w14:solidFill>
          </w14:textFill>
        </w:rPr>
        <w:t>202</w:t>
      </w:r>
      <w:r>
        <w:rPr>
          <w:rStyle w:val="8"/>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3</w:t>
      </w:r>
      <w:r>
        <w:rPr>
          <w:rStyle w:val="8"/>
          <w:rFonts w:hint="eastAsia" w:ascii="仿宋_GB2312" w:hAnsi="仿宋_GB2312" w:eastAsia="仿宋_GB2312" w:cs="仿宋_GB2312"/>
          <w:b w:val="0"/>
          <w:color w:val="000000" w:themeColor="text1"/>
          <w:spacing w:val="-4"/>
          <w:sz w:val="32"/>
          <w:szCs w:val="32"/>
          <w:lang w:val="en-US"/>
          <w14:textFill>
            <w14:solidFill>
              <w14:schemeClr w14:val="tx1"/>
            </w14:solidFill>
          </w14:textFill>
        </w:rPr>
        <w:t>年</w:t>
      </w:r>
      <w:r>
        <w:rPr>
          <w:rStyle w:val="8"/>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12</w:t>
      </w:r>
      <w:r>
        <w:rPr>
          <w:rStyle w:val="8"/>
          <w:rFonts w:hint="eastAsia" w:ascii="仿宋_GB2312" w:hAnsi="仿宋_GB2312" w:eastAsia="仿宋_GB2312" w:cs="仿宋_GB2312"/>
          <w:b w:val="0"/>
          <w:color w:val="000000" w:themeColor="text1"/>
          <w:spacing w:val="-4"/>
          <w:sz w:val="32"/>
          <w:szCs w:val="32"/>
          <w:lang w:val="en-US"/>
          <w14:textFill>
            <w14:solidFill>
              <w14:schemeClr w14:val="tx1"/>
            </w14:solidFill>
          </w14:textFill>
        </w:rPr>
        <w:t>月21日，无偏差，实际完成100%，得10分。</w:t>
      </w:r>
    </w:p>
    <w:p w14:paraId="361C8CE5">
      <w:pPr>
        <w:pStyle w:val="4"/>
        <w:spacing w:line="520" w:lineRule="exact"/>
        <w:ind w:firstLine="643" w:firstLineChars="200"/>
        <w:rPr>
          <w:rFonts w:ascii="仿宋_GB2312" w:hAnsi="仿宋_GB2312" w:eastAsia="仿宋_GB2312" w:cs="仿宋_GB2312"/>
          <w:sz w:val="32"/>
          <w:szCs w:val="40"/>
          <w:highlight w:val="yellow"/>
          <w:shd w:val="clear" w:color="auto" w:fill="auto"/>
          <w:lang w:val="en-US"/>
        </w:rPr>
      </w:pPr>
      <w:r>
        <w:rPr>
          <w:rFonts w:hint="eastAsia" w:ascii="仿宋_GB2312" w:hAnsi="仿宋_GB2312" w:eastAsia="仿宋_GB2312" w:cs="仿宋_GB2312"/>
          <w:b/>
          <w:bCs/>
          <w:sz w:val="32"/>
          <w:szCs w:val="40"/>
          <w:shd w:val="clear" w:color="auto" w:fill="auto"/>
          <w:lang w:val="en-US"/>
        </w:rPr>
        <w:t>4.成本指标分析：</w:t>
      </w:r>
      <w:r>
        <w:rPr>
          <w:rFonts w:hint="eastAsia" w:ascii="仿宋_GB2312" w:hAnsi="仿宋_GB2312" w:eastAsia="仿宋_GB2312" w:cs="仿宋_GB2312"/>
          <w:sz w:val="32"/>
          <w:szCs w:val="40"/>
          <w:shd w:val="clear" w:color="auto" w:fill="auto"/>
          <w:lang w:val="en-US"/>
        </w:rPr>
        <w:t>年度预设指标为房屋维护成本，指标为5万元，实际完成值为</w:t>
      </w:r>
      <w:r>
        <w:rPr>
          <w:rFonts w:hint="eastAsia" w:ascii="仿宋_GB2312" w:hAnsi="仿宋_GB2312" w:eastAsia="仿宋_GB2312" w:cs="仿宋_GB2312"/>
          <w:sz w:val="32"/>
          <w:szCs w:val="40"/>
          <w:shd w:val="clear" w:color="auto" w:fill="auto"/>
          <w:lang w:val="en-US" w:eastAsia="zh-CN"/>
        </w:rPr>
        <w:t>4.97</w:t>
      </w:r>
      <w:r>
        <w:rPr>
          <w:rFonts w:hint="eastAsia" w:ascii="仿宋_GB2312" w:hAnsi="仿宋_GB2312" w:eastAsia="仿宋_GB2312" w:cs="仿宋_GB2312"/>
          <w:sz w:val="32"/>
          <w:szCs w:val="40"/>
          <w:shd w:val="clear" w:color="auto" w:fill="auto"/>
          <w:lang w:val="en-US"/>
        </w:rPr>
        <w:t>万元，</w:t>
      </w:r>
      <w:r>
        <w:rPr>
          <w:rFonts w:hint="eastAsia" w:ascii="仿宋_GB2312" w:hAnsi="仿宋_GB2312" w:eastAsia="仿宋_GB2312" w:cs="仿宋_GB2312"/>
          <w:sz w:val="32"/>
          <w:szCs w:val="40"/>
          <w:shd w:val="clear" w:color="auto" w:fill="auto"/>
          <w:lang w:val="en-US" w:eastAsia="zh-CN"/>
        </w:rPr>
        <w:t>基本</w:t>
      </w:r>
      <w:r>
        <w:rPr>
          <w:rFonts w:hint="eastAsia" w:ascii="仿宋_GB2312" w:hAnsi="仿宋_GB2312" w:eastAsia="仿宋_GB2312" w:cs="仿宋_GB2312"/>
          <w:sz w:val="32"/>
          <w:szCs w:val="40"/>
          <w:shd w:val="clear" w:color="auto" w:fill="auto"/>
          <w:lang w:val="en-US"/>
        </w:rPr>
        <w:t>无偏差，完成率</w:t>
      </w:r>
      <w:r>
        <w:rPr>
          <w:rFonts w:hint="eastAsia" w:ascii="仿宋_GB2312" w:hAnsi="仿宋_GB2312" w:eastAsia="仿宋_GB2312" w:cs="仿宋_GB2312"/>
          <w:sz w:val="32"/>
          <w:szCs w:val="40"/>
          <w:shd w:val="clear" w:color="auto" w:fill="auto"/>
          <w:lang w:val="en-US" w:eastAsia="zh-CN"/>
        </w:rPr>
        <w:t>99.7</w:t>
      </w:r>
      <w:r>
        <w:rPr>
          <w:rFonts w:hint="eastAsia" w:ascii="仿宋_GB2312" w:hAnsi="仿宋_GB2312" w:eastAsia="仿宋_GB2312" w:cs="仿宋_GB2312"/>
          <w:sz w:val="32"/>
          <w:szCs w:val="40"/>
          <w:shd w:val="clear" w:color="auto" w:fill="auto"/>
          <w:lang w:val="en-US"/>
        </w:rPr>
        <w:t>%,用于工信厅业务楼维护维修支出，得15分；年度预设指标为物业管理费，指标为5万元，实际完成值5万元，无偏差，完成率100%，得15分。</w:t>
      </w:r>
    </w:p>
    <w:p w14:paraId="1907D84A">
      <w:pPr>
        <w:tabs>
          <w:tab w:val="left" w:pos="8596"/>
        </w:tabs>
        <w:spacing w:line="520" w:lineRule="exact"/>
        <w:ind w:firstLine="567" w:firstLineChars="181"/>
        <w:outlineLvl w:val="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（四）项目效益情况</w:t>
      </w:r>
    </w:p>
    <w:p w14:paraId="69291607">
      <w:pPr>
        <w:widowControl/>
        <w:spacing w:line="520" w:lineRule="exact"/>
        <w:ind w:firstLine="627" w:firstLineChars="200"/>
        <w:jc w:val="left"/>
        <w:rPr>
          <w:rStyle w:val="8"/>
          <w:rFonts w:ascii="仿宋_GB2312" w:hAnsi="仿宋_GB2312" w:eastAsia="仿宋_GB2312" w:cs="仿宋_GB2312"/>
          <w:bCs w:val="0"/>
          <w:color w:val="000000" w:themeColor="text1"/>
          <w:spacing w:val="-4"/>
          <w:sz w:val="32"/>
          <w:szCs w:val="32"/>
          <w14:textFill>
            <w14:solidFill>
              <w14:schemeClr w14:val="tx1"/>
            </w14:solidFill>
          </w14:textFill>
        </w:rPr>
      </w:pPr>
      <w:r>
        <w:rPr>
          <w:rStyle w:val="8"/>
          <w:rFonts w:hint="eastAsia" w:ascii="仿宋_GB2312" w:hAnsi="仿宋_GB2312" w:eastAsia="仿宋_GB2312" w:cs="仿宋_GB2312"/>
          <w:bCs w:val="0"/>
          <w:color w:val="000000" w:themeColor="text1"/>
          <w:spacing w:val="-4"/>
          <w:sz w:val="32"/>
          <w:szCs w:val="32"/>
          <w14:textFill>
            <w14:solidFill>
              <w14:schemeClr w14:val="tx1"/>
            </w14:solidFill>
          </w14:textFill>
        </w:rPr>
        <w:t>1.效益指标分析：</w:t>
      </w:r>
    </w:p>
    <w:p w14:paraId="1CAEAC1B">
      <w:pPr>
        <w:pStyle w:val="4"/>
        <w:spacing w:line="520" w:lineRule="exact"/>
        <w:ind w:firstLine="643" w:firstLineChars="200"/>
        <w:rPr>
          <w:rFonts w:ascii="仿宋_GB2312" w:hAnsi="仿宋_GB2312" w:eastAsia="仿宋_GB2312" w:cs="仿宋_GB2312"/>
          <w:color w:val="auto"/>
          <w:sz w:val="32"/>
          <w:szCs w:val="40"/>
          <w:lang w:val="en-US"/>
        </w:rPr>
      </w:pPr>
      <w:r>
        <w:rPr>
          <w:rFonts w:hint="eastAsia" w:ascii="仿宋_GB2312" w:hAnsi="仿宋_GB2312" w:eastAsia="仿宋_GB2312" w:cs="仿宋_GB2312"/>
          <w:b/>
          <w:bCs/>
          <w:sz w:val="32"/>
          <w:szCs w:val="40"/>
          <w:lang w:val="en-US"/>
        </w:rPr>
        <w:t>（1）经济效益指标：</w:t>
      </w:r>
      <w:r>
        <w:rPr>
          <w:rFonts w:hint="eastAsia" w:ascii="仿宋_GB2312" w:hAnsi="仿宋_GB2312" w:eastAsia="仿宋_GB2312" w:cs="仿宋_GB2312"/>
          <w:color w:val="auto"/>
          <w:sz w:val="32"/>
          <w:szCs w:val="40"/>
          <w:lang w:val="en-US"/>
        </w:rPr>
        <w:t>年度预设指标为完成房屋出租征缴任务，指标为</w:t>
      </w:r>
      <w:r>
        <w:rPr>
          <w:rFonts w:hint="eastAsia" w:ascii="仿宋_GB2312" w:hAnsi="仿宋_GB2312" w:eastAsia="仿宋_GB2312" w:cs="仿宋_GB2312"/>
          <w:color w:val="auto"/>
          <w:sz w:val="32"/>
          <w:szCs w:val="40"/>
          <w:lang w:val="en-US" w:eastAsia="zh-CN"/>
        </w:rPr>
        <w:t>28</w:t>
      </w:r>
      <w:r>
        <w:rPr>
          <w:rFonts w:hint="eastAsia" w:ascii="仿宋_GB2312" w:hAnsi="仿宋_GB2312" w:eastAsia="仿宋_GB2312" w:cs="仿宋_GB2312"/>
          <w:color w:val="auto"/>
          <w:sz w:val="32"/>
          <w:szCs w:val="40"/>
          <w:lang w:val="en-US"/>
        </w:rPr>
        <w:t>万元，实际完成值为</w:t>
      </w:r>
      <w:r>
        <w:rPr>
          <w:rFonts w:hint="eastAsia" w:ascii="仿宋_GB2312" w:hAnsi="仿宋_GB2312" w:eastAsia="仿宋_GB2312" w:cs="仿宋_GB2312"/>
          <w:color w:val="auto"/>
          <w:sz w:val="32"/>
          <w:szCs w:val="40"/>
          <w:lang w:val="en-US" w:eastAsia="zh-CN"/>
        </w:rPr>
        <w:t>28万元</w:t>
      </w:r>
      <w:r>
        <w:rPr>
          <w:rFonts w:hint="eastAsia" w:ascii="仿宋_GB2312" w:hAnsi="仿宋_GB2312" w:eastAsia="仿宋_GB2312" w:cs="仿宋_GB2312"/>
          <w:color w:val="auto"/>
          <w:sz w:val="32"/>
          <w:szCs w:val="40"/>
          <w:lang w:val="en-US"/>
        </w:rPr>
        <w:t>，</w:t>
      </w:r>
      <w:r>
        <w:rPr>
          <w:rFonts w:hint="eastAsia" w:ascii="仿宋_GB2312" w:hAnsi="仿宋_GB2312" w:eastAsia="仿宋_GB2312" w:cs="仿宋_GB2312"/>
          <w:color w:val="auto"/>
          <w:sz w:val="32"/>
          <w:szCs w:val="40"/>
          <w:lang w:val="en-US" w:eastAsia="zh-CN"/>
        </w:rPr>
        <w:t>无</w:t>
      </w:r>
      <w:r>
        <w:rPr>
          <w:rFonts w:hint="eastAsia" w:ascii="仿宋_GB2312" w:hAnsi="仿宋_GB2312" w:eastAsia="仿宋_GB2312" w:cs="仿宋_GB2312"/>
          <w:color w:val="auto"/>
          <w:sz w:val="32"/>
          <w:szCs w:val="40"/>
          <w:lang w:val="en-US"/>
        </w:rPr>
        <w:t>偏差，完成率</w:t>
      </w:r>
      <w:r>
        <w:rPr>
          <w:rFonts w:hint="eastAsia" w:ascii="仿宋_GB2312" w:hAnsi="仿宋_GB2312" w:eastAsia="仿宋_GB2312" w:cs="仿宋_GB2312"/>
          <w:color w:val="auto"/>
          <w:sz w:val="32"/>
          <w:szCs w:val="40"/>
          <w:lang w:val="en-US" w:eastAsia="zh-CN"/>
        </w:rPr>
        <w:t>100%，得5分</w:t>
      </w:r>
      <w:r>
        <w:rPr>
          <w:rFonts w:hint="eastAsia" w:ascii="仿宋_GB2312" w:hAnsi="仿宋_GB2312" w:eastAsia="仿宋_GB2312" w:cs="仿宋_GB2312"/>
          <w:color w:val="auto"/>
          <w:sz w:val="32"/>
          <w:szCs w:val="40"/>
          <w:lang w:val="en-US"/>
        </w:rPr>
        <w:t>。</w:t>
      </w:r>
    </w:p>
    <w:p w14:paraId="10C6EDAC">
      <w:pPr>
        <w:pStyle w:val="4"/>
        <w:spacing w:line="520" w:lineRule="exact"/>
        <w:ind w:firstLine="643" w:firstLineChars="200"/>
        <w:rPr>
          <w:rFonts w:ascii="仿宋_GB2312" w:hAnsi="仿宋_GB2312" w:eastAsia="仿宋_GB2312" w:cs="仿宋_GB2312"/>
          <w:sz w:val="32"/>
          <w:szCs w:val="40"/>
          <w:lang w:val="en-US"/>
        </w:rPr>
      </w:pPr>
      <w:r>
        <w:rPr>
          <w:rFonts w:hint="eastAsia" w:ascii="仿宋_GB2312" w:hAnsi="仿宋_GB2312" w:eastAsia="仿宋_GB2312" w:cs="仿宋_GB2312"/>
          <w:b/>
          <w:bCs/>
          <w:sz w:val="32"/>
          <w:szCs w:val="40"/>
          <w:lang w:val="en-US"/>
        </w:rPr>
        <w:t>（2）社会效益指标：</w:t>
      </w:r>
      <w:r>
        <w:rPr>
          <w:rFonts w:hint="eastAsia" w:ascii="仿宋_GB2312" w:hAnsi="仿宋_GB2312" w:eastAsia="仿宋_GB2312" w:cs="仿宋_GB2312"/>
          <w:sz w:val="32"/>
          <w:szCs w:val="40"/>
          <w:lang w:val="en-US"/>
        </w:rPr>
        <w:t>年度预设指标为确保国有资产保值指标为效果显著，实际完成效果显著，无偏差，完成率100%，得10分。</w:t>
      </w:r>
    </w:p>
    <w:p w14:paraId="628A98E4">
      <w:pPr>
        <w:pStyle w:val="4"/>
        <w:spacing w:line="520" w:lineRule="exact"/>
        <w:ind w:firstLine="643" w:firstLineChars="200"/>
        <w:rPr>
          <w:rFonts w:ascii="仿宋_GB2312" w:hAnsi="仿宋_GB2312" w:eastAsia="仿宋_GB2312" w:cs="仿宋_GB2312"/>
          <w:b/>
          <w:bCs/>
          <w:sz w:val="32"/>
          <w:szCs w:val="40"/>
          <w:lang w:val="en-US"/>
        </w:rPr>
      </w:pPr>
      <w:r>
        <w:rPr>
          <w:rFonts w:hint="eastAsia" w:ascii="仿宋_GB2312" w:hAnsi="仿宋_GB2312" w:eastAsia="仿宋_GB2312" w:cs="仿宋_GB2312"/>
          <w:b/>
          <w:bCs/>
          <w:sz w:val="32"/>
          <w:szCs w:val="40"/>
          <w:lang w:val="en-US"/>
        </w:rPr>
        <w:t>2.满意度指标：</w:t>
      </w:r>
    </w:p>
    <w:p w14:paraId="5537071E">
      <w:pPr>
        <w:pStyle w:val="4"/>
        <w:spacing w:line="520" w:lineRule="exact"/>
        <w:ind w:firstLine="643" w:firstLineChars="200"/>
        <w:rPr>
          <w:rStyle w:val="8"/>
          <w:rFonts w:ascii="黑体" w:hAnsi="黑体" w:eastAsia="黑体"/>
          <w:b w:val="0"/>
          <w:spacing w:val="-4"/>
          <w:sz w:val="32"/>
          <w:szCs w:val="32"/>
        </w:rPr>
      </w:pPr>
      <w:r>
        <w:rPr>
          <w:rFonts w:hint="eastAsia" w:ascii="仿宋_GB2312" w:hAnsi="仿宋_GB2312" w:eastAsia="仿宋_GB2312" w:cs="仿宋_GB2312"/>
          <w:b/>
          <w:bCs/>
          <w:sz w:val="32"/>
          <w:szCs w:val="40"/>
          <w:lang w:val="en-US"/>
        </w:rPr>
        <w:t>满意度指标：</w:t>
      </w:r>
      <w:r>
        <w:rPr>
          <w:rFonts w:hint="eastAsia" w:ascii="仿宋_GB2312" w:hAnsi="仿宋_GB2312" w:eastAsia="仿宋_GB2312" w:cs="仿宋_GB2312"/>
          <w:sz w:val="32"/>
          <w:szCs w:val="40"/>
          <w:lang w:val="en-US"/>
        </w:rPr>
        <w:t>年度预设指标为工作人员对工作环境的满意度，指标为大于等于95%，实际完成100%，无偏差，完成率100%，得10分。</w:t>
      </w:r>
    </w:p>
    <w:p w14:paraId="57F40BD6">
      <w:pPr>
        <w:spacing w:line="520" w:lineRule="exact"/>
        <w:ind w:firstLine="640"/>
        <w:outlineLvl w:val="0"/>
        <w:rPr>
          <w:rStyle w:val="8"/>
          <w:rFonts w:ascii="黑体" w:hAnsi="黑体" w:eastAsia="黑体"/>
          <w:b w:val="0"/>
          <w:spacing w:val="-4"/>
          <w:sz w:val="32"/>
          <w:szCs w:val="32"/>
        </w:rPr>
      </w:pPr>
      <w:r>
        <w:rPr>
          <w:rStyle w:val="8"/>
          <w:rFonts w:hint="eastAsia" w:ascii="黑体" w:hAnsi="黑体" w:eastAsia="黑体"/>
          <w:b w:val="0"/>
          <w:spacing w:val="-4"/>
          <w:sz w:val="32"/>
          <w:szCs w:val="32"/>
        </w:rPr>
        <w:t>五、主要经验及做法、存在的问题及原因分析</w:t>
      </w:r>
    </w:p>
    <w:p w14:paraId="488E515D">
      <w:pPr>
        <w:tabs>
          <w:tab w:val="left" w:pos="8596"/>
        </w:tabs>
        <w:spacing w:line="520" w:lineRule="exact"/>
        <w:ind w:firstLine="567" w:firstLineChars="181"/>
        <w:outlineLvl w:val="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（一）主要经验及做法</w:t>
      </w:r>
    </w:p>
    <w:p w14:paraId="23016B4A">
      <w:pPr>
        <w:spacing w:line="520" w:lineRule="exact"/>
        <w:ind w:firstLine="564" w:firstLineChars="181"/>
        <w:rPr>
          <w:rStyle w:val="8"/>
          <w:rFonts w:ascii="仿宋_GB2312" w:hAnsi="仿宋_GB2312" w:eastAsia="仿宋_GB2312" w:cs="仿宋_GB2312"/>
          <w:b w:val="0"/>
          <w:spacing w:val="-4"/>
          <w:sz w:val="32"/>
          <w:szCs w:val="32"/>
        </w:rPr>
      </w:pPr>
      <w:r>
        <w:rPr>
          <w:rStyle w:val="8"/>
          <w:rFonts w:hint="eastAsia" w:ascii="仿宋_GB2312" w:hAnsi="仿宋_GB2312" w:eastAsia="仿宋_GB2312" w:cs="仿宋_GB2312"/>
          <w:b w:val="0"/>
          <w:spacing w:val="-4"/>
          <w:sz w:val="32"/>
          <w:szCs w:val="32"/>
        </w:rPr>
        <w:t>一是领导高度重视，成立绩效自评工作领导小组，主要领导负总责，分管领导具体负责，安排专人具体办理，形成一级抓一级，层层抓落实。二是严格执行相关财经法律法规，项目经费专款专用，抓好项目实施和绩效评价。三是科学制定方案，为使绩效评价工作平稳有序进行，在正式评价开展前拟定了详细的工作方案，方案内容包括评价内容、评价方法、评价依据、时间安排、工作步骤、工作要求等方面。四是业务人员工作积极、认真负责，抓好项目实施的绩效评价。</w:t>
      </w:r>
    </w:p>
    <w:p w14:paraId="4719E755">
      <w:pPr>
        <w:spacing w:line="520" w:lineRule="exact"/>
        <w:ind w:firstLine="567" w:firstLineChars="181"/>
        <w:outlineLvl w:val="1"/>
        <w:rPr>
          <w:rStyle w:val="8"/>
          <w:rFonts w:ascii="楷体" w:hAnsi="楷体" w:eastAsia="楷体" w:cs="楷体"/>
          <w:b w:val="0"/>
          <w:spacing w:val="-4"/>
          <w:sz w:val="32"/>
          <w:szCs w:val="32"/>
        </w:rPr>
      </w:pPr>
      <w:r>
        <w:rPr>
          <w:rStyle w:val="8"/>
          <w:rFonts w:hint="eastAsia" w:ascii="楷体" w:hAnsi="楷体" w:eastAsia="楷体" w:cs="楷体"/>
          <w:bCs w:val="0"/>
          <w:spacing w:val="-4"/>
          <w:sz w:val="32"/>
          <w:szCs w:val="32"/>
        </w:rPr>
        <w:t>（二）存在的问题及原因分析</w:t>
      </w:r>
    </w:p>
    <w:p w14:paraId="587FCC86">
      <w:pPr>
        <w:spacing w:line="520" w:lineRule="exact"/>
        <w:ind w:firstLine="564" w:firstLineChars="181"/>
        <w:rPr>
          <w:rStyle w:val="8"/>
          <w:rFonts w:ascii="仿宋_GB2312" w:hAnsi="仿宋_GB2312" w:eastAsia="仿宋_GB2312" w:cs="仿宋_GB2312"/>
          <w:b w:val="0"/>
          <w:spacing w:val="-4"/>
          <w:sz w:val="32"/>
          <w:szCs w:val="32"/>
        </w:rPr>
      </w:pPr>
      <w:r>
        <w:rPr>
          <w:rStyle w:val="8"/>
          <w:rFonts w:hint="eastAsia" w:ascii="仿宋_GB2312" w:hAnsi="仿宋_GB2312" w:eastAsia="仿宋_GB2312" w:cs="仿宋_GB2312"/>
          <w:b w:val="0"/>
          <w:spacing w:val="-4"/>
          <w:sz w:val="32"/>
          <w:szCs w:val="32"/>
        </w:rPr>
        <w:t>根据本次绩效评价情况，发现预算绩效申报存在绩效目标设置不科学、不合理的问题。原因为编制的项目自评指标体系不够精细，绩效目标不具体，绩效目标未完全细化，分解工作任务不够具体，部分绩效指标不清晰，在经费支出过程中经济功能精确度有待提高。</w:t>
      </w:r>
    </w:p>
    <w:p w14:paraId="6022E58D">
      <w:pPr>
        <w:numPr>
          <w:ilvl w:val="0"/>
          <w:numId w:val="1"/>
        </w:numPr>
        <w:spacing w:line="520" w:lineRule="exact"/>
        <w:ind w:firstLine="624" w:firstLineChars="200"/>
        <w:outlineLvl w:val="0"/>
        <w:rPr>
          <w:rStyle w:val="8"/>
          <w:rFonts w:hint="eastAsia" w:ascii="黑体" w:hAnsi="黑体" w:eastAsia="黑体"/>
          <w:b w:val="0"/>
          <w:spacing w:val="-4"/>
          <w:sz w:val="32"/>
          <w:szCs w:val="32"/>
          <w:lang w:val="en-US" w:eastAsia="zh-CN"/>
        </w:rPr>
      </w:pPr>
      <w:r>
        <w:rPr>
          <w:rStyle w:val="8"/>
          <w:rFonts w:hint="eastAsia" w:ascii="黑体" w:hAnsi="黑体" w:eastAsia="黑体"/>
          <w:b w:val="0"/>
          <w:spacing w:val="-4"/>
          <w:sz w:val="32"/>
          <w:szCs w:val="32"/>
        </w:rPr>
        <w:t>有关建议</w:t>
      </w:r>
      <w:r>
        <w:rPr>
          <w:rStyle w:val="8"/>
          <w:rFonts w:hint="eastAsia" w:ascii="黑体" w:hAnsi="黑体" w:eastAsia="黑体"/>
          <w:b w:val="0"/>
          <w:spacing w:val="-4"/>
          <w:sz w:val="32"/>
          <w:szCs w:val="32"/>
          <w:lang w:val="en-US" w:eastAsia="zh-CN"/>
        </w:rPr>
        <w:t xml:space="preserve">   </w:t>
      </w:r>
    </w:p>
    <w:p w14:paraId="7641BAC1">
      <w:pPr>
        <w:numPr>
          <w:ilvl w:val="0"/>
          <w:numId w:val="0"/>
        </w:numPr>
        <w:spacing w:line="520" w:lineRule="exact"/>
        <w:ind w:firstLine="624" w:firstLineChars="200"/>
        <w:outlineLvl w:val="0"/>
        <w:rPr>
          <w:rStyle w:val="8"/>
          <w:rFonts w:hint="eastAsia" w:ascii="仿宋_GB2312" w:hAnsi="仿宋_GB2312" w:eastAsia="仿宋_GB2312" w:cs="仿宋_GB2312"/>
          <w:b w:val="0"/>
          <w:bCs/>
          <w:spacing w:val="-4"/>
          <w:sz w:val="32"/>
          <w:szCs w:val="32"/>
          <w:lang w:val="en-US" w:eastAsia="zh-CN"/>
        </w:rPr>
      </w:pPr>
      <w:r>
        <w:rPr>
          <w:rStyle w:val="8"/>
          <w:rFonts w:hint="eastAsia" w:ascii="仿宋_GB2312" w:hAnsi="仿宋_GB2312" w:eastAsia="仿宋_GB2312" w:cs="仿宋_GB2312"/>
          <w:b w:val="0"/>
          <w:bCs/>
          <w:spacing w:val="-4"/>
          <w:sz w:val="32"/>
          <w:szCs w:val="32"/>
          <w:lang w:val="en-US" w:eastAsia="zh-CN"/>
        </w:rPr>
        <w:t>无</w:t>
      </w:r>
    </w:p>
    <w:p w14:paraId="7DD7310B">
      <w:pPr>
        <w:keepNext/>
        <w:keepLines/>
        <w:numPr>
          <w:ilvl w:val="0"/>
          <w:numId w:val="0"/>
        </w:numPr>
        <w:ind w:firstLine="624" w:firstLineChars="200"/>
        <w:jc w:val="both"/>
        <w:outlineLvl w:val="1"/>
        <w:rPr>
          <w:lang w:val="en-US"/>
        </w:rPr>
      </w:pPr>
      <w:r>
        <w:rPr>
          <w:rStyle w:val="8"/>
          <w:rFonts w:hint="eastAsia" w:ascii="黑体" w:hAnsi="黑体" w:eastAsia="黑体"/>
          <w:b w:val="0"/>
          <w:spacing w:val="-4"/>
          <w:sz w:val="32"/>
          <w:szCs w:val="32"/>
          <w:lang w:val="en-US" w:eastAsia="zh-CN"/>
        </w:rPr>
        <w:t>七、</w:t>
      </w:r>
      <w:r>
        <w:rPr>
          <w:rStyle w:val="8"/>
          <w:rFonts w:hint="eastAsia" w:ascii="黑体" w:hAnsi="黑体" w:eastAsia="黑体"/>
          <w:b w:val="0"/>
          <w:spacing w:val="-4"/>
          <w:sz w:val="32"/>
          <w:szCs w:val="32"/>
        </w:rPr>
        <w:t>其他需要说明的</w:t>
      </w:r>
      <w:r>
        <w:rPr>
          <w:rStyle w:val="8"/>
          <w:rFonts w:hint="eastAsia" w:ascii="黑体" w:hAnsi="黑体" w:eastAsia="黑体"/>
          <w:b w:val="0"/>
          <w:spacing w:val="-4"/>
          <w:sz w:val="32"/>
          <w:szCs w:val="32"/>
          <w:lang w:val="en-US" w:eastAsia="zh-CN"/>
        </w:rPr>
        <w:t>问题</w:t>
      </w:r>
    </w:p>
    <w:p w14:paraId="2A14F82D">
      <w:pPr>
        <w:numPr>
          <w:ilvl w:val="0"/>
          <w:numId w:val="0"/>
        </w:numPr>
        <w:spacing w:line="520" w:lineRule="exact"/>
        <w:ind w:firstLine="624" w:firstLineChars="200"/>
        <w:outlineLvl w:val="0"/>
        <w:rPr>
          <w:rStyle w:val="8"/>
          <w:rFonts w:hint="eastAsia" w:ascii="仿宋_GB2312" w:hAnsi="仿宋_GB2312" w:eastAsia="仿宋_GB2312" w:cs="仿宋_GB2312"/>
          <w:b w:val="0"/>
          <w:bCs/>
          <w:spacing w:val="-4"/>
          <w:sz w:val="32"/>
          <w:szCs w:val="32"/>
          <w:lang w:val="en-US" w:eastAsia="zh-CN"/>
        </w:rPr>
      </w:pPr>
      <w:r>
        <w:rPr>
          <w:rStyle w:val="8"/>
          <w:rFonts w:hint="eastAsia" w:ascii="仿宋_GB2312" w:hAnsi="仿宋_GB2312" w:eastAsia="仿宋_GB2312" w:cs="仿宋_GB2312"/>
          <w:b w:val="0"/>
          <w:bCs/>
          <w:spacing w:val="-4"/>
          <w:sz w:val="32"/>
          <w:szCs w:val="32"/>
          <w:lang w:val="en-US" w:eastAsia="zh-CN"/>
        </w:rPr>
        <w:t>无</w:t>
      </w:r>
    </w:p>
    <w:p w14:paraId="4CC2A9C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9BD465"/>
    <w:multiLevelType w:val="singleLevel"/>
    <w:tmpl w:val="3F9BD465"/>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37D15CF5"/>
    <w:rsid w:val="35C616C3"/>
    <w:rsid w:val="37D15CF5"/>
    <w:rsid w:val="3D3453FB"/>
    <w:rsid w:val="4DC64B62"/>
    <w:rsid w:val="50F96FFC"/>
    <w:rsid w:val="57717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uiPriority w:val="0"/>
    <w:pPr>
      <w:ind w:firstLine="420" w:firstLineChars="200"/>
    </w:pPr>
  </w:style>
  <w:style w:type="paragraph" w:styleId="3">
    <w:name w:val="Body Text Indent"/>
    <w:basedOn w:val="1"/>
    <w:uiPriority w:val="0"/>
    <w:pPr>
      <w:spacing w:after="120"/>
      <w:ind w:left="420" w:leftChars="200"/>
    </w:pPr>
    <w:rPr>
      <w:rFonts w:ascii="Calibri" w:hAnsi="Calibri" w:eastAsia="宋体"/>
    </w:rPr>
  </w:style>
  <w:style w:type="paragraph" w:styleId="4">
    <w:name w:val="Body Text"/>
    <w:basedOn w:val="1"/>
    <w:uiPriority w:val="0"/>
    <w:rPr>
      <w:rFonts w:ascii="宋体" w:hAnsi="宋体" w:cs="宋体"/>
      <w:sz w:val="31"/>
      <w:szCs w:val="31"/>
      <w:lang w:val="zh-CN" w:bidi="zh-CN"/>
    </w:rPr>
  </w:style>
  <w:style w:type="paragraph" w:styleId="5">
    <w:name w:val="Plain Text"/>
    <w:basedOn w:val="1"/>
    <w:uiPriority w:val="0"/>
    <w:pPr>
      <w:widowControl/>
    </w:pPr>
    <w:rPr>
      <w:rFonts w:ascii="宋体" w:hAnsi="Courier New" w:eastAsiaTheme="minorEastAsia" w:cstheme="minorBidi"/>
      <w:szCs w:val="22"/>
    </w:rPr>
  </w:style>
  <w:style w:type="character" w:styleId="8">
    <w:name w:val="Strong"/>
    <w:basedOn w:val="7"/>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3923</Words>
  <Characters>4169</Characters>
  <Lines>0</Lines>
  <Paragraphs>0</Paragraphs>
  <TotalTime>0</TotalTime>
  <ScaleCrop>false</ScaleCrop>
  <LinksUpToDate>false</LinksUpToDate>
  <CharactersWithSpaces>4207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2024-03-13T09:28:00Z</dcterms:created>
  <dc:creator>qgt</dc:creator>
  <cp:lastModifiedBy>岁月无痕</cp:lastModifiedBy>
  <dcterms:modified xsi:type="dcterms:W3CDTF">2024-08-09T09:04:21Z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521B458A5ED440F2A307488D79138876_12</vt:lpwstr>
  </property>
</Properties>
</file>