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B3A42">
      <w:pPr>
        <w:spacing w:line="240" w:lineRule="auto"/>
        <w:jc w:val="center"/>
        <w:outlineLvl w:val="0"/>
        <w:rPr>
          <w:rFonts w:hint="eastAsia" w:ascii="方正小标宋简体" w:hAnsi="方正小标宋简体" w:eastAsia="方正小标宋简体" w:cs="方正小标宋简体"/>
          <w:b w:val="0"/>
          <w:bCs/>
          <w:kern w:val="0"/>
          <w:sz w:val="44"/>
          <w:szCs w:val="44"/>
          <w:lang w:eastAsia="zh-CN"/>
        </w:rPr>
      </w:pPr>
      <w:bookmarkStart w:id="0" w:name="_Toc15826"/>
    </w:p>
    <w:p w14:paraId="31DEC628">
      <w:pPr>
        <w:spacing w:line="240" w:lineRule="auto"/>
        <w:jc w:val="center"/>
        <w:outlineLvl w:val="0"/>
        <w:rPr>
          <w:rFonts w:hint="eastAsia" w:ascii="方正小标宋简体" w:hAnsi="方正小标宋简体" w:eastAsia="方正小标宋简体" w:cs="方正小标宋简体"/>
          <w:b w:val="0"/>
          <w:bCs/>
          <w:kern w:val="0"/>
          <w:sz w:val="44"/>
          <w:szCs w:val="44"/>
          <w:lang w:eastAsia="zh-CN"/>
        </w:rPr>
      </w:pPr>
    </w:p>
    <w:p w14:paraId="4AD53CDF">
      <w:pPr>
        <w:spacing w:line="240" w:lineRule="auto"/>
        <w:jc w:val="center"/>
        <w:outlineLvl w:val="0"/>
        <w:rPr>
          <w:rFonts w:hint="eastAsia" w:ascii="方正小标宋简体" w:hAnsi="方正小标宋简体" w:eastAsia="方正小标宋简体" w:cs="方正小标宋简体"/>
          <w:b w:val="0"/>
          <w:bCs/>
          <w:kern w:val="0"/>
          <w:sz w:val="44"/>
          <w:szCs w:val="44"/>
          <w:lang w:eastAsia="zh-CN"/>
        </w:rPr>
      </w:pPr>
    </w:p>
    <w:p w14:paraId="293FC363">
      <w:pPr>
        <w:spacing w:line="240" w:lineRule="auto"/>
        <w:jc w:val="center"/>
        <w:outlineLvl w:val="0"/>
        <w:rPr>
          <w:rFonts w:hint="eastAsia" w:ascii="方正小标宋简体" w:hAnsi="方正小标宋简体" w:eastAsia="方正小标宋简体" w:cs="方正小标宋简体"/>
          <w:b w:val="0"/>
          <w:bCs/>
          <w:kern w:val="0"/>
          <w:sz w:val="44"/>
          <w:szCs w:val="44"/>
          <w:lang w:eastAsia="zh-CN"/>
        </w:rPr>
      </w:pPr>
      <w:r>
        <w:rPr>
          <w:rFonts w:hint="eastAsia" w:ascii="方正小标宋简体" w:hAnsi="方正小标宋简体" w:eastAsia="方正小标宋简体" w:cs="方正小标宋简体"/>
          <w:b w:val="0"/>
          <w:bCs/>
          <w:kern w:val="0"/>
          <w:sz w:val="44"/>
          <w:szCs w:val="44"/>
          <w:lang w:eastAsia="zh-CN"/>
        </w:rPr>
        <w:t>重点产业集群“集聚提升”产业链“建链成链”</w:t>
      </w:r>
    </w:p>
    <w:p w14:paraId="138DAD2D">
      <w:pPr>
        <w:spacing w:line="240" w:lineRule="auto"/>
        <w:jc w:val="center"/>
        <w:outlineLvl w:val="0"/>
        <w:rPr>
          <w:rFonts w:hint="eastAsia" w:ascii="新宋体" w:hAnsi="新宋体" w:eastAsia="新宋体" w:cs="新宋体"/>
          <w:b/>
          <w:kern w:val="0"/>
          <w:sz w:val="44"/>
          <w:szCs w:val="44"/>
        </w:rPr>
      </w:pPr>
      <w:r>
        <w:rPr>
          <w:rFonts w:hint="eastAsia" w:ascii="方正小标宋简体" w:hAnsi="方正小标宋简体" w:eastAsia="方正小标宋简体" w:cs="方正小标宋简体"/>
          <w:b w:val="0"/>
          <w:bCs/>
          <w:kern w:val="0"/>
          <w:sz w:val="44"/>
          <w:szCs w:val="44"/>
          <w:lang w:eastAsia="zh-CN"/>
        </w:rPr>
        <w:t>支持体系课题研究</w:t>
      </w:r>
      <w:r>
        <w:rPr>
          <w:rFonts w:hint="eastAsia" w:ascii="方正小标宋简体" w:hAnsi="方正小标宋简体" w:eastAsia="方正小标宋简体" w:cs="方正小标宋简体"/>
          <w:b w:val="0"/>
          <w:bCs/>
          <w:kern w:val="0"/>
          <w:sz w:val="44"/>
          <w:szCs w:val="44"/>
        </w:rPr>
        <w:t>项目支出绩效</w:t>
      </w:r>
      <w:r>
        <w:rPr>
          <w:rFonts w:hint="eastAsia" w:ascii="方正小标宋简体" w:hAnsi="方正小标宋简体" w:eastAsia="方正小标宋简体" w:cs="方正小标宋简体"/>
          <w:b w:val="0"/>
          <w:bCs/>
          <w:kern w:val="0"/>
          <w:sz w:val="44"/>
          <w:szCs w:val="44"/>
          <w:lang w:eastAsia="zh-CN"/>
        </w:rPr>
        <w:t>评价</w:t>
      </w:r>
      <w:r>
        <w:rPr>
          <w:rFonts w:hint="eastAsia" w:ascii="方正小标宋简体" w:hAnsi="方正小标宋简体" w:eastAsia="方正小标宋简体" w:cs="方正小标宋简体"/>
          <w:b w:val="0"/>
          <w:bCs/>
          <w:kern w:val="0"/>
          <w:sz w:val="44"/>
          <w:szCs w:val="44"/>
        </w:rPr>
        <w:t>报告</w:t>
      </w:r>
      <w:bookmarkEnd w:id="0"/>
    </w:p>
    <w:p w14:paraId="26D65F93">
      <w:pPr>
        <w:spacing w:line="540" w:lineRule="exact"/>
        <w:jc w:val="center"/>
        <w:rPr>
          <w:rFonts w:hint="eastAsia" w:ascii="新宋体" w:hAnsi="新宋体" w:eastAsia="新宋体" w:cs="新宋体"/>
          <w:b/>
          <w:kern w:val="0"/>
          <w:sz w:val="36"/>
          <w:szCs w:val="36"/>
        </w:rPr>
      </w:pPr>
    </w:p>
    <w:p w14:paraId="38F92FFE">
      <w:pPr>
        <w:spacing w:line="54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23</w:t>
      </w:r>
      <w:r>
        <w:rPr>
          <w:rFonts w:hint="eastAsia" w:ascii="仿宋_GB2312" w:hAnsi="仿宋_GB2312" w:eastAsia="仿宋_GB2312" w:cs="仿宋_GB2312"/>
          <w:kern w:val="0"/>
          <w:sz w:val="32"/>
          <w:szCs w:val="32"/>
        </w:rPr>
        <w:t>年度）</w:t>
      </w:r>
    </w:p>
    <w:p w14:paraId="7C8A15E9">
      <w:pPr>
        <w:spacing w:line="540" w:lineRule="exact"/>
        <w:jc w:val="center"/>
        <w:rPr>
          <w:rFonts w:eastAsia="仿宋_GB2312"/>
          <w:kern w:val="0"/>
          <w:sz w:val="30"/>
          <w:szCs w:val="30"/>
        </w:rPr>
      </w:pPr>
    </w:p>
    <w:p w14:paraId="0E58D53F">
      <w:pPr>
        <w:spacing w:line="540" w:lineRule="exact"/>
        <w:jc w:val="center"/>
        <w:rPr>
          <w:rFonts w:eastAsia="仿宋_GB2312"/>
          <w:kern w:val="0"/>
          <w:sz w:val="30"/>
          <w:szCs w:val="30"/>
        </w:rPr>
      </w:pPr>
    </w:p>
    <w:p w14:paraId="3CF04EC0">
      <w:pPr>
        <w:spacing w:line="540" w:lineRule="exact"/>
        <w:jc w:val="both"/>
        <w:rPr>
          <w:rFonts w:eastAsia="仿宋_GB2312"/>
          <w:kern w:val="0"/>
          <w:sz w:val="30"/>
          <w:szCs w:val="30"/>
        </w:rPr>
      </w:pPr>
      <w:bookmarkStart w:id="3" w:name="_GoBack"/>
      <w:bookmarkEnd w:id="3"/>
    </w:p>
    <w:p w14:paraId="17408ADF">
      <w:pPr>
        <w:spacing w:line="540" w:lineRule="exact"/>
        <w:rPr>
          <w:rFonts w:eastAsia="仿宋_GB2312"/>
          <w:kern w:val="0"/>
          <w:sz w:val="30"/>
          <w:szCs w:val="30"/>
        </w:rPr>
      </w:pPr>
    </w:p>
    <w:p w14:paraId="6E7F7D47">
      <w:pPr>
        <w:spacing w:line="700" w:lineRule="exact"/>
        <w:ind w:left="1440" w:leftChars="480" w:firstLine="0" w:firstLineChars="0"/>
        <w:jc w:val="left"/>
        <w:rPr>
          <w:rFonts w:hint="eastAsia" w:ascii="Times New Roman" w:hAnsi="Times New Roman" w:eastAsia="仿宋_GB2312" w:cs="Times New Roman"/>
          <w:kern w:val="0"/>
          <w:sz w:val="36"/>
          <w:szCs w:val="36"/>
          <w:lang w:eastAsia="zh-CN"/>
        </w:rPr>
      </w:pPr>
      <w:r>
        <w:rPr>
          <w:rFonts w:eastAsia="仿宋_GB2312"/>
          <w:kern w:val="0"/>
          <w:sz w:val="36"/>
          <w:szCs w:val="36"/>
        </w:rPr>
        <w:t>项目名称：</w:t>
      </w:r>
      <w:r>
        <w:rPr>
          <w:rFonts w:hint="eastAsia" w:ascii="Times New Roman" w:hAnsi="Times New Roman" w:eastAsia="仿宋_GB2312" w:cs="Times New Roman"/>
          <w:kern w:val="0"/>
          <w:sz w:val="36"/>
          <w:szCs w:val="36"/>
          <w:lang w:eastAsia="zh-CN"/>
        </w:rPr>
        <w:t>重点产业集群“集聚提升”产业链“建链成链”支持体系课题研</w:t>
      </w:r>
    </w:p>
    <w:p w14:paraId="6600CBCC">
      <w:pPr>
        <w:spacing w:line="700" w:lineRule="exact"/>
        <w:ind w:left="1440" w:leftChars="480" w:firstLine="0" w:firstLineChars="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rPr>
        <w:t>自治区工业和信息化厅</w:t>
      </w:r>
      <w:r>
        <w:rPr>
          <w:rFonts w:hint="eastAsia"/>
          <w:kern w:val="0"/>
          <w:sz w:val="36"/>
          <w:szCs w:val="36"/>
          <w:lang w:val="en-US" w:eastAsia="zh-CN"/>
        </w:rPr>
        <w:t>产业政策</w:t>
      </w:r>
      <w:r>
        <w:rPr>
          <w:rFonts w:hint="eastAsia"/>
          <w:kern w:val="0"/>
          <w:sz w:val="36"/>
          <w:szCs w:val="36"/>
          <w:lang w:eastAsia="zh-CN"/>
        </w:rPr>
        <w:t>处</w:t>
      </w:r>
    </w:p>
    <w:p w14:paraId="2791DF13">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自治区工业和信息化厅</w:t>
      </w:r>
    </w:p>
    <w:p w14:paraId="0E0F4C3F">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kern w:val="0"/>
          <w:sz w:val="36"/>
          <w:szCs w:val="36"/>
          <w:lang w:val="en-US" w:eastAsia="zh-CN"/>
        </w:rPr>
        <w:t>张磊</w:t>
      </w:r>
    </w:p>
    <w:p w14:paraId="62C22E8B">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w:t>
      </w:r>
      <w:r>
        <w:rPr>
          <w:rFonts w:hint="eastAsia"/>
          <w:kern w:val="0"/>
          <w:sz w:val="36"/>
          <w:szCs w:val="36"/>
          <w:lang w:val="en-US" w:eastAsia="zh-CN"/>
        </w:rPr>
        <w:t>4</w:t>
      </w:r>
      <w:r>
        <w:rPr>
          <w:rFonts w:eastAsia="仿宋_GB2312"/>
          <w:kern w:val="0"/>
          <w:sz w:val="36"/>
          <w:szCs w:val="36"/>
        </w:rPr>
        <w:t>年</w:t>
      </w:r>
      <w:r>
        <w:rPr>
          <w:rFonts w:hint="eastAsia"/>
          <w:kern w:val="0"/>
          <w:sz w:val="36"/>
          <w:szCs w:val="36"/>
          <w:lang w:val="en-US" w:eastAsia="zh-CN"/>
        </w:rPr>
        <w:t>3</w:t>
      </w:r>
      <w:r>
        <w:rPr>
          <w:rFonts w:eastAsia="仿宋_GB2312"/>
          <w:kern w:val="0"/>
          <w:sz w:val="36"/>
          <w:szCs w:val="36"/>
        </w:rPr>
        <w:t>月</w:t>
      </w:r>
      <w:r>
        <w:rPr>
          <w:rFonts w:hint="eastAsia"/>
          <w:kern w:val="0"/>
          <w:sz w:val="36"/>
          <w:szCs w:val="36"/>
          <w:lang w:val="en-US" w:eastAsia="zh-CN"/>
        </w:rPr>
        <w:t>14</w:t>
      </w:r>
      <w:r>
        <w:rPr>
          <w:rFonts w:eastAsia="仿宋_GB2312"/>
          <w:kern w:val="0"/>
          <w:sz w:val="36"/>
          <w:szCs w:val="36"/>
        </w:rPr>
        <w:t>日</w:t>
      </w:r>
    </w:p>
    <w:p w14:paraId="7B4B56E2">
      <w:pPr>
        <w:rPr>
          <w:rFonts w:hint="eastAsia" w:ascii="宋体" w:hAnsi="宋体" w:eastAsia="宋体" w:cs="Arial"/>
          <w:b/>
          <w:bCs/>
          <w:sz w:val="36"/>
          <w:szCs w:val="36"/>
          <w:lang w:eastAsia="zh-CN"/>
        </w:rPr>
      </w:pPr>
      <w:r>
        <w:rPr>
          <w:rFonts w:hint="eastAsia" w:ascii="宋体" w:hAnsi="宋体" w:eastAsia="宋体" w:cs="Arial"/>
          <w:b/>
          <w:bCs/>
          <w:sz w:val="36"/>
          <w:szCs w:val="36"/>
          <w:lang w:eastAsia="zh-CN"/>
        </w:rPr>
        <w:br w:type="page"/>
      </w:r>
    </w:p>
    <w:p w14:paraId="120EA559">
      <w:pPr>
        <w:jc w:val="center"/>
        <w:rPr>
          <w:rFonts w:hint="eastAsia" w:ascii="宋体" w:hAnsi="宋体" w:eastAsia="宋体" w:cs="Arial"/>
          <w:b/>
          <w:bCs/>
          <w:sz w:val="36"/>
          <w:szCs w:val="36"/>
          <w:lang w:eastAsia="zh-CN"/>
        </w:rPr>
      </w:pPr>
      <w:r>
        <w:rPr>
          <w:rFonts w:hint="eastAsia" w:ascii="宋体" w:hAnsi="宋体" w:eastAsia="宋体" w:cs="Arial"/>
          <w:b/>
          <w:bCs/>
          <w:sz w:val="36"/>
          <w:szCs w:val="36"/>
          <w:lang w:eastAsia="zh-CN"/>
        </w:rPr>
        <w:t>重点产业集群“集聚提升”产业链“建链成链”</w:t>
      </w:r>
    </w:p>
    <w:p w14:paraId="1413C604">
      <w:pPr>
        <w:jc w:val="center"/>
        <w:rPr>
          <w:rFonts w:ascii="Arial" w:hAnsi="Arial" w:eastAsia="宋体" w:cs="Arial"/>
          <w:b/>
          <w:bCs/>
          <w:sz w:val="36"/>
          <w:szCs w:val="36"/>
        </w:rPr>
      </w:pPr>
      <w:r>
        <w:rPr>
          <w:rFonts w:hint="eastAsia" w:ascii="宋体" w:hAnsi="宋体" w:eastAsia="宋体" w:cs="Arial"/>
          <w:b/>
          <w:bCs/>
          <w:sz w:val="36"/>
          <w:szCs w:val="36"/>
          <w:lang w:eastAsia="zh-CN"/>
        </w:rPr>
        <w:t>支持体系课题研究</w:t>
      </w:r>
      <w:r>
        <w:rPr>
          <w:rFonts w:hint="eastAsia" w:ascii="宋体" w:hAnsi="宋体" w:eastAsia="宋体" w:cs="Arial"/>
          <w:b/>
          <w:bCs/>
          <w:sz w:val="36"/>
          <w:szCs w:val="36"/>
        </w:rPr>
        <w:t>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4434B0E0">
      <w:pPr>
        <w:jc w:val="center"/>
        <w:rPr>
          <w:rFonts w:ascii="仿宋_GB2312"/>
          <w:szCs w:val="30"/>
        </w:rPr>
      </w:pPr>
    </w:p>
    <w:p w14:paraId="59713AC2">
      <w:pPr>
        <w:spacing w:line="600" w:lineRule="exact"/>
        <w:ind w:firstLine="600" w:firstLineChars="200"/>
        <w:rPr>
          <w:rFonts w:ascii="黑体" w:hAnsi="黑体" w:eastAsia="黑体"/>
        </w:rPr>
      </w:pPr>
      <w:r>
        <w:rPr>
          <w:rFonts w:hint="eastAsia" w:ascii="黑体" w:hAnsi="黑体" w:eastAsia="黑体"/>
        </w:rPr>
        <w:t>一、基本情况</w:t>
      </w:r>
    </w:p>
    <w:p w14:paraId="1407F8EF">
      <w:pPr>
        <w:spacing w:line="600" w:lineRule="exact"/>
        <w:ind w:firstLine="602" w:firstLineChars="200"/>
        <w:outlineLvl w:val="0"/>
        <w:rPr>
          <w:rFonts w:hint="eastAsia" w:ascii="仿宋_GB2312"/>
          <w:b/>
          <w:bCs/>
          <w:lang w:eastAsia="zh-CN"/>
        </w:rPr>
      </w:pPr>
      <w:r>
        <w:rPr>
          <w:rFonts w:hint="eastAsia" w:ascii="仿宋_GB2312"/>
          <w:b/>
          <w:bCs/>
        </w:rPr>
        <w:t>（一）</w:t>
      </w:r>
      <w:r>
        <w:rPr>
          <w:rFonts w:hint="eastAsia" w:ascii="仿宋_GB2312"/>
          <w:b/>
          <w:bCs/>
          <w:lang w:eastAsia="zh-CN"/>
        </w:rPr>
        <w:t>项目概况</w:t>
      </w:r>
    </w:p>
    <w:p w14:paraId="35D8F0FF">
      <w:pPr>
        <w:spacing w:line="600" w:lineRule="exact"/>
        <w:ind w:firstLine="602" w:firstLineChars="200"/>
        <w:outlineLvl w:val="0"/>
        <w:rPr>
          <w:rFonts w:hint="eastAsia" w:ascii="仿宋_GB2312"/>
          <w:lang w:eastAsia="zh-CN"/>
        </w:rPr>
      </w:pPr>
      <w:r>
        <w:rPr>
          <w:rFonts w:hint="eastAsia" w:ascii="仿宋_GB2312"/>
          <w:b/>
          <w:bCs/>
          <w:lang w:val="en-US" w:eastAsia="zh-CN"/>
        </w:rPr>
        <w:t>1.</w:t>
      </w:r>
      <w:r>
        <w:rPr>
          <w:rFonts w:hint="eastAsia" w:ascii="仿宋_GB2312"/>
          <w:b/>
          <w:bCs/>
        </w:rPr>
        <w:t>项目背景</w:t>
      </w:r>
    </w:p>
    <w:p w14:paraId="6C820F04">
      <w:pPr>
        <w:spacing w:line="600" w:lineRule="exact"/>
        <w:ind w:firstLine="600" w:firstLineChars="200"/>
        <w:outlineLvl w:val="0"/>
        <w:rPr>
          <w:rFonts w:hint="eastAsia" w:ascii="仿宋_GB2312"/>
          <w:lang w:eastAsia="zh-CN"/>
        </w:rPr>
      </w:pPr>
      <w:r>
        <w:rPr>
          <w:rFonts w:hint="eastAsia" w:ascii="仿宋_GB2312"/>
          <w:lang w:eastAsia="zh-CN"/>
        </w:rPr>
        <w:t>贯彻落实自治区“八大产业集群”建设重大部署，立足我区资源禀赋、区位优势和发展基础，围绕油气生产加工产业集群、煤炭煤电煤化工产业集群、优势畜产品产业集群、绿色矿业产业集群、新能源新材料等战略性新兴产业链集群建设需要，开展油气生产、富油煤高效开发利用、铅锌、冰雪装备、乳制品等重点产业研究，为自治区推动重点产业链“集聚提升”产业链“建链成链”提供科学决策建议。</w:t>
      </w:r>
    </w:p>
    <w:p w14:paraId="5180BADA">
      <w:pPr>
        <w:keepNext w:val="0"/>
        <w:keepLines w:val="0"/>
        <w:pageBreakBefore w:val="0"/>
        <w:widowControl w:val="0"/>
        <w:numPr>
          <w:ilvl w:val="0"/>
          <w:numId w:val="0"/>
        </w:numPr>
        <w:kinsoku/>
        <w:wordWrap/>
        <w:overflowPunct/>
        <w:topLinePunct w:val="0"/>
        <w:autoSpaceDE/>
        <w:autoSpaceDN/>
        <w:bidi w:val="0"/>
        <w:adjustRightInd/>
        <w:spacing w:line="560" w:lineRule="exact"/>
        <w:ind w:firstLine="602" w:firstLineChars="200"/>
        <w:textAlignment w:val="auto"/>
        <w:outlineLvl w:val="0"/>
        <w:rPr>
          <w:rFonts w:hint="eastAsia" w:ascii="仿宋_GB2312"/>
          <w:b/>
          <w:bCs/>
        </w:rPr>
      </w:pPr>
      <w:r>
        <w:rPr>
          <w:rFonts w:hint="eastAsia" w:ascii="仿宋_GB2312"/>
          <w:b/>
          <w:bCs/>
          <w:lang w:val="en-US" w:eastAsia="zh-CN"/>
        </w:rPr>
        <w:t>2.</w:t>
      </w:r>
      <w:r>
        <w:rPr>
          <w:rFonts w:hint="eastAsia" w:ascii="仿宋_GB2312"/>
          <w:b/>
          <w:bCs/>
        </w:rPr>
        <w:t>主要内容</w:t>
      </w:r>
    </w:p>
    <w:p w14:paraId="3FC4FA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0"/>
        <w:rPr>
          <w:rFonts w:hint="default" w:ascii="仿宋_GB2312" w:eastAsia="仿宋_GB2312"/>
          <w:b/>
          <w:bCs/>
          <w:lang w:val="en-US" w:eastAsia="zh-CN"/>
        </w:rPr>
      </w:pPr>
      <w:r>
        <w:rPr>
          <w:rFonts w:hint="eastAsia" w:ascii="仿宋_GB2312" w:hAnsi="Times New Roman" w:cs="Times New Roman"/>
          <w:b w:val="0"/>
          <w:bCs w:val="0"/>
          <w:lang w:eastAsia="zh-CN"/>
        </w:rPr>
        <w:t>重点产业集群“集聚提升”产业链“建链成链”支持体系课题研究</w:t>
      </w:r>
      <w:r>
        <w:rPr>
          <w:rFonts w:hint="eastAsia" w:ascii="仿宋_GB2312"/>
          <w:b w:val="0"/>
          <w:bCs w:val="0"/>
          <w:lang w:eastAsia="zh-CN"/>
        </w:rPr>
        <w:t>项目包括</w:t>
      </w:r>
      <w:r>
        <w:rPr>
          <w:rFonts w:hint="eastAsia" w:ascii="仿宋_GB2312"/>
          <w:lang w:eastAsia="zh-CN"/>
        </w:rPr>
        <w:t>油气生产、富油煤高效开发利用、铅锌、冰雪装备、乳制品等重点产业研究</w:t>
      </w:r>
      <w:r>
        <w:rPr>
          <w:rFonts w:hint="eastAsia" w:ascii="仿宋_GB2312"/>
          <w:b w:val="0"/>
          <w:bCs w:val="0"/>
          <w:lang w:val="en-US" w:eastAsia="zh-CN"/>
        </w:rPr>
        <w:t>等5个相关课题研究工作。</w:t>
      </w:r>
    </w:p>
    <w:p w14:paraId="218E2F2E">
      <w:pPr>
        <w:keepNext w:val="0"/>
        <w:keepLines w:val="0"/>
        <w:pageBreakBefore w:val="0"/>
        <w:widowControl w:val="0"/>
        <w:numPr>
          <w:ilvl w:val="0"/>
          <w:numId w:val="0"/>
        </w:numPr>
        <w:kinsoku/>
        <w:wordWrap/>
        <w:overflowPunct/>
        <w:topLinePunct w:val="0"/>
        <w:autoSpaceDE/>
        <w:autoSpaceDN/>
        <w:bidi w:val="0"/>
        <w:adjustRightInd/>
        <w:spacing w:line="560" w:lineRule="exact"/>
        <w:ind w:firstLine="602" w:firstLineChars="200"/>
        <w:textAlignment w:val="auto"/>
        <w:outlineLvl w:val="0"/>
        <w:rPr>
          <w:rFonts w:hint="eastAsia"/>
          <w:lang w:eastAsia="zh-CN"/>
        </w:rPr>
      </w:pPr>
      <w:r>
        <w:rPr>
          <w:rFonts w:hint="eastAsia" w:ascii="仿宋_GB2312"/>
          <w:b/>
          <w:bCs/>
          <w:lang w:val="en-US" w:eastAsia="zh-CN"/>
        </w:rPr>
        <w:t>3.</w:t>
      </w:r>
      <w:r>
        <w:rPr>
          <w:rFonts w:hint="eastAsia" w:ascii="仿宋_GB2312"/>
          <w:b/>
          <w:bCs/>
        </w:rPr>
        <w:t>资金投入和使用情况</w:t>
      </w:r>
    </w:p>
    <w:p w14:paraId="5CBF5C85">
      <w:pPr>
        <w:spacing w:line="600" w:lineRule="exact"/>
        <w:ind w:firstLine="600" w:firstLineChars="200"/>
        <w:outlineLvl w:val="0"/>
        <w:rPr>
          <w:rFonts w:hint="default" w:ascii="仿宋_GB2312"/>
          <w:lang w:val="en-US" w:eastAsia="zh-CN"/>
        </w:rPr>
      </w:pPr>
      <w:r>
        <w:rPr>
          <w:rFonts w:hint="eastAsia" w:ascii="仿宋_GB2312"/>
          <w:lang w:eastAsia="zh-CN"/>
        </w:rPr>
        <w:t>该项目预算</w:t>
      </w:r>
      <w:r>
        <w:rPr>
          <w:rFonts w:hint="eastAsia" w:ascii="仿宋_GB2312"/>
          <w:lang w:val="en-US" w:eastAsia="zh-CN"/>
        </w:rPr>
        <w:t>50万元，主要用于</w:t>
      </w:r>
      <w:r>
        <w:rPr>
          <w:rFonts w:hint="eastAsia" w:ascii="仿宋_GB2312"/>
          <w:lang w:eastAsia="zh-CN"/>
        </w:rPr>
        <w:t>油气生产、富油煤高效开发利用、铅锌、冰雪装备、乳制品等</w:t>
      </w:r>
      <w:r>
        <w:rPr>
          <w:rFonts w:hint="eastAsia" w:ascii="仿宋_GB2312"/>
          <w:lang w:val="en-US" w:eastAsia="zh-CN"/>
        </w:rPr>
        <w:t>课题研究。该年度项目2023全年预算执行数为50万元，执行数49.58万元，执行率为99.16%。</w:t>
      </w:r>
    </w:p>
    <w:p w14:paraId="0724CCBE">
      <w:pPr>
        <w:numPr>
          <w:ilvl w:val="0"/>
          <w:numId w:val="2"/>
        </w:numPr>
        <w:spacing w:line="600" w:lineRule="exact"/>
        <w:ind w:firstLine="602" w:firstLineChars="200"/>
        <w:rPr>
          <w:rFonts w:hint="eastAsia" w:ascii="仿宋_GB2312"/>
          <w:b/>
          <w:bCs/>
        </w:rPr>
      </w:pPr>
      <w:r>
        <w:rPr>
          <w:rFonts w:hint="eastAsia" w:ascii="仿宋_GB2312"/>
          <w:b/>
          <w:bCs/>
        </w:rPr>
        <w:t>项目绩效目标</w:t>
      </w:r>
    </w:p>
    <w:p w14:paraId="15D4E7CD">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lang w:eastAsia="zh-CN"/>
        </w:rPr>
      </w:pPr>
      <w:r>
        <w:rPr>
          <w:rFonts w:eastAsia="仿宋_GB2312"/>
          <w:sz w:val="32"/>
          <w:szCs w:val="32"/>
        </w:rPr>
        <w:t>1、总体目标</w:t>
      </w:r>
    </w:p>
    <w:p w14:paraId="44DC668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仿宋_GB2312"/>
          <w:lang w:eastAsia="zh-CN"/>
        </w:rPr>
      </w:pPr>
      <w:r>
        <w:rPr>
          <w:rFonts w:hint="eastAsia" w:ascii="仿宋_GB2312"/>
          <w:lang w:eastAsia="zh-CN"/>
        </w:rPr>
        <w:t>按照《重点产业集群“集聚提升”产业链“建链成链”支持体系课题研究》项目实施方案，提交油气生产、富油煤高效开发利用、铅锌、冰雪装备、乳制品等五个课题研究文本及电子档。在合同履行期内，保障资金使用规范，保持收支平衡。</w:t>
      </w:r>
    </w:p>
    <w:p w14:paraId="6D215CC7">
      <w:pPr>
        <w:keepNext w:val="0"/>
        <w:keepLines w:val="0"/>
        <w:pageBreakBefore w:val="0"/>
        <w:widowControl w:val="0"/>
        <w:kinsoku/>
        <w:wordWrap/>
        <w:overflowPunct/>
        <w:topLinePunct w:val="0"/>
        <w:autoSpaceDE/>
        <w:autoSpaceDN/>
        <w:bidi w:val="0"/>
        <w:adjustRightInd/>
        <w:spacing w:line="560" w:lineRule="exact"/>
        <w:ind w:firstLine="800" w:firstLineChars="250"/>
        <w:textAlignment w:val="auto"/>
      </w:pPr>
      <w:r>
        <w:rPr>
          <w:rFonts w:eastAsia="仿宋_GB2312"/>
          <w:sz w:val="32"/>
          <w:szCs w:val="32"/>
        </w:rPr>
        <w:t>2、阶段性目标</w:t>
      </w:r>
    </w:p>
    <w:p w14:paraId="19154B0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sz w:val="32"/>
          <w:szCs w:val="32"/>
        </w:rPr>
      </w:pPr>
      <w:r>
        <w:rPr>
          <w:rFonts w:eastAsia="仿宋_GB2312"/>
          <w:sz w:val="32"/>
          <w:szCs w:val="32"/>
        </w:rPr>
        <w:t>（1）前期准备：</w:t>
      </w:r>
      <w:r>
        <w:rPr>
          <w:rFonts w:hint="eastAsia" w:ascii="Times New Roman" w:hAnsi="Times New Roman" w:cs="Times New Roman"/>
          <w:sz w:val="32"/>
          <w:szCs w:val="32"/>
          <w:lang w:eastAsia="zh-CN"/>
        </w:rPr>
        <w:t>通过召开项目专题会，</w:t>
      </w:r>
      <w:r>
        <w:rPr>
          <w:rFonts w:hint="eastAsia" w:ascii="Times New Roman" w:hAnsi="Times New Roman" w:cs="Times New Roman"/>
          <w:sz w:val="32"/>
          <w:szCs w:val="32"/>
          <w:lang w:val="en-US" w:eastAsia="zh-CN"/>
        </w:rPr>
        <w:t>专题研究审议开展推进新疆工业强基增效和转型升级战略研究</w:t>
      </w:r>
      <w:r>
        <w:rPr>
          <w:rFonts w:hint="eastAsia" w:ascii="Times New Roman" w:hAnsi="Times New Roman" w:cs="Times New Roman"/>
          <w:sz w:val="32"/>
          <w:szCs w:val="32"/>
          <w:lang w:eastAsia="zh-CN"/>
        </w:rPr>
        <w:t>重点产业集群“集聚提升”产业链“建链成链”支持体系课题研究</w:t>
      </w:r>
      <w:r>
        <w:rPr>
          <w:rFonts w:hint="eastAsia" w:ascii="Times New Roman" w:hAnsi="Times New Roman" w:cs="Times New Roman"/>
          <w:sz w:val="32"/>
          <w:szCs w:val="32"/>
          <w:lang w:val="en-US" w:eastAsia="zh-CN"/>
        </w:rPr>
        <w:t>有关事宜</w:t>
      </w:r>
      <w:r>
        <w:rPr>
          <w:rFonts w:hint="eastAsia" w:ascii="Times New Roman" w:hAnsi="Times New Roman" w:cs="Times New Roman"/>
          <w:sz w:val="32"/>
          <w:szCs w:val="32"/>
          <w:lang w:eastAsia="zh-CN"/>
        </w:rPr>
        <w:t>，经厅领导及项目负责人审核通过后，</w:t>
      </w:r>
      <w:r>
        <w:rPr>
          <w:rFonts w:hint="eastAsia" w:ascii="Times New Roman" w:hAnsi="Times New Roman" w:eastAsia="仿宋_GB2312" w:cs="Times New Roman"/>
          <w:color w:val="auto"/>
          <w:sz w:val="32"/>
          <w:szCs w:val="32"/>
          <w:u w:val="none"/>
          <w:lang w:val="en-US" w:eastAsia="zh-CN"/>
        </w:rPr>
        <w:t>并</w:t>
      </w:r>
      <w:r>
        <w:rPr>
          <w:rFonts w:hint="eastAsia" w:ascii="仿宋_GB2312" w:hAnsi="仿宋_GB2312" w:eastAsia="仿宋_GB2312" w:cs="仿宋_GB2312"/>
          <w:sz w:val="32"/>
          <w:szCs w:val="32"/>
          <w:lang w:val="en-US" w:eastAsia="zh-CN"/>
        </w:rPr>
        <w:t>建议提交厅党组审定后，</w:t>
      </w:r>
      <w:r>
        <w:rPr>
          <w:rFonts w:eastAsia="仿宋_GB2312"/>
          <w:sz w:val="32"/>
          <w:szCs w:val="32"/>
        </w:rPr>
        <w:t>有序开展后续工作。</w:t>
      </w:r>
    </w:p>
    <w:p w14:paraId="46FAFF2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lang w:eastAsia="zh-CN"/>
        </w:rPr>
      </w:pPr>
      <w:r>
        <w:rPr>
          <w:rFonts w:eastAsia="仿宋_GB2312"/>
          <w:sz w:val="32"/>
          <w:szCs w:val="32"/>
        </w:rPr>
        <w:t>（2）组织实施：资金一到位，立即根据项目要求实施项目。项目责任人按照项目实施方案要求逐一进行项目部署安排，提高项目质量及效率性。</w:t>
      </w:r>
    </w:p>
    <w:p w14:paraId="32E8A96B">
      <w:pPr>
        <w:spacing w:line="600" w:lineRule="exact"/>
        <w:ind w:firstLine="600" w:firstLineChars="200"/>
        <w:rPr>
          <w:rFonts w:ascii="黑体" w:hAnsi="黑体" w:eastAsia="黑体"/>
        </w:rPr>
      </w:pPr>
      <w:r>
        <w:rPr>
          <w:rFonts w:hint="eastAsia" w:ascii="黑体" w:hAnsi="黑体" w:eastAsia="黑体"/>
        </w:rPr>
        <w:t>二、绩效评价工作开展情况</w:t>
      </w:r>
    </w:p>
    <w:p w14:paraId="56C361AE">
      <w:pPr>
        <w:spacing w:line="600" w:lineRule="exact"/>
        <w:ind w:firstLine="602" w:firstLineChars="200"/>
        <w:rPr>
          <w:rFonts w:hint="eastAsia" w:ascii="仿宋_GB2312"/>
          <w:b/>
          <w:bCs/>
        </w:rPr>
      </w:pPr>
      <w:r>
        <w:rPr>
          <w:rFonts w:hint="eastAsia" w:ascii="仿宋_GB2312"/>
          <w:b/>
          <w:bCs/>
        </w:rPr>
        <w:t>（一）绩效评价目的、对象和范围</w:t>
      </w:r>
    </w:p>
    <w:p w14:paraId="355A824C">
      <w:pPr>
        <w:spacing w:line="600" w:lineRule="exact"/>
        <w:ind w:firstLine="600" w:firstLineChars="200"/>
        <w:rPr>
          <w:rFonts w:hint="eastAsia" w:ascii="仿宋_GB2312"/>
          <w:lang w:eastAsia="zh-CN"/>
        </w:rPr>
      </w:pPr>
      <w:r>
        <w:rPr>
          <w:rFonts w:hint="eastAsia" w:ascii="仿宋_GB2312"/>
          <w:lang w:val="en-US" w:eastAsia="zh-CN"/>
        </w:rPr>
        <w:t>绩效评价</w:t>
      </w:r>
      <w:r>
        <w:rPr>
          <w:rFonts w:hint="eastAsia" w:ascii="仿宋_GB2312"/>
          <w:lang w:eastAsia="zh-CN"/>
        </w:rPr>
        <w:t>目的：了解项目资金使用情况，项目成效及社会效益等信息；发现和找出资金使用中或项目管理中的不足和问题，进行研究分析，提出有针对性和可行性的改进建议，促进资金使用效率的增强。</w:t>
      </w:r>
    </w:p>
    <w:p w14:paraId="7C863C65">
      <w:pPr>
        <w:spacing w:line="600" w:lineRule="exact"/>
        <w:ind w:firstLine="600" w:firstLineChars="200"/>
        <w:rPr>
          <w:rFonts w:hint="eastAsia" w:ascii="仿宋_GB2312"/>
          <w:lang w:eastAsia="zh-CN"/>
        </w:rPr>
      </w:pPr>
      <w:r>
        <w:rPr>
          <w:rFonts w:hint="eastAsia" w:ascii="仿宋_GB2312"/>
          <w:lang w:eastAsia="zh-CN"/>
        </w:rPr>
        <w:t>评价对象：本次项目评价主要对象为重点产业集群“集聚提升”产业链“建链成链”支持体系课题研究项目及编制单位新疆经济信息技术咨询中心（有限公司）。</w:t>
      </w:r>
    </w:p>
    <w:p w14:paraId="5E8FABF5">
      <w:pPr>
        <w:spacing w:line="600" w:lineRule="exact"/>
        <w:ind w:firstLine="600" w:firstLineChars="200"/>
        <w:rPr>
          <w:rFonts w:hint="eastAsia" w:ascii="仿宋_GB2312"/>
          <w:lang w:eastAsia="zh-CN"/>
        </w:rPr>
      </w:pPr>
      <w:r>
        <w:rPr>
          <w:rFonts w:hint="eastAsia" w:ascii="仿宋_GB2312"/>
          <w:lang w:eastAsia="zh-CN"/>
        </w:rPr>
        <w:t>评价范围：包含课题研究的成果、资金使用的合规性、课题研究产生的经济效益、社会效益及相关人员及单位的满意度因素。</w:t>
      </w:r>
    </w:p>
    <w:p w14:paraId="234ED6A9">
      <w:pPr>
        <w:spacing w:line="600" w:lineRule="exact"/>
        <w:ind w:firstLine="602" w:firstLineChars="200"/>
        <w:rPr>
          <w:rFonts w:ascii="仿宋_GB2312"/>
          <w:b/>
          <w:bCs/>
        </w:rPr>
      </w:pPr>
      <w:r>
        <w:rPr>
          <w:rFonts w:hint="eastAsia" w:ascii="仿宋_GB2312"/>
          <w:b/>
          <w:bCs/>
        </w:rPr>
        <w:t>（二）绩效评价原则、评价指标体系（附表说明）、评价方法、评价标准等。</w:t>
      </w:r>
    </w:p>
    <w:p w14:paraId="6B2E555D">
      <w:pPr>
        <w:pStyle w:val="9"/>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1、绩效评价原则</w:t>
      </w:r>
    </w:p>
    <w:p w14:paraId="62A8A5B3">
      <w:pPr>
        <w:keepNext w:val="0"/>
        <w:keepLines w:val="0"/>
        <w:pageBreakBefore w:val="0"/>
        <w:kinsoku/>
        <w:wordWrap/>
        <w:overflowPunct/>
        <w:topLinePunct w:val="0"/>
        <w:autoSpaceDE/>
        <w:autoSpaceDN/>
        <w:bidi w:val="0"/>
        <w:adjustRightInd/>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384CF439">
      <w:pPr>
        <w:pStyle w:val="9"/>
        <w:keepNext w:val="0"/>
        <w:keepLines w:val="0"/>
        <w:pageBreakBefore w:val="0"/>
        <w:kinsoku/>
        <w:wordWrap/>
        <w:overflowPunct/>
        <w:topLinePunct w:val="0"/>
        <w:autoSpaceDE/>
        <w:autoSpaceDN/>
        <w:bidi w:val="0"/>
        <w:adjustRightIn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19F4293">
      <w:pPr>
        <w:pStyle w:val="9"/>
        <w:keepNext w:val="0"/>
        <w:keepLines w:val="0"/>
        <w:pageBreakBefore w:val="0"/>
        <w:kinsoku/>
        <w:wordWrap/>
        <w:overflowPunct/>
        <w:topLinePunct w:val="0"/>
        <w:autoSpaceDE/>
        <w:autoSpaceDN/>
        <w:bidi w:val="0"/>
        <w:adjustRightIn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55181551">
      <w:pPr>
        <w:pStyle w:val="9"/>
        <w:keepNext w:val="0"/>
        <w:keepLines w:val="0"/>
        <w:pageBreakBefore w:val="0"/>
        <w:kinsoku/>
        <w:wordWrap/>
        <w:overflowPunct/>
        <w:topLinePunct w:val="0"/>
        <w:autoSpaceDE/>
        <w:autoSpaceDN/>
        <w:bidi w:val="0"/>
        <w:adjustRightIn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C147307">
      <w:pPr>
        <w:pStyle w:val="9"/>
        <w:keepNext w:val="0"/>
        <w:keepLines w:val="0"/>
        <w:pageBreakBefore w:val="0"/>
        <w:kinsoku/>
        <w:wordWrap/>
        <w:overflowPunct/>
        <w:topLinePunct w:val="0"/>
        <w:autoSpaceDE/>
        <w:autoSpaceDN/>
        <w:bidi w:val="0"/>
        <w:adjustRightIn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4AC2D244">
      <w:pPr>
        <w:spacing w:line="600" w:lineRule="exact"/>
        <w:ind w:firstLine="602" w:firstLineChars="200"/>
        <w:rPr>
          <w:rFonts w:hint="eastAsia" w:ascii="仿宋_GB2312"/>
          <w:b/>
          <w:bCs/>
          <w:lang w:val="en-US" w:eastAsia="zh-CN"/>
        </w:rPr>
      </w:pPr>
      <w:r>
        <w:rPr>
          <w:rFonts w:hint="eastAsia" w:ascii="仿宋_GB2312"/>
          <w:b/>
          <w:bCs/>
          <w:lang w:val="en-US" w:eastAsia="zh-CN"/>
        </w:rPr>
        <w:t>2.评价指标体系（附表说明）</w:t>
      </w:r>
    </w:p>
    <w:p w14:paraId="61274ACB">
      <w:pPr>
        <w:pStyle w:val="6"/>
        <w:rPr>
          <w:rFonts w:hint="eastAsia"/>
          <w:lang w:eastAsia="zh-CN"/>
        </w:rPr>
      </w:pPr>
    </w:p>
    <w:p w14:paraId="75359101">
      <w:pPr>
        <w:rPr>
          <w:rFonts w:hint="eastAsia"/>
          <w:lang w:eastAsia="zh-CN"/>
        </w:rPr>
      </w:pPr>
    </w:p>
    <w:p w14:paraId="7D79F169">
      <w:pPr>
        <w:pStyle w:val="6"/>
        <w:rPr>
          <w:rFonts w:hint="eastAsia"/>
          <w:lang w:eastAsia="zh-CN"/>
        </w:rPr>
      </w:pPr>
    </w:p>
    <w:p w14:paraId="5963597E">
      <w:pPr>
        <w:rPr>
          <w:rFonts w:hint="eastAsia"/>
          <w:lang w:eastAsia="zh-CN"/>
        </w:rPr>
      </w:pPr>
      <w:r>
        <w:rPr>
          <w:rFonts w:hint="eastAsia"/>
          <w:lang w:eastAsia="zh-CN"/>
        </w:rPr>
        <w:br w:type="page"/>
      </w:r>
    </w:p>
    <w:p w14:paraId="6A371825">
      <w:pPr>
        <w:rPr>
          <w:rFonts w:hint="eastAsia"/>
          <w:lang w:eastAsia="zh-CN"/>
        </w:rPr>
        <w:sectPr>
          <w:pgSz w:w="11906" w:h="16838"/>
          <w:pgMar w:top="1928" w:right="1531" w:bottom="1701" w:left="1531" w:header="737" w:footer="851" w:gutter="0"/>
          <w:cols w:space="720" w:num="1"/>
          <w:docGrid w:type="lines" w:linePitch="408" w:charSpace="0"/>
        </w:sectPr>
      </w:pPr>
    </w:p>
    <w:p w14:paraId="6A5163C2">
      <w:pPr>
        <w:ind w:firstLine="5060" w:firstLineChars="18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项目支出绩效评价指标体系框架</w:t>
      </w:r>
    </w:p>
    <w:p w14:paraId="4D5A736E">
      <w:pPr>
        <w:pStyle w:val="4"/>
        <w:spacing w:before="0" w:after="0" w:line="240" w:lineRule="auto"/>
        <w:jc w:val="center"/>
        <w:outlineLvl w:val="9"/>
        <w:rPr>
          <w:rFonts w:hint="eastAsia" w:ascii="新宋体" w:hAnsi="新宋体" w:eastAsia="新宋体" w:cs="新宋体"/>
          <w:bCs w:val="0"/>
          <w:color w:val="000000"/>
        </w:rPr>
      </w:pPr>
    </w:p>
    <w:tbl>
      <w:tblPr>
        <w:tblStyle w:val="10"/>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07"/>
        <w:gridCol w:w="1013"/>
        <w:gridCol w:w="1112"/>
        <w:gridCol w:w="2850"/>
        <w:gridCol w:w="4743"/>
        <w:gridCol w:w="699"/>
        <w:gridCol w:w="699"/>
      </w:tblGrid>
      <w:tr w14:paraId="5D08E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207" w:type="dxa"/>
            <w:shd w:val="clear" w:color="auto" w:fill="FFFFFF"/>
            <w:noWrap w:val="0"/>
            <w:vAlign w:val="center"/>
          </w:tcPr>
          <w:p w14:paraId="1C87D3B5">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一级指标</w:t>
            </w:r>
          </w:p>
        </w:tc>
        <w:tc>
          <w:tcPr>
            <w:tcW w:w="1013" w:type="dxa"/>
            <w:shd w:val="clear" w:color="auto" w:fill="FFFFFF"/>
            <w:noWrap w:val="0"/>
            <w:vAlign w:val="center"/>
          </w:tcPr>
          <w:p w14:paraId="3DEEC99D">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二级指标</w:t>
            </w:r>
          </w:p>
        </w:tc>
        <w:tc>
          <w:tcPr>
            <w:tcW w:w="1112" w:type="dxa"/>
            <w:shd w:val="clear" w:color="auto" w:fill="FFFFFF"/>
            <w:noWrap w:val="0"/>
            <w:vAlign w:val="center"/>
          </w:tcPr>
          <w:p w14:paraId="6BEF6B2B">
            <w:pPr>
              <w:rPr>
                <w:rFonts w:hint="eastAsia" w:ascii="黑体" w:hAnsi="黑体" w:eastAsia="黑体" w:cs="黑体"/>
              </w:rPr>
            </w:pPr>
            <w:r>
              <w:rPr>
                <w:rFonts w:hint="eastAsia" w:ascii="黑体" w:hAnsi="黑体" w:eastAsia="黑体" w:cs="黑体"/>
              </w:rPr>
              <w:t>三级指标</w:t>
            </w:r>
          </w:p>
        </w:tc>
        <w:tc>
          <w:tcPr>
            <w:tcW w:w="2850" w:type="dxa"/>
            <w:shd w:val="clear" w:color="auto" w:fill="FFFFFF"/>
            <w:noWrap w:val="0"/>
            <w:vAlign w:val="center"/>
          </w:tcPr>
          <w:p w14:paraId="440990DB">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指标解释</w:t>
            </w:r>
          </w:p>
        </w:tc>
        <w:tc>
          <w:tcPr>
            <w:tcW w:w="4743" w:type="dxa"/>
            <w:shd w:val="clear" w:color="auto" w:fill="FFFFFF"/>
            <w:noWrap w:val="0"/>
            <w:vAlign w:val="center"/>
          </w:tcPr>
          <w:p w14:paraId="04E70A51">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指标说明</w:t>
            </w:r>
          </w:p>
        </w:tc>
        <w:tc>
          <w:tcPr>
            <w:tcW w:w="699" w:type="dxa"/>
            <w:shd w:val="clear" w:color="auto" w:fill="FFFFFF"/>
            <w:noWrap w:val="0"/>
            <w:vAlign w:val="center"/>
          </w:tcPr>
          <w:p w14:paraId="777ACA6C">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权重</w:t>
            </w:r>
          </w:p>
        </w:tc>
        <w:tc>
          <w:tcPr>
            <w:tcW w:w="699" w:type="dxa"/>
            <w:shd w:val="clear" w:color="auto" w:fill="FFFFFF"/>
            <w:noWrap w:val="0"/>
            <w:vAlign w:val="center"/>
          </w:tcPr>
          <w:p w14:paraId="47F8610A">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得分</w:t>
            </w:r>
          </w:p>
        </w:tc>
      </w:tr>
      <w:tr w14:paraId="3B815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207" w:type="dxa"/>
            <w:vMerge w:val="restart"/>
            <w:shd w:val="clear" w:color="auto" w:fill="FFFFFF"/>
            <w:noWrap w:val="0"/>
            <w:vAlign w:val="center"/>
          </w:tcPr>
          <w:p w14:paraId="24068F8A">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决策　</w:t>
            </w:r>
          </w:p>
          <w:p w14:paraId="60A5DFB4">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p w14:paraId="68622861">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013" w:type="dxa"/>
            <w:vMerge w:val="restart"/>
            <w:shd w:val="clear" w:color="auto" w:fill="FFFFFF"/>
            <w:noWrap w:val="0"/>
            <w:vAlign w:val="center"/>
          </w:tcPr>
          <w:p w14:paraId="36DB276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项目立项　</w:t>
            </w:r>
          </w:p>
        </w:tc>
        <w:tc>
          <w:tcPr>
            <w:tcW w:w="1112" w:type="dxa"/>
            <w:shd w:val="clear" w:color="auto" w:fill="FFFFFF"/>
            <w:noWrap w:val="0"/>
            <w:vAlign w:val="center"/>
          </w:tcPr>
          <w:p w14:paraId="7F83683E">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立项依据</w:t>
            </w:r>
          </w:p>
          <w:p w14:paraId="39B23B3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充分性</w:t>
            </w:r>
          </w:p>
        </w:tc>
        <w:tc>
          <w:tcPr>
            <w:tcW w:w="2850" w:type="dxa"/>
            <w:shd w:val="clear" w:color="auto" w:fill="FFFFFF"/>
            <w:noWrap w:val="0"/>
            <w:vAlign w:val="center"/>
          </w:tcPr>
          <w:p w14:paraId="06CAD88A">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项目立项是否符合法律法规、相关政策、发展规划以及部门职责，用以反映和考核项目立项依据情况。</w:t>
            </w:r>
          </w:p>
        </w:tc>
        <w:tc>
          <w:tcPr>
            <w:tcW w:w="4743" w:type="dxa"/>
            <w:shd w:val="clear" w:color="auto" w:fill="FFFFFF"/>
            <w:noWrap w:val="0"/>
            <w:vAlign w:val="center"/>
          </w:tcPr>
          <w:p w14:paraId="3605285D">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①项目立项是否符合国家法律法规、国民经济发展规划和相关政策；</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②项目立项是否符合行业发展规划和政策要求；</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③项目立项是否与部门职责范围相符，属于部门履职所需；</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④项目是否属于公共财政支持范围，是否符合中央、地方事权支出责任划分原则；</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⑤项目是否与相关部门同类项目或部门内部相关项目重复。</w:t>
            </w:r>
          </w:p>
        </w:tc>
        <w:tc>
          <w:tcPr>
            <w:tcW w:w="699" w:type="dxa"/>
            <w:shd w:val="clear" w:color="auto" w:fill="FFFFFF"/>
            <w:noWrap w:val="0"/>
            <w:vAlign w:val="center"/>
          </w:tcPr>
          <w:p w14:paraId="61E52085">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c>
          <w:tcPr>
            <w:tcW w:w="699" w:type="dxa"/>
            <w:shd w:val="clear" w:color="auto" w:fill="FFFFFF"/>
            <w:noWrap w:val="0"/>
            <w:vAlign w:val="center"/>
          </w:tcPr>
          <w:p w14:paraId="43168F5B">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r>
      <w:tr w14:paraId="25F05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207" w:type="dxa"/>
            <w:vMerge w:val="continue"/>
            <w:shd w:val="clear" w:color="auto" w:fill="FFFFFF"/>
            <w:noWrap w:val="0"/>
            <w:vAlign w:val="center"/>
          </w:tcPr>
          <w:p w14:paraId="726CC36C">
            <w:pPr>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28700BB0">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450B1C2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立项程序</w:t>
            </w:r>
          </w:p>
          <w:p w14:paraId="30A37CA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规范性</w:t>
            </w:r>
          </w:p>
        </w:tc>
        <w:tc>
          <w:tcPr>
            <w:tcW w:w="2850" w:type="dxa"/>
            <w:shd w:val="clear" w:color="auto" w:fill="FFFFFF"/>
            <w:noWrap w:val="0"/>
            <w:vAlign w:val="center"/>
          </w:tcPr>
          <w:p w14:paraId="0BFDE1D4">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项目申请、设立过程是否符合相关要求，用以反映和考核项目立项的规范情况。</w:t>
            </w:r>
          </w:p>
        </w:tc>
        <w:tc>
          <w:tcPr>
            <w:tcW w:w="4743" w:type="dxa"/>
            <w:shd w:val="clear" w:color="auto" w:fill="FFFFFF"/>
            <w:noWrap w:val="0"/>
            <w:vAlign w:val="center"/>
          </w:tcPr>
          <w:p w14:paraId="27067B1E">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①项目是否按照规定的程序申请设立；</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②审批文件、材料是否符合相关要求；</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③事前是否已经过必要的可行性研究、专家论证、风险评估、绩效评估、集体决策。</w:t>
            </w:r>
          </w:p>
        </w:tc>
        <w:tc>
          <w:tcPr>
            <w:tcW w:w="699" w:type="dxa"/>
            <w:shd w:val="clear" w:color="auto" w:fill="FFFFFF"/>
            <w:noWrap w:val="0"/>
            <w:vAlign w:val="center"/>
          </w:tcPr>
          <w:p w14:paraId="75FB4F0B">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c>
          <w:tcPr>
            <w:tcW w:w="699" w:type="dxa"/>
            <w:shd w:val="clear" w:color="auto" w:fill="FFFFFF"/>
            <w:noWrap w:val="0"/>
            <w:vAlign w:val="center"/>
          </w:tcPr>
          <w:p w14:paraId="49A900D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r>
      <w:tr w14:paraId="7C5D1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207" w:type="dxa"/>
            <w:vMerge w:val="continue"/>
            <w:shd w:val="clear" w:color="auto" w:fill="FFFFFF"/>
            <w:noWrap w:val="0"/>
            <w:vAlign w:val="center"/>
          </w:tcPr>
          <w:p w14:paraId="5ADF5516">
            <w:pPr>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7FC0538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绩效目标　</w:t>
            </w:r>
          </w:p>
        </w:tc>
        <w:tc>
          <w:tcPr>
            <w:tcW w:w="1112" w:type="dxa"/>
            <w:shd w:val="clear" w:color="auto" w:fill="FFFFFF"/>
            <w:noWrap w:val="0"/>
            <w:vAlign w:val="center"/>
          </w:tcPr>
          <w:p w14:paraId="50EE516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绩效目标</w:t>
            </w:r>
          </w:p>
          <w:p w14:paraId="4EEA4B56">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合理性</w:t>
            </w:r>
          </w:p>
        </w:tc>
        <w:tc>
          <w:tcPr>
            <w:tcW w:w="2850" w:type="dxa"/>
            <w:shd w:val="clear" w:color="000000" w:fill="FFFFFF"/>
            <w:noWrap w:val="0"/>
            <w:vAlign w:val="center"/>
          </w:tcPr>
          <w:p w14:paraId="2D28A67F">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项目所设定的绩效目标是否依据充分，是否符合客观实际，用以反映和考核项目绩效目标与项目实施的相符情况。</w:t>
            </w:r>
          </w:p>
        </w:tc>
        <w:tc>
          <w:tcPr>
            <w:tcW w:w="4743" w:type="dxa"/>
            <w:shd w:val="clear" w:color="000000" w:fill="FFFFFF"/>
            <w:noWrap w:val="0"/>
            <w:vAlign w:val="center"/>
          </w:tcPr>
          <w:p w14:paraId="44E0F81B">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（如未设定预算绩效目标，也可考核其他工作任务目标）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①项目是否有绩效目标；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②项目绩效目标与实际工作内容是否具有相关性；</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③项目预期产出效益和效果是否符合正常的业绩水平；</w:t>
            </w:r>
          </w:p>
          <w:p w14:paraId="6B727AD0">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④是否与预算确定的项目投资额或资金量相匹配。</w:t>
            </w:r>
          </w:p>
        </w:tc>
        <w:tc>
          <w:tcPr>
            <w:tcW w:w="699" w:type="dxa"/>
            <w:shd w:val="clear" w:color="000000" w:fill="FFFFFF"/>
            <w:noWrap w:val="0"/>
            <w:vAlign w:val="center"/>
          </w:tcPr>
          <w:p w14:paraId="4A189910">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4ED10F7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1D6F7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207" w:type="dxa"/>
            <w:vMerge w:val="restart"/>
            <w:shd w:val="clear" w:color="auto" w:fill="FFFFFF"/>
            <w:noWrap w:val="0"/>
            <w:vAlign w:val="center"/>
          </w:tcPr>
          <w:p w14:paraId="14B7C12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决策　</w:t>
            </w:r>
          </w:p>
        </w:tc>
        <w:tc>
          <w:tcPr>
            <w:tcW w:w="1013" w:type="dxa"/>
            <w:shd w:val="clear" w:color="auto" w:fill="FFFFFF"/>
            <w:noWrap w:val="0"/>
            <w:vAlign w:val="center"/>
          </w:tcPr>
          <w:p w14:paraId="14E3A66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绩效目标</w:t>
            </w:r>
          </w:p>
        </w:tc>
        <w:tc>
          <w:tcPr>
            <w:tcW w:w="1112" w:type="dxa"/>
            <w:shd w:val="clear" w:color="auto" w:fill="FFFFFF"/>
            <w:noWrap w:val="0"/>
            <w:vAlign w:val="center"/>
          </w:tcPr>
          <w:p w14:paraId="13BF9265">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绩效指标</w:t>
            </w:r>
          </w:p>
          <w:p w14:paraId="27F7B9AC">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明确性</w:t>
            </w:r>
          </w:p>
        </w:tc>
        <w:tc>
          <w:tcPr>
            <w:tcW w:w="2850" w:type="dxa"/>
            <w:shd w:val="clear" w:color="000000" w:fill="FFFFFF"/>
            <w:noWrap w:val="0"/>
            <w:vAlign w:val="center"/>
          </w:tcPr>
          <w:p w14:paraId="1A15CEC2">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依据绩效目标设定的绩效指标是否清晰、细化、可衡量等，用以反映和考核项目绩效目标的明细化情况。</w:t>
            </w:r>
          </w:p>
        </w:tc>
        <w:tc>
          <w:tcPr>
            <w:tcW w:w="4743" w:type="dxa"/>
            <w:shd w:val="clear" w:color="000000" w:fill="FFFFFF"/>
            <w:noWrap w:val="0"/>
            <w:vAlign w:val="center"/>
          </w:tcPr>
          <w:p w14:paraId="0E9C3CC0">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①是否将项目绩效目标细化分解为具体的绩效指标；</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②是否通过清晰、可衡量的指标值予以体现；</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③是否与项目目标任务数或计划数相对应。</w:t>
            </w:r>
            <w:r>
              <w:rPr>
                <w:rFonts w:hint="eastAsia" w:ascii="仿宋_GB2312" w:hAnsi="仿宋_GB2312" w:eastAsia="仿宋_GB2312" w:cs="仿宋_GB2312"/>
                <w:color w:val="000000"/>
                <w:kern w:val="0"/>
                <w:sz w:val="21"/>
                <w:szCs w:val="21"/>
              </w:rPr>
              <w:br w:type="textWrapping"/>
            </w:r>
          </w:p>
        </w:tc>
        <w:tc>
          <w:tcPr>
            <w:tcW w:w="699" w:type="dxa"/>
            <w:shd w:val="clear" w:color="000000" w:fill="FFFFFF"/>
            <w:noWrap w:val="0"/>
            <w:vAlign w:val="center"/>
          </w:tcPr>
          <w:p w14:paraId="70AE202B">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699" w:type="dxa"/>
            <w:shd w:val="clear" w:color="000000" w:fill="FFFFFF"/>
            <w:noWrap w:val="0"/>
            <w:vAlign w:val="center"/>
          </w:tcPr>
          <w:p w14:paraId="33FAAF2C">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r>
      <w:tr w14:paraId="688FD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207" w:type="dxa"/>
            <w:vMerge w:val="continue"/>
            <w:shd w:val="clear" w:color="auto" w:fill="FFFFFF"/>
            <w:noWrap w:val="0"/>
            <w:vAlign w:val="center"/>
          </w:tcPr>
          <w:p w14:paraId="50537707">
            <w:pPr>
              <w:spacing w:line="0" w:lineRule="atLeast"/>
              <w:jc w:val="center"/>
              <w:rPr>
                <w:rFonts w:hint="eastAsia" w:ascii="仿宋_GB2312" w:hAnsi="仿宋_GB2312" w:eastAsia="仿宋_GB2312" w:cs="仿宋_GB2312"/>
                <w:color w:val="000000"/>
                <w:kern w:val="0"/>
                <w:sz w:val="21"/>
                <w:szCs w:val="21"/>
              </w:rPr>
            </w:pPr>
          </w:p>
        </w:tc>
        <w:tc>
          <w:tcPr>
            <w:tcW w:w="1013" w:type="dxa"/>
            <w:vMerge w:val="restart"/>
            <w:shd w:val="clear" w:color="auto" w:fill="FFFFFF"/>
            <w:noWrap w:val="0"/>
            <w:vAlign w:val="center"/>
          </w:tcPr>
          <w:p w14:paraId="3DE79911">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资金投入</w:t>
            </w:r>
          </w:p>
          <w:p w14:paraId="6884DEE6">
            <w:pPr>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112" w:type="dxa"/>
            <w:shd w:val="clear" w:color="auto" w:fill="FFFFFF"/>
            <w:noWrap w:val="0"/>
            <w:vAlign w:val="center"/>
          </w:tcPr>
          <w:p w14:paraId="4767BEF1">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预算编制</w:t>
            </w:r>
          </w:p>
          <w:p w14:paraId="4C4940D1">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科学性</w:t>
            </w:r>
          </w:p>
        </w:tc>
        <w:tc>
          <w:tcPr>
            <w:tcW w:w="2850" w:type="dxa"/>
            <w:shd w:val="clear" w:color="auto" w:fill="FFFFFF"/>
            <w:noWrap w:val="0"/>
            <w:vAlign w:val="center"/>
          </w:tcPr>
          <w:p w14:paraId="70B85C87">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项目预算编制是否经过科学论证、有明确标准，资金额度与年度目标是否相适应，用以反映和考核项目预算编制的科学性、合理性情况。</w:t>
            </w:r>
          </w:p>
        </w:tc>
        <w:tc>
          <w:tcPr>
            <w:tcW w:w="4743" w:type="dxa"/>
            <w:shd w:val="clear" w:color="auto" w:fill="FFFFFF"/>
            <w:noWrap w:val="0"/>
            <w:vAlign w:val="center"/>
          </w:tcPr>
          <w:p w14:paraId="077C12F2">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①预算编制是否经过科学论证；</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②预算内容与项目内容是否匹配；</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③预算额度测算依据是否充分，是否按照标准编制；</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④预算确定的项目投资额或资金量是否与工作任务相匹配。</w:t>
            </w:r>
          </w:p>
        </w:tc>
        <w:tc>
          <w:tcPr>
            <w:tcW w:w="699" w:type="dxa"/>
            <w:shd w:val="clear" w:color="auto" w:fill="FFFFFF"/>
            <w:noWrap w:val="0"/>
            <w:vAlign w:val="center"/>
          </w:tcPr>
          <w:p w14:paraId="0929D397">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auto" w:fill="FFFFFF"/>
            <w:noWrap w:val="0"/>
            <w:vAlign w:val="center"/>
          </w:tcPr>
          <w:p w14:paraId="4DB5B408">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1EC51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207" w:type="dxa"/>
            <w:vMerge w:val="continue"/>
            <w:shd w:val="clear" w:color="auto" w:fill="FFFFFF"/>
            <w:noWrap w:val="0"/>
            <w:vAlign w:val="center"/>
          </w:tcPr>
          <w:p w14:paraId="7C121EF0">
            <w:pPr>
              <w:widowControl/>
              <w:spacing w:line="0" w:lineRule="atLeast"/>
              <w:jc w:val="center"/>
              <w:rPr>
                <w:rFonts w:hint="eastAsia" w:ascii="仿宋_GB2312" w:hAnsi="仿宋_GB2312" w:eastAsia="仿宋_GB2312" w:cs="仿宋_GB2312"/>
                <w:color w:val="000000"/>
                <w:kern w:val="0"/>
                <w:sz w:val="21"/>
                <w:szCs w:val="21"/>
              </w:rPr>
            </w:pPr>
          </w:p>
        </w:tc>
        <w:tc>
          <w:tcPr>
            <w:tcW w:w="1013" w:type="dxa"/>
            <w:vMerge w:val="continue"/>
            <w:shd w:val="clear" w:color="auto" w:fill="FFFFFF"/>
            <w:noWrap w:val="0"/>
            <w:vAlign w:val="center"/>
          </w:tcPr>
          <w:p w14:paraId="3D421187">
            <w:pPr>
              <w:widowControl/>
              <w:spacing w:line="0" w:lineRule="atLeast"/>
              <w:jc w:val="center"/>
              <w:rPr>
                <w:rFonts w:hint="eastAsia" w:ascii="仿宋_GB2312" w:hAnsi="仿宋_GB2312" w:eastAsia="仿宋_GB2312" w:cs="仿宋_GB2312"/>
                <w:color w:val="000000"/>
                <w:kern w:val="0"/>
                <w:sz w:val="21"/>
                <w:szCs w:val="21"/>
              </w:rPr>
            </w:pPr>
          </w:p>
        </w:tc>
        <w:tc>
          <w:tcPr>
            <w:tcW w:w="1112" w:type="dxa"/>
            <w:shd w:val="clear" w:color="auto" w:fill="FFFFFF"/>
            <w:noWrap w:val="0"/>
            <w:vAlign w:val="center"/>
          </w:tcPr>
          <w:p w14:paraId="0CAACA40">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资金分配</w:t>
            </w:r>
          </w:p>
          <w:p w14:paraId="5C534DD8">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合理性</w:t>
            </w:r>
          </w:p>
        </w:tc>
        <w:tc>
          <w:tcPr>
            <w:tcW w:w="2850" w:type="dxa"/>
            <w:shd w:val="clear" w:color="auto" w:fill="FFFFFF"/>
            <w:noWrap w:val="0"/>
            <w:vAlign w:val="center"/>
          </w:tcPr>
          <w:p w14:paraId="0AF0D066">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项目预算资金分配是否有测算依据，与补助单位或地方实际是否相适应，用以反映和考核项目预算资金分配的科学性、合理性情况。</w:t>
            </w:r>
          </w:p>
        </w:tc>
        <w:tc>
          <w:tcPr>
            <w:tcW w:w="4743" w:type="dxa"/>
            <w:shd w:val="clear" w:color="auto" w:fill="FFFFFF"/>
            <w:noWrap w:val="0"/>
            <w:vAlign w:val="center"/>
          </w:tcPr>
          <w:p w14:paraId="7BA89EDC">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①预算资金分配依据是否充分；</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②资金分配额度是否合理，与项目单位或地方实际是否相适应。</w:t>
            </w:r>
          </w:p>
        </w:tc>
        <w:tc>
          <w:tcPr>
            <w:tcW w:w="699" w:type="dxa"/>
            <w:shd w:val="clear" w:color="auto" w:fill="FFFFFF"/>
            <w:noWrap w:val="0"/>
            <w:vAlign w:val="center"/>
          </w:tcPr>
          <w:p w14:paraId="0C2DE578">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699" w:type="dxa"/>
            <w:shd w:val="clear" w:color="auto" w:fill="FFFFFF"/>
            <w:noWrap w:val="0"/>
            <w:vAlign w:val="center"/>
          </w:tcPr>
          <w:p w14:paraId="12958522">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r>
      <w:tr w14:paraId="618FB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207" w:type="dxa"/>
            <w:vMerge w:val="restart"/>
            <w:shd w:val="clear" w:color="auto" w:fill="FFFFFF"/>
            <w:noWrap w:val="0"/>
            <w:vAlign w:val="center"/>
          </w:tcPr>
          <w:p w14:paraId="468DF5F4">
            <w:pPr>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过程</w:t>
            </w:r>
          </w:p>
        </w:tc>
        <w:tc>
          <w:tcPr>
            <w:tcW w:w="1013" w:type="dxa"/>
            <w:vMerge w:val="restart"/>
            <w:shd w:val="clear" w:color="auto" w:fill="FFFFFF"/>
            <w:noWrap w:val="0"/>
            <w:vAlign w:val="center"/>
          </w:tcPr>
          <w:p w14:paraId="03BFDF1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资金管理</w:t>
            </w:r>
          </w:p>
        </w:tc>
        <w:tc>
          <w:tcPr>
            <w:tcW w:w="1112" w:type="dxa"/>
            <w:shd w:val="clear" w:color="auto" w:fill="FFFFFF"/>
            <w:noWrap w:val="0"/>
            <w:vAlign w:val="center"/>
          </w:tcPr>
          <w:p w14:paraId="2BE9B0C0">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资金到位率</w:t>
            </w:r>
          </w:p>
        </w:tc>
        <w:tc>
          <w:tcPr>
            <w:tcW w:w="2850" w:type="dxa"/>
            <w:shd w:val="clear" w:color="000000" w:fill="FFFFFF"/>
            <w:noWrap w:val="0"/>
            <w:vAlign w:val="center"/>
          </w:tcPr>
          <w:p w14:paraId="6F0EF40F">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实际到位资金与预算资金的比率，用以反映和考核资金落实情况对项目实施的总体保障程度。</w:t>
            </w:r>
          </w:p>
        </w:tc>
        <w:tc>
          <w:tcPr>
            <w:tcW w:w="4743" w:type="dxa"/>
            <w:shd w:val="clear" w:color="000000" w:fill="FFFFFF"/>
            <w:noWrap w:val="0"/>
            <w:vAlign w:val="center"/>
          </w:tcPr>
          <w:p w14:paraId="7DD91AF9">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资金到位率=（实际到位资金/预算资金）×100%。</w:t>
            </w:r>
          </w:p>
          <w:p w14:paraId="28CA8601">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实际到位资金：一定时期（本年度或项目期）内落实到具体项目的资金。</w:t>
            </w:r>
          </w:p>
          <w:p w14:paraId="0CBAEA27">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预算资金：一定时期（本年度或项目期）内预算安排到具体项目的资金。</w:t>
            </w:r>
          </w:p>
        </w:tc>
        <w:tc>
          <w:tcPr>
            <w:tcW w:w="699" w:type="dxa"/>
            <w:shd w:val="clear" w:color="000000" w:fill="FFFFFF"/>
            <w:noWrap w:val="0"/>
            <w:vAlign w:val="center"/>
          </w:tcPr>
          <w:p w14:paraId="488DF52A">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000000" w:fill="FFFFFF"/>
            <w:noWrap w:val="0"/>
            <w:vAlign w:val="center"/>
          </w:tcPr>
          <w:p w14:paraId="1C184BCA">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0168D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207" w:type="dxa"/>
            <w:vMerge w:val="continue"/>
            <w:shd w:val="clear" w:color="auto" w:fill="FFFFFF"/>
            <w:noWrap w:val="0"/>
            <w:vAlign w:val="center"/>
          </w:tcPr>
          <w:p w14:paraId="60BBB5AC">
            <w:pPr>
              <w:spacing w:line="0" w:lineRule="atLeast"/>
              <w:jc w:val="center"/>
              <w:rPr>
                <w:rFonts w:hint="eastAsia" w:ascii="仿宋_GB2312" w:hAnsi="仿宋_GB2312" w:eastAsia="仿宋_GB2312" w:cs="仿宋_GB2312"/>
                <w:color w:val="000000"/>
                <w:kern w:val="0"/>
                <w:sz w:val="21"/>
                <w:szCs w:val="21"/>
              </w:rPr>
            </w:pPr>
          </w:p>
        </w:tc>
        <w:tc>
          <w:tcPr>
            <w:tcW w:w="1013" w:type="dxa"/>
            <w:vMerge w:val="continue"/>
            <w:shd w:val="clear" w:color="auto" w:fill="FFFFFF"/>
            <w:noWrap w:val="0"/>
            <w:vAlign w:val="center"/>
          </w:tcPr>
          <w:p w14:paraId="080EA7C3">
            <w:pPr>
              <w:spacing w:line="0" w:lineRule="atLeast"/>
              <w:jc w:val="center"/>
              <w:rPr>
                <w:rFonts w:hint="eastAsia" w:ascii="仿宋_GB2312" w:hAnsi="仿宋_GB2312" w:eastAsia="仿宋_GB2312" w:cs="仿宋_GB2312"/>
                <w:color w:val="000000"/>
                <w:kern w:val="0"/>
                <w:sz w:val="21"/>
                <w:szCs w:val="21"/>
              </w:rPr>
            </w:pPr>
          </w:p>
        </w:tc>
        <w:tc>
          <w:tcPr>
            <w:tcW w:w="1112" w:type="dxa"/>
            <w:shd w:val="clear" w:color="auto" w:fill="FFFFFF"/>
            <w:noWrap w:val="0"/>
            <w:vAlign w:val="center"/>
          </w:tcPr>
          <w:p w14:paraId="1227170C">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预算执行率</w:t>
            </w:r>
          </w:p>
        </w:tc>
        <w:tc>
          <w:tcPr>
            <w:tcW w:w="2850" w:type="dxa"/>
            <w:shd w:val="clear" w:color="auto" w:fill="FFFFFF"/>
            <w:noWrap w:val="0"/>
            <w:vAlign w:val="center"/>
          </w:tcPr>
          <w:p w14:paraId="06B7D7DD">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项目预算资金是否按照计划执行，用以反映或考核项目预算执行情况。</w:t>
            </w:r>
          </w:p>
        </w:tc>
        <w:tc>
          <w:tcPr>
            <w:tcW w:w="4743" w:type="dxa"/>
            <w:shd w:val="clear" w:color="auto" w:fill="FFFFFF"/>
            <w:noWrap w:val="0"/>
            <w:vAlign w:val="center"/>
          </w:tcPr>
          <w:p w14:paraId="5014F4DE">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预算执行率=（实际支出资金/实际到位资金）×100%。</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实际支出资金：一定时期（本年度或项目期）内项目实际拨付的资金。</w:t>
            </w:r>
          </w:p>
        </w:tc>
        <w:tc>
          <w:tcPr>
            <w:tcW w:w="699" w:type="dxa"/>
            <w:shd w:val="clear" w:color="auto" w:fill="FFFFFF"/>
            <w:noWrap w:val="0"/>
            <w:vAlign w:val="center"/>
          </w:tcPr>
          <w:p w14:paraId="75189D10">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auto" w:fill="FFFFFF"/>
            <w:noWrap w:val="0"/>
            <w:vAlign w:val="center"/>
          </w:tcPr>
          <w:p w14:paraId="680E14A8">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2CFD7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207" w:type="dxa"/>
            <w:vMerge w:val="restart"/>
            <w:shd w:val="clear" w:color="auto" w:fill="FFFFFF"/>
            <w:noWrap w:val="0"/>
            <w:vAlign w:val="center"/>
          </w:tcPr>
          <w:p w14:paraId="69B3E97E">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p w14:paraId="1CB9F45F">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过程　</w:t>
            </w:r>
          </w:p>
        </w:tc>
        <w:tc>
          <w:tcPr>
            <w:tcW w:w="1013" w:type="dxa"/>
            <w:shd w:val="clear" w:color="auto" w:fill="FFFFFF"/>
            <w:noWrap w:val="0"/>
            <w:vAlign w:val="center"/>
          </w:tcPr>
          <w:p w14:paraId="7F0473E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资金管理</w:t>
            </w:r>
          </w:p>
        </w:tc>
        <w:tc>
          <w:tcPr>
            <w:tcW w:w="1112" w:type="dxa"/>
            <w:shd w:val="clear" w:color="auto" w:fill="FFFFFF"/>
            <w:noWrap w:val="0"/>
            <w:vAlign w:val="center"/>
          </w:tcPr>
          <w:p w14:paraId="5AD96C4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资金使用</w:t>
            </w:r>
          </w:p>
          <w:p w14:paraId="3591D31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合规性</w:t>
            </w:r>
          </w:p>
        </w:tc>
        <w:tc>
          <w:tcPr>
            <w:tcW w:w="2850" w:type="dxa"/>
            <w:shd w:val="clear" w:color="000000" w:fill="FFFFFF"/>
            <w:noWrap w:val="0"/>
            <w:vAlign w:val="center"/>
          </w:tcPr>
          <w:p w14:paraId="55B46DA1">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项目资金使用是否符合相关的财务管理制度规定，用以反映和考核项目资金的规范运行情况。</w:t>
            </w:r>
          </w:p>
        </w:tc>
        <w:tc>
          <w:tcPr>
            <w:tcW w:w="4743" w:type="dxa"/>
            <w:shd w:val="clear" w:color="000000" w:fill="FFFFFF"/>
            <w:noWrap w:val="0"/>
            <w:vAlign w:val="center"/>
          </w:tcPr>
          <w:p w14:paraId="3E3093F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①是否符合国家财经法规和财务管理制度以及有关专项资金管理办法的规定；</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②资金的拨付是否有完整的审批程序和手续；</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③是否符合项目预算批复或合同规定的用途；</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④是否存在截留、挤占、挪用、虚列支出等情况。</w:t>
            </w:r>
          </w:p>
        </w:tc>
        <w:tc>
          <w:tcPr>
            <w:tcW w:w="699" w:type="dxa"/>
            <w:shd w:val="clear" w:color="000000" w:fill="FFFFFF"/>
            <w:noWrap w:val="0"/>
            <w:vAlign w:val="center"/>
          </w:tcPr>
          <w:p w14:paraId="15F4142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6AE5282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7DAAA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207" w:type="dxa"/>
            <w:vMerge w:val="continue"/>
            <w:shd w:val="clear" w:color="auto" w:fill="FFFFFF"/>
            <w:noWrap w:val="0"/>
            <w:vAlign w:val="center"/>
          </w:tcPr>
          <w:p w14:paraId="3A7C2A7C">
            <w:pPr>
              <w:spacing w:line="0" w:lineRule="atLeast"/>
              <w:jc w:val="center"/>
              <w:rPr>
                <w:rFonts w:hint="default" w:ascii="Times New Roman" w:hAnsi="Times New Roman" w:eastAsia="仿宋_GB2312" w:cs="Times New Roman"/>
                <w:color w:val="000000"/>
                <w:kern w:val="0"/>
                <w:sz w:val="21"/>
                <w:szCs w:val="21"/>
              </w:rPr>
            </w:pPr>
          </w:p>
        </w:tc>
        <w:tc>
          <w:tcPr>
            <w:tcW w:w="1013" w:type="dxa"/>
            <w:vMerge w:val="restart"/>
            <w:shd w:val="clear" w:color="auto" w:fill="FFFFFF"/>
            <w:noWrap w:val="0"/>
            <w:vAlign w:val="center"/>
          </w:tcPr>
          <w:p w14:paraId="4E7D5C0A">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组织实施</w:t>
            </w:r>
          </w:p>
          <w:p w14:paraId="3F80696B">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112" w:type="dxa"/>
            <w:shd w:val="clear" w:color="auto" w:fill="FFFFFF"/>
            <w:noWrap w:val="0"/>
            <w:vAlign w:val="center"/>
          </w:tcPr>
          <w:p w14:paraId="337A2665">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管理制度</w:t>
            </w:r>
          </w:p>
          <w:p w14:paraId="2A161C6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健全性</w:t>
            </w:r>
          </w:p>
        </w:tc>
        <w:tc>
          <w:tcPr>
            <w:tcW w:w="2850" w:type="dxa"/>
            <w:shd w:val="clear" w:color="000000" w:fill="FFFFFF"/>
            <w:noWrap w:val="0"/>
            <w:vAlign w:val="center"/>
          </w:tcPr>
          <w:p w14:paraId="15440750">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项目实施单位的财务和业务管理制度是否健全，用以反映和考核财务和业务管理制度对项目顺利实施的保障情况。</w:t>
            </w:r>
          </w:p>
        </w:tc>
        <w:tc>
          <w:tcPr>
            <w:tcW w:w="4743" w:type="dxa"/>
            <w:shd w:val="clear" w:color="000000" w:fill="FFFFFF"/>
            <w:noWrap w:val="0"/>
            <w:vAlign w:val="center"/>
          </w:tcPr>
          <w:p w14:paraId="76484FB0">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①是否已制定或具有相应的财务和业务管理制度；</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②财务和业务管理制度是否合法、合规、完整。</w:t>
            </w:r>
          </w:p>
        </w:tc>
        <w:tc>
          <w:tcPr>
            <w:tcW w:w="699" w:type="dxa"/>
            <w:shd w:val="clear" w:color="000000" w:fill="FFFFFF"/>
            <w:noWrap w:val="0"/>
            <w:vAlign w:val="center"/>
          </w:tcPr>
          <w:p w14:paraId="57B0A00B">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648D6898">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3073B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207" w:type="dxa"/>
            <w:vMerge w:val="continue"/>
            <w:shd w:val="clear" w:color="auto" w:fill="FFFFFF"/>
            <w:noWrap w:val="0"/>
            <w:vAlign w:val="center"/>
          </w:tcPr>
          <w:p w14:paraId="7B28F914">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7ECE52C5">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54D544F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制度执行</w:t>
            </w:r>
          </w:p>
          <w:p w14:paraId="149029D4">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有效性</w:t>
            </w:r>
          </w:p>
        </w:tc>
        <w:tc>
          <w:tcPr>
            <w:tcW w:w="2850" w:type="dxa"/>
            <w:shd w:val="clear" w:color="000000" w:fill="FFFFFF"/>
            <w:noWrap w:val="0"/>
            <w:vAlign w:val="center"/>
          </w:tcPr>
          <w:p w14:paraId="721D9F6E">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项目实施是否符合相关管理规定，用以反映和考核相关管理制度的有效执行情况。</w:t>
            </w:r>
          </w:p>
        </w:tc>
        <w:tc>
          <w:tcPr>
            <w:tcW w:w="4743" w:type="dxa"/>
            <w:shd w:val="clear" w:color="000000" w:fill="FFFFFF"/>
            <w:noWrap w:val="0"/>
            <w:vAlign w:val="center"/>
          </w:tcPr>
          <w:p w14:paraId="6551E90D">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①是否遵守相关法律法规和相关管理规定；</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②项目调整及支出调整手续是否完备；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③项目合同书、验收报告、技术鉴定等资料是否齐全并及时归档；</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④项目实施的人员条件、场地设备、信息支撑等是否落实到位。</w:t>
            </w:r>
          </w:p>
        </w:tc>
        <w:tc>
          <w:tcPr>
            <w:tcW w:w="699" w:type="dxa"/>
            <w:shd w:val="clear" w:color="000000" w:fill="FFFFFF"/>
            <w:noWrap w:val="0"/>
            <w:vAlign w:val="center"/>
          </w:tcPr>
          <w:p w14:paraId="0F1BCE8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5C339F2C">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7E4E6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97" w:hRule="atLeast"/>
          <w:jc w:val="center"/>
        </w:trPr>
        <w:tc>
          <w:tcPr>
            <w:tcW w:w="1207" w:type="dxa"/>
            <w:shd w:val="clear" w:color="auto" w:fill="FFFFFF"/>
            <w:noWrap w:val="0"/>
            <w:vAlign w:val="center"/>
          </w:tcPr>
          <w:p w14:paraId="2D8433C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w:t>
            </w:r>
          </w:p>
        </w:tc>
        <w:tc>
          <w:tcPr>
            <w:tcW w:w="1013" w:type="dxa"/>
            <w:shd w:val="clear" w:color="auto" w:fill="FFFFFF"/>
            <w:noWrap w:val="0"/>
            <w:vAlign w:val="center"/>
          </w:tcPr>
          <w:p w14:paraId="01955015">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产出数量</w:t>
            </w:r>
          </w:p>
        </w:tc>
        <w:tc>
          <w:tcPr>
            <w:tcW w:w="1112" w:type="dxa"/>
            <w:shd w:val="clear" w:color="auto" w:fill="FFFFFF"/>
            <w:noWrap w:val="0"/>
            <w:vAlign w:val="center"/>
          </w:tcPr>
          <w:p w14:paraId="05705295">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实际完成率</w:t>
            </w:r>
          </w:p>
        </w:tc>
        <w:tc>
          <w:tcPr>
            <w:tcW w:w="2850" w:type="dxa"/>
            <w:shd w:val="clear" w:color="000000" w:fill="FFFFFF"/>
            <w:noWrap w:val="0"/>
            <w:vAlign w:val="center"/>
          </w:tcPr>
          <w:p w14:paraId="50CB1395">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项目实施的实际产出数与计划产出数的比率，用以反映和考核项目产出数量目标的实现程度。</w:t>
            </w:r>
          </w:p>
        </w:tc>
        <w:tc>
          <w:tcPr>
            <w:tcW w:w="4743" w:type="dxa"/>
            <w:shd w:val="clear" w:color="000000" w:fill="FFFFFF"/>
            <w:noWrap w:val="0"/>
            <w:vAlign w:val="center"/>
          </w:tcPr>
          <w:p w14:paraId="60535FC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实际完成率=（实际产出数/计划产出数）×100%。</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实际产出数：一定时期（本年度或项目期）内项目实际产出的产品或提供的服务数量。</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计划产出数：项目绩效目标确定的在一定时期（本年度或项目期）内计划产出的产品或提供的服务数量。</w:t>
            </w:r>
          </w:p>
        </w:tc>
        <w:tc>
          <w:tcPr>
            <w:tcW w:w="699" w:type="dxa"/>
            <w:shd w:val="clear" w:color="000000" w:fill="FFFFFF"/>
            <w:noWrap w:val="0"/>
            <w:vAlign w:val="center"/>
          </w:tcPr>
          <w:p w14:paraId="336E3C65">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708D047B">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43B2E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207" w:type="dxa"/>
            <w:vMerge w:val="restart"/>
            <w:shd w:val="clear" w:color="auto" w:fill="FFFFFF"/>
            <w:noWrap w:val="0"/>
            <w:vAlign w:val="center"/>
          </w:tcPr>
          <w:p w14:paraId="06F7F74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w:t>
            </w:r>
          </w:p>
        </w:tc>
        <w:tc>
          <w:tcPr>
            <w:tcW w:w="1013" w:type="dxa"/>
            <w:shd w:val="clear" w:color="auto" w:fill="FFFFFF"/>
            <w:noWrap w:val="0"/>
            <w:vAlign w:val="center"/>
          </w:tcPr>
          <w:p w14:paraId="2A06FDC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产出质量</w:t>
            </w:r>
          </w:p>
        </w:tc>
        <w:tc>
          <w:tcPr>
            <w:tcW w:w="1112" w:type="dxa"/>
            <w:shd w:val="clear" w:color="auto" w:fill="FFFFFF"/>
            <w:noWrap w:val="0"/>
            <w:vAlign w:val="center"/>
          </w:tcPr>
          <w:p w14:paraId="3AE3AFBF">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质量达标率</w:t>
            </w:r>
          </w:p>
        </w:tc>
        <w:tc>
          <w:tcPr>
            <w:tcW w:w="2850" w:type="dxa"/>
            <w:shd w:val="clear" w:color="000000" w:fill="FFFFFF"/>
            <w:noWrap w:val="0"/>
            <w:vAlign w:val="center"/>
          </w:tcPr>
          <w:p w14:paraId="0F973BAD">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项目完成的质量达标产出数与实际产出数的比率，用以反映和考核项目产出质量目标的实现程度。</w:t>
            </w:r>
          </w:p>
        </w:tc>
        <w:tc>
          <w:tcPr>
            <w:tcW w:w="4743" w:type="dxa"/>
            <w:shd w:val="clear" w:color="000000" w:fill="FFFFFF"/>
            <w:noWrap w:val="0"/>
            <w:vAlign w:val="center"/>
          </w:tcPr>
          <w:p w14:paraId="3F071C1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质量达标率=（质量达标产出数/实际产出数）×100%。</w:t>
            </w:r>
          </w:p>
          <w:p w14:paraId="420E849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9" w:type="dxa"/>
            <w:shd w:val="clear" w:color="000000" w:fill="FFFFFF"/>
            <w:noWrap w:val="0"/>
            <w:vAlign w:val="center"/>
          </w:tcPr>
          <w:p w14:paraId="3D280888">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33340916">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59A45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207" w:type="dxa"/>
            <w:vMerge w:val="continue"/>
            <w:shd w:val="clear" w:color="auto" w:fill="FFFFFF"/>
            <w:noWrap w:val="0"/>
            <w:vAlign w:val="center"/>
          </w:tcPr>
          <w:p w14:paraId="56849325">
            <w:pPr>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3A4FBD07">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产出时效</w:t>
            </w:r>
          </w:p>
        </w:tc>
        <w:tc>
          <w:tcPr>
            <w:tcW w:w="1112" w:type="dxa"/>
            <w:shd w:val="clear" w:color="auto" w:fill="FFFFFF"/>
            <w:noWrap w:val="0"/>
            <w:vAlign w:val="center"/>
          </w:tcPr>
          <w:p w14:paraId="5E22017A">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完成及时性</w:t>
            </w:r>
          </w:p>
        </w:tc>
        <w:tc>
          <w:tcPr>
            <w:tcW w:w="2850" w:type="dxa"/>
            <w:shd w:val="clear" w:color="000000" w:fill="FFFFFF"/>
            <w:noWrap w:val="0"/>
            <w:vAlign w:val="center"/>
          </w:tcPr>
          <w:p w14:paraId="6050724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项目实际完成时间与计划完成时间的比较，用以反映和考核项目产出时效目标的实现程度。</w:t>
            </w:r>
          </w:p>
        </w:tc>
        <w:tc>
          <w:tcPr>
            <w:tcW w:w="4743" w:type="dxa"/>
            <w:shd w:val="clear" w:color="000000" w:fill="FFFFFF"/>
            <w:noWrap w:val="0"/>
            <w:vAlign w:val="center"/>
          </w:tcPr>
          <w:p w14:paraId="2188DBCA">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实际完成时间：项目实施单位完成该项目实际所耗用的时间。</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计划完成时间：按照项目实施计划或相关规定完成该项目所需的时间。</w:t>
            </w:r>
          </w:p>
        </w:tc>
        <w:tc>
          <w:tcPr>
            <w:tcW w:w="699" w:type="dxa"/>
            <w:shd w:val="clear" w:color="000000" w:fill="FFFFFF"/>
            <w:noWrap w:val="0"/>
            <w:vAlign w:val="center"/>
          </w:tcPr>
          <w:p w14:paraId="388496F2">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1A230E5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3FC6E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207" w:type="dxa"/>
            <w:vMerge w:val="continue"/>
            <w:shd w:val="clear" w:color="auto" w:fill="FFFFFF"/>
            <w:noWrap w:val="0"/>
            <w:vAlign w:val="center"/>
          </w:tcPr>
          <w:p w14:paraId="4B18F393">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13A34537">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产出成本</w:t>
            </w:r>
          </w:p>
        </w:tc>
        <w:tc>
          <w:tcPr>
            <w:tcW w:w="1112" w:type="dxa"/>
            <w:shd w:val="clear" w:color="auto" w:fill="FFFFFF"/>
            <w:noWrap w:val="0"/>
            <w:vAlign w:val="center"/>
          </w:tcPr>
          <w:p w14:paraId="1C55C89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成本节约率</w:t>
            </w:r>
          </w:p>
        </w:tc>
        <w:tc>
          <w:tcPr>
            <w:tcW w:w="2850" w:type="dxa"/>
            <w:shd w:val="clear" w:color="000000" w:fill="FFFFFF"/>
            <w:noWrap w:val="0"/>
            <w:vAlign w:val="center"/>
          </w:tcPr>
          <w:p w14:paraId="5E0FCF2C">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完成项目计划工作目标的实际节约成本与计划成本的比率，用以反映和考核项目的成本节约程度。</w:t>
            </w:r>
          </w:p>
        </w:tc>
        <w:tc>
          <w:tcPr>
            <w:tcW w:w="4743" w:type="dxa"/>
            <w:shd w:val="clear" w:color="000000" w:fill="FFFFFF"/>
            <w:noWrap w:val="0"/>
            <w:vAlign w:val="center"/>
          </w:tcPr>
          <w:p w14:paraId="1939ACC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成本节约率=[（计划成本-实际成本）/计划成本]×100%。</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实际成本：项目实施单位如期、保质、保量完成既定工作目标实际所耗费的支出。</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计划成本：项目实施单位为完成工作目标计划安排的支出，一般以项目预算为参考。</w:t>
            </w:r>
          </w:p>
        </w:tc>
        <w:tc>
          <w:tcPr>
            <w:tcW w:w="699" w:type="dxa"/>
            <w:shd w:val="clear" w:color="000000" w:fill="FFFFFF"/>
            <w:noWrap w:val="0"/>
            <w:vAlign w:val="center"/>
          </w:tcPr>
          <w:p w14:paraId="15C359B3">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252E70F2">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7BD3F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207" w:type="dxa"/>
            <w:vMerge w:val="restart"/>
            <w:shd w:val="clear" w:color="auto" w:fill="FFFFFF"/>
            <w:noWrap w:val="0"/>
            <w:vAlign w:val="center"/>
          </w:tcPr>
          <w:p w14:paraId="5C8FC46E">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　</w:t>
            </w:r>
          </w:p>
        </w:tc>
        <w:tc>
          <w:tcPr>
            <w:tcW w:w="1013" w:type="dxa"/>
            <w:vMerge w:val="restart"/>
            <w:shd w:val="clear" w:color="auto" w:fill="FFFFFF"/>
            <w:noWrap w:val="0"/>
            <w:vAlign w:val="center"/>
          </w:tcPr>
          <w:p w14:paraId="2070A74A">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项目效益　</w:t>
            </w:r>
          </w:p>
        </w:tc>
        <w:tc>
          <w:tcPr>
            <w:tcW w:w="1112" w:type="dxa"/>
            <w:shd w:val="clear" w:color="auto" w:fill="FFFFFF"/>
            <w:noWrap w:val="0"/>
            <w:vAlign w:val="center"/>
          </w:tcPr>
          <w:p w14:paraId="13E6AF3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实施效益</w:t>
            </w:r>
          </w:p>
        </w:tc>
        <w:tc>
          <w:tcPr>
            <w:tcW w:w="2850" w:type="dxa"/>
            <w:shd w:val="clear" w:color="auto" w:fill="FFFFFF"/>
            <w:noWrap w:val="0"/>
            <w:vAlign w:val="center"/>
          </w:tcPr>
          <w:p w14:paraId="4550AC29">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项目实施所产生的效益。</w:t>
            </w:r>
          </w:p>
        </w:tc>
        <w:tc>
          <w:tcPr>
            <w:tcW w:w="4743" w:type="dxa"/>
            <w:shd w:val="clear" w:color="auto" w:fill="FFFFFF"/>
            <w:noWrap w:val="0"/>
            <w:vAlign w:val="center"/>
          </w:tcPr>
          <w:p w14:paraId="0BEBCC85">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项目实施所产生的社会效益、经济效益、生态效益、可持续影响等。可根据项目实际情况有选择地设置和细化。</w:t>
            </w:r>
          </w:p>
        </w:tc>
        <w:tc>
          <w:tcPr>
            <w:tcW w:w="699" w:type="dxa"/>
            <w:shd w:val="clear" w:color="auto" w:fill="FFFFFF"/>
            <w:noWrap w:val="0"/>
            <w:vAlign w:val="center"/>
          </w:tcPr>
          <w:p w14:paraId="09B87E22">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c>
          <w:tcPr>
            <w:tcW w:w="699" w:type="dxa"/>
            <w:shd w:val="clear" w:color="auto" w:fill="FFFFFF"/>
            <w:noWrap w:val="0"/>
            <w:vAlign w:val="center"/>
          </w:tcPr>
          <w:p w14:paraId="4A523A5C">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r>
      <w:tr w14:paraId="5E678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207" w:type="dxa"/>
            <w:vMerge w:val="continue"/>
            <w:shd w:val="clear" w:color="auto" w:fill="FFFFFF"/>
            <w:noWrap w:val="0"/>
            <w:vAlign w:val="center"/>
          </w:tcPr>
          <w:p w14:paraId="4020419E">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3E85A655">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769BB79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tc>
        <w:tc>
          <w:tcPr>
            <w:tcW w:w="2850" w:type="dxa"/>
            <w:shd w:val="clear" w:color="000000" w:fill="FFFFFF"/>
            <w:noWrap w:val="0"/>
            <w:vAlign w:val="center"/>
          </w:tcPr>
          <w:p w14:paraId="794E6213">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社会公众或服务对象对项目实施效果的满意程度。</w:t>
            </w:r>
          </w:p>
        </w:tc>
        <w:tc>
          <w:tcPr>
            <w:tcW w:w="4743" w:type="dxa"/>
            <w:shd w:val="clear" w:color="000000" w:fill="FFFFFF"/>
            <w:noWrap w:val="0"/>
            <w:vAlign w:val="center"/>
          </w:tcPr>
          <w:p w14:paraId="6AEFBA87">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社会公众或服务对象是指因该项目实施而受到影响的部门（单位）、群体或个人。一般采取社会调查的方式。</w:t>
            </w:r>
          </w:p>
        </w:tc>
        <w:tc>
          <w:tcPr>
            <w:tcW w:w="699" w:type="dxa"/>
            <w:shd w:val="clear" w:color="000000" w:fill="FFFFFF"/>
            <w:noWrap w:val="0"/>
            <w:vAlign w:val="center"/>
          </w:tcPr>
          <w:p w14:paraId="41724570">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w:t>
            </w:r>
          </w:p>
        </w:tc>
        <w:tc>
          <w:tcPr>
            <w:tcW w:w="699" w:type="dxa"/>
            <w:shd w:val="clear" w:color="000000" w:fill="FFFFFF"/>
            <w:noWrap w:val="0"/>
            <w:vAlign w:val="center"/>
          </w:tcPr>
          <w:p w14:paraId="02884D78">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w:t>
            </w:r>
          </w:p>
        </w:tc>
      </w:tr>
    </w:tbl>
    <w:p w14:paraId="7579BD3F">
      <w:pPr>
        <w:rPr>
          <w:rFonts w:hint="eastAsia"/>
          <w:lang w:eastAsia="zh-CN"/>
        </w:rPr>
      </w:pPr>
      <w:r>
        <w:rPr>
          <w:rFonts w:hint="eastAsia"/>
          <w:lang w:eastAsia="zh-CN"/>
        </w:rPr>
        <w:br w:type="page"/>
      </w:r>
    </w:p>
    <w:p w14:paraId="3339CF1C">
      <w:pPr>
        <w:rPr>
          <w:rFonts w:hint="eastAsia"/>
          <w:lang w:eastAsia="zh-CN"/>
        </w:rPr>
        <w:sectPr>
          <w:pgSz w:w="16838" w:h="11906" w:orient="landscape"/>
          <w:pgMar w:top="1531" w:right="1928" w:bottom="1531" w:left="1701" w:header="737" w:footer="851" w:gutter="0"/>
          <w:cols w:space="720" w:num="1"/>
          <w:docGrid w:type="lines" w:linePitch="408" w:charSpace="0"/>
        </w:sectPr>
      </w:pPr>
    </w:p>
    <w:p w14:paraId="3BBE2B47">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3.评价方法</w:t>
      </w:r>
    </w:p>
    <w:p w14:paraId="454A99D8">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EB31191">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E2CCD77">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2DE9389">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36A715A0">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1F55E7C3">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49379DEA">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4、评价标准</w:t>
      </w:r>
    </w:p>
    <w:p w14:paraId="46647BB6">
      <w:pPr>
        <w:keepNext w:val="0"/>
        <w:keepLines w:val="0"/>
        <w:pageBreakBefore w:val="0"/>
        <w:kinsoku/>
        <w:wordWrap/>
        <w:overflowPunct/>
        <w:topLinePunct w:val="0"/>
        <w:autoSpaceDE/>
        <w:autoSpaceDN/>
        <w:bidi w:val="0"/>
        <w:adjustRightInd/>
        <w:spacing w:line="560" w:lineRule="exact"/>
        <w:ind w:firstLine="708" w:firstLineChars="200"/>
        <w:rPr>
          <w:rFonts w:eastAsia="仿宋_GB2312"/>
          <w:color w:val="000000"/>
          <w:spacing w:val="17"/>
          <w:sz w:val="32"/>
          <w:szCs w:val="32"/>
        </w:rPr>
      </w:pPr>
      <w:bookmarkStart w:id="1" w:name="_Toc4252"/>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1D657A2F">
      <w:pPr>
        <w:pStyle w:val="9"/>
        <w:keepNext w:val="0"/>
        <w:keepLines w:val="0"/>
        <w:pageBreakBefore w:val="0"/>
        <w:widowControl/>
        <w:numPr>
          <w:ilvl w:val="0"/>
          <w:numId w:val="3"/>
        </w:numPr>
        <w:kinsoku/>
        <w:wordWrap/>
        <w:overflowPunct/>
        <w:topLinePunct w:val="0"/>
        <w:autoSpaceDE/>
        <w:autoSpaceDN/>
        <w:bidi w:val="0"/>
        <w:adjustRightInd/>
        <w:snapToGrid/>
        <w:spacing w:before="0" w:after="0" w:line="600" w:lineRule="exact"/>
        <w:ind w:left="-709" w:leftChars="0" w:firstLine="1134" w:firstLineChars="0"/>
        <w:jc w:val="left"/>
        <w:textAlignment w:val="auto"/>
        <w:rPr>
          <w:rFonts w:hint="eastAsia" w:ascii="仿宋_GB2312" w:hAnsi="Times New Roman" w:eastAsia="仿宋_GB2312" w:cs="Times New Roman"/>
          <w:b/>
          <w:bCs/>
          <w:kern w:val="2"/>
          <w:sz w:val="30"/>
          <w:szCs w:val="24"/>
          <w:lang w:val="en-US" w:eastAsia="zh-CN" w:bidi="ar-SA"/>
        </w:rPr>
      </w:pPr>
      <w:r>
        <w:rPr>
          <w:rFonts w:hint="eastAsia" w:ascii="仿宋_GB2312" w:hAnsi="Times New Roman" w:eastAsia="仿宋_GB2312" w:cs="Times New Roman"/>
          <w:b/>
          <w:bCs/>
          <w:kern w:val="2"/>
          <w:sz w:val="30"/>
          <w:szCs w:val="24"/>
          <w:lang w:val="en-US" w:eastAsia="zh-CN" w:bidi="ar-SA"/>
        </w:rPr>
        <w:t>绩效评价工作过程</w:t>
      </w:r>
      <w:bookmarkEnd w:id="1"/>
    </w:p>
    <w:p w14:paraId="266A8792">
      <w:pPr>
        <w:numPr>
          <w:ilvl w:val="0"/>
          <w:numId w:val="4"/>
        </w:num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前期准备。成立部门绩效评价小组，学习评价指标体系和绩效相关文件精神。项目负责同志参加了厅财审处组织的专项业务培训，全体在职人员参与绩效评价工作。</w:t>
      </w:r>
    </w:p>
    <w:p w14:paraId="0F69F81F">
      <w:pPr>
        <w:numPr>
          <w:ilvl w:val="0"/>
          <w:numId w:val="4"/>
        </w:num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组织实施。按照规定的工作程序组织绩效评价自评，注重评价质量，撰写绩效评价报告。</w:t>
      </w:r>
    </w:p>
    <w:p w14:paraId="52141BF9">
      <w:pPr>
        <w:numPr>
          <w:ilvl w:val="0"/>
          <w:numId w:val="4"/>
        </w:numPr>
        <w:spacing w:line="600" w:lineRule="exact"/>
        <w:ind w:firstLine="600" w:firstLineChars="200"/>
        <w:rPr>
          <w:rFonts w:hint="eastAsia"/>
          <w:lang w:eastAsia="zh-CN"/>
        </w:rPr>
      </w:pPr>
      <w:r>
        <w:rPr>
          <w:rFonts w:hint="eastAsia" w:ascii="仿宋_GB2312" w:hAnsi="Times New Roman" w:eastAsia="仿宋_GB2312" w:cs="Times New Roman"/>
          <w:b w:val="0"/>
          <w:bCs w:val="0"/>
          <w:kern w:val="2"/>
          <w:sz w:val="30"/>
          <w:szCs w:val="24"/>
          <w:lang w:val="en-US" w:eastAsia="zh-CN" w:bidi="ar-SA"/>
        </w:rPr>
        <w:t>分析评价。对评价结果进行整改，充分运用分析评价指导项目绩效工作。并要求进一步建立和健全单位绩效评价相关制度和操作规程，提高单位的管理水平，提高预算编制的准确性和科学性。</w:t>
      </w:r>
    </w:p>
    <w:p w14:paraId="7E5E627B">
      <w:pPr>
        <w:spacing w:line="600" w:lineRule="exact"/>
        <w:ind w:firstLine="600" w:firstLineChars="200"/>
        <w:rPr>
          <w:rFonts w:hint="eastAsia" w:ascii="仿宋_GB2312"/>
        </w:rPr>
      </w:pPr>
      <w:r>
        <w:rPr>
          <w:rFonts w:hint="eastAsia" w:ascii="黑体" w:hAnsi="黑体" w:eastAsia="黑体"/>
        </w:rPr>
        <w:t>三、综合评价情况及评价结论</w:t>
      </w:r>
      <w:r>
        <w:rPr>
          <w:rFonts w:hint="eastAsia" w:ascii="仿宋_GB2312"/>
        </w:rPr>
        <w:t>（附相关评分表）</w:t>
      </w:r>
    </w:p>
    <w:p w14:paraId="5317DABE">
      <w:pPr>
        <w:pStyle w:val="2"/>
        <w:ind w:left="0" w:leftChars="0" w:firstLine="544" w:firstLineChars="200"/>
        <w:rPr>
          <w:rStyle w:val="13"/>
          <w:rFonts w:hint="eastAsia" w:ascii="仿宋_GB2312" w:hAnsi="仿宋_GB2312" w:eastAsia="仿宋_GB2312" w:cs="仿宋_GB2312"/>
          <w:b w:val="0"/>
          <w:bCs/>
          <w:spacing w:val="-4"/>
          <w:kern w:val="0"/>
          <w:sz w:val="28"/>
          <w:szCs w:val="28"/>
          <w:lang w:val="en-US" w:eastAsia="zh-CN" w:bidi="ar"/>
        </w:rPr>
      </w:pPr>
      <w:r>
        <w:rPr>
          <w:rStyle w:val="13"/>
          <w:rFonts w:hint="eastAsia" w:ascii="仿宋_GB2312" w:hAnsi="仿宋_GB2312" w:eastAsia="仿宋_GB2312" w:cs="仿宋_GB2312"/>
          <w:b w:val="0"/>
          <w:bCs/>
          <w:spacing w:val="-4"/>
          <w:kern w:val="0"/>
          <w:sz w:val="28"/>
          <w:szCs w:val="28"/>
          <w:lang w:val="en-US" w:eastAsia="zh-CN" w:bidi="ar"/>
        </w:rPr>
        <w:t>本项目严格按照科学公正、统筹兼顾、激励约束、公开透明等绩效评价原则，采用支出与效益进行对比分析的成本效益分析法评价方法，坚持计划标准评价绩效评价标准对本项目的立项、项绩效目标、资金投入、资金管理、组织实施、产出数量、产出质量、产出时效、产出成本、项目效益进行了综合评价。</w:t>
      </w:r>
    </w:p>
    <w:p w14:paraId="58FB629A">
      <w:pPr>
        <w:pStyle w:val="2"/>
        <w:ind w:firstLine="2819" w:firstLineChars="900"/>
        <w:outlineLvl w:val="0"/>
        <w:rPr>
          <w:rStyle w:val="13"/>
          <w:rFonts w:hint="eastAsia" w:ascii="仿宋_GB2312" w:hAnsi="仿宋_GB2312" w:eastAsia="仿宋_GB2312" w:cs="仿宋_GB2312"/>
          <w:b/>
          <w:bCs w:val="0"/>
          <w:spacing w:val="-4"/>
          <w:kern w:val="0"/>
          <w:sz w:val="32"/>
          <w:szCs w:val="32"/>
          <w:lang w:val="en-US" w:eastAsia="zh-CN" w:bidi="ar"/>
        </w:rPr>
      </w:pPr>
      <w:bookmarkStart w:id="2" w:name="_Toc314"/>
      <w:r>
        <w:rPr>
          <w:rStyle w:val="13"/>
          <w:rFonts w:hint="eastAsia" w:ascii="仿宋_GB2312" w:hAnsi="仿宋_GB2312" w:eastAsia="仿宋_GB2312" w:cs="仿宋_GB2312"/>
          <w:b/>
          <w:bCs w:val="0"/>
          <w:spacing w:val="-4"/>
          <w:kern w:val="0"/>
          <w:sz w:val="32"/>
          <w:szCs w:val="32"/>
          <w:lang w:val="en-US" w:eastAsia="zh-CN" w:bidi="ar"/>
        </w:rPr>
        <w:t>项目评价得分情况</w:t>
      </w:r>
      <w:bookmarkEnd w:id="2"/>
    </w:p>
    <w:tbl>
      <w:tblPr>
        <w:tblStyle w:val="11"/>
        <w:tblpPr w:leftFromText="180" w:rightFromText="180" w:vertAnchor="text" w:horzAnchor="page" w:tblpX="1590" w:tblpY="399"/>
        <w:tblOverlap w:val="never"/>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351"/>
        <w:gridCol w:w="2635"/>
      </w:tblGrid>
      <w:tr w14:paraId="5AC1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noWrap w:val="0"/>
            <w:vAlign w:val="top"/>
          </w:tcPr>
          <w:p w14:paraId="24DFF78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Style w:val="13"/>
                <w:rFonts w:hint="eastAsia" w:ascii="新宋体" w:hAnsi="新宋体" w:eastAsia="新宋体" w:cs="新宋体"/>
                <w:b/>
                <w:bCs w:val="0"/>
                <w:spacing w:val="-4"/>
                <w:sz w:val="21"/>
                <w:szCs w:val="21"/>
                <w:vertAlign w:val="baseline"/>
              </w:rPr>
              <w:t>一级指标</w:t>
            </w:r>
          </w:p>
        </w:tc>
        <w:tc>
          <w:tcPr>
            <w:tcW w:w="1992" w:type="dxa"/>
            <w:noWrap w:val="0"/>
            <w:vAlign w:val="top"/>
          </w:tcPr>
          <w:p w14:paraId="4EC9313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Style w:val="13"/>
                <w:rFonts w:hint="eastAsia" w:ascii="新宋体" w:hAnsi="新宋体" w:eastAsia="新宋体" w:cs="新宋体"/>
                <w:b/>
                <w:bCs w:val="0"/>
                <w:spacing w:val="-4"/>
                <w:sz w:val="21"/>
                <w:szCs w:val="21"/>
                <w:vertAlign w:val="baseline"/>
              </w:rPr>
              <w:t>二级指标</w:t>
            </w:r>
          </w:p>
        </w:tc>
        <w:tc>
          <w:tcPr>
            <w:tcW w:w="1992" w:type="dxa"/>
            <w:noWrap w:val="0"/>
            <w:vAlign w:val="top"/>
          </w:tcPr>
          <w:p w14:paraId="17273A4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Style w:val="13"/>
                <w:rFonts w:hint="eastAsia" w:ascii="新宋体" w:hAnsi="新宋体" w:eastAsia="新宋体" w:cs="新宋体"/>
                <w:b/>
                <w:bCs w:val="0"/>
                <w:spacing w:val="-4"/>
                <w:sz w:val="21"/>
                <w:szCs w:val="21"/>
                <w:vertAlign w:val="baseline"/>
              </w:rPr>
              <w:t>三级指标</w:t>
            </w:r>
          </w:p>
        </w:tc>
        <w:tc>
          <w:tcPr>
            <w:tcW w:w="1351" w:type="dxa"/>
            <w:noWrap w:val="0"/>
            <w:vAlign w:val="top"/>
          </w:tcPr>
          <w:p w14:paraId="50355ED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Style w:val="13"/>
                <w:rFonts w:hint="eastAsia" w:ascii="新宋体" w:hAnsi="新宋体" w:eastAsia="新宋体" w:cs="新宋体"/>
                <w:b/>
                <w:bCs w:val="0"/>
                <w:spacing w:val="-4"/>
                <w:sz w:val="21"/>
                <w:szCs w:val="21"/>
                <w:vertAlign w:val="baseline"/>
              </w:rPr>
              <w:t>分值</w:t>
            </w:r>
          </w:p>
        </w:tc>
        <w:tc>
          <w:tcPr>
            <w:tcW w:w="2635" w:type="dxa"/>
            <w:noWrap w:val="0"/>
            <w:vAlign w:val="top"/>
          </w:tcPr>
          <w:p w14:paraId="7CE63C1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Style w:val="13"/>
                <w:rFonts w:hint="eastAsia" w:ascii="新宋体" w:hAnsi="新宋体" w:eastAsia="新宋体" w:cs="新宋体"/>
                <w:b/>
                <w:bCs w:val="0"/>
                <w:spacing w:val="-4"/>
                <w:sz w:val="21"/>
                <w:szCs w:val="21"/>
                <w:vertAlign w:val="baseline"/>
              </w:rPr>
              <w:t>得分</w:t>
            </w:r>
          </w:p>
        </w:tc>
      </w:tr>
      <w:tr w14:paraId="1830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5B5E621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项目决策</w:t>
            </w:r>
          </w:p>
        </w:tc>
        <w:tc>
          <w:tcPr>
            <w:tcW w:w="1992" w:type="dxa"/>
            <w:vMerge w:val="restart"/>
            <w:noWrap w:val="0"/>
            <w:vAlign w:val="center"/>
          </w:tcPr>
          <w:p w14:paraId="0C2A97C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项目立项</w:t>
            </w:r>
          </w:p>
        </w:tc>
        <w:tc>
          <w:tcPr>
            <w:tcW w:w="1992" w:type="dxa"/>
            <w:noWrap w:val="0"/>
            <w:vAlign w:val="center"/>
          </w:tcPr>
          <w:p w14:paraId="589D5EE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立项依据充分性</w:t>
            </w:r>
          </w:p>
        </w:tc>
        <w:tc>
          <w:tcPr>
            <w:tcW w:w="1351" w:type="dxa"/>
            <w:noWrap w:val="0"/>
            <w:vAlign w:val="top"/>
          </w:tcPr>
          <w:p w14:paraId="4BE7018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lang w:val="en-US" w:eastAsia="zh-CN" w:bidi="ar-SA"/>
              </w:rPr>
            </w:pPr>
            <w:r>
              <w:rPr>
                <w:rFonts w:hint="eastAsia" w:ascii="新宋体" w:hAnsi="新宋体" w:eastAsia="新宋体" w:cs="新宋体"/>
                <w:sz w:val="21"/>
                <w:szCs w:val="21"/>
                <w:lang w:val="en-US" w:eastAsia="zh-CN"/>
              </w:rPr>
              <w:t>3</w:t>
            </w:r>
          </w:p>
        </w:tc>
        <w:tc>
          <w:tcPr>
            <w:tcW w:w="2635" w:type="dxa"/>
            <w:noWrap w:val="0"/>
            <w:vAlign w:val="top"/>
          </w:tcPr>
          <w:p w14:paraId="0FA56E7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lang w:val="en-US" w:eastAsia="zh-CN" w:bidi="ar-SA"/>
              </w:rPr>
            </w:pPr>
            <w:r>
              <w:rPr>
                <w:rFonts w:hint="eastAsia" w:ascii="新宋体" w:hAnsi="新宋体" w:eastAsia="新宋体" w:cs="新宋体"/>
                <w:sz w:val="21"/>
                <w:szCs w:val="21"/>
                <w:lang w:val="en-US" w:eastAsia="zh-CN"/>
              </w:rPr>
              <w:t>3</w:t>
            </w:r>
          </w:p>
        </w:tc>
      </w:tr>
      <w:tr w14:paraId="07BF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6CFB5A3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4A23E62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5B45624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立项程序规范性</w:t>
            </w:r>
          </w:p>
        </w:tc>
        <w:tc>
          <w:tcPr>
            <w:tcW w:w="1351" w:type="dxa"/>
            <w:noWrap w:val="0"/>
            <w:vAlign w:val="top"/>
          </w:tcPr>
          <w:p w14:paraId="17523E3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lang w:val="en-US" w:eastAsia="zh-CN"/>
              </w:rPr>
              <w:t>3</w:t>
            </w:r>
          </w:p>
        </w:tc>
        <w:tc>
          <w:tcPr>
            <w:tcW w:w="2635" w:type="dxa"/>
            <w:noWrap w:val="0"/>
            <w:vAlign w:val="top"/>
          </w:tcPr>
          <w:p w14:paraId="771B382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lang w:val="en-US" w:eastAsia="zh-CN"/>
              </w:rPr>
              <w:t>3</w:t>
            </w:r>
          </w:p>
        </w:tc>
      </w:tr>
      <w:tr w14:paraId="7D55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42F5CF7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0905240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绩效目标</w:t>
            </w:r>
          </w:p>
        </w:tc>
        <w:tc>
          <w:tcPr>
            <w:tcW w:w="1992" w:type="dxa"/>
            <w:noWrap w:val="0"/>
            <w:vAlign w:val="center"/>
          </w:tcPr>
          <w:p w14:paraId="05C2424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绩效目标合理性</w:t>
            </w:r>
          </w:p>
        </w:tc>
        <w:tc>
          <w:tcPr>
            <w:tcW w:w="1351" w:type="dxa"/>
            <w:noWrap w:val="0"/>
            <w:vAlign w:val="top"/>
          </w:tcPr>
          <w:p w14:paraId="4BB9D87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2791F1C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kern w:val="2"/>
                <w:sz w:val="21"/>
                <w:szCs w:val="21"/>
                <w:vertAlign w:val="baseline"/>
                <w:lang w:val="en-US" w:eastAsia="zh-CN" w:bidi="ar-SA"/>
              </w:rPr>
              <w:t>3</w:t>
            </w:r>
          </w:p>
        </w:tc>
      </w:tr>
      <w:tr w14:paraId="2341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02C216E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32585EE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绩效目标</w:t>
            </w:r>
          </w:p>
        </w:tc>
        <w:tc>
          <w:tcPr>
            <w:tcW w:w="1992" w:type="dxa"/>
            <w:noWrap w:val="0"/>
            <w:vAlign w:val="center"/>
          </w:tcPr>
          <w:p w14:paraId="5218352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绩效指标明确性</w:t>
            </w:r>
          </w:p>
        </w:tc>
        <w:tc>
          <w:tcPr>
            <w:tcW w:w="1351" w:type="dxa"/>
            <w:noWrap w:val="0"/>
            <w:vAlign w:val="top"/>
          </w:tcPr>
          <w:p w14:paraId="5453E69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092B82A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kern w:val="2"/>
                <w:sz w:val="21"/>
                <w:szCs w:val="21"/>
                <w:vertAlign w:val="baseline"/>
                <w:lang w:val="en-US" w:eastAsia="zh-CN" w:bidi="ar-SA"/>
              </w:rPr>
              <w:t>3</w:t>
            </w:r>
          </w:p>
        </w:tc>
      </w:tr>
      <w:tr w14:paraId="0930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5BA8674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restart"/>
            <w:noWrap w:val="0"/>
            <w:vAlign w:val="center"/>
          </w:tcPr>
          <w:p w14:paraId="7FAA780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资金投入</w:t>
            </w:r>
          </w:p>
        </w:tc>
        <w:tc>
          <w:tcPr>
            <w:tcW w:w="1992" w:type="dxa"/>
            <w:noWrap w:val="0"/>
            <w:vAlign w:val="center"/>
          </w:tcPr>
          <w:p w14:paraId="30371CC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预算编制科学性</w:t>
            </w:r>
          </w:p>
        </w:tc>
        <w:tc>
          <w:tcPr>
            <w:tcW w:w="1351" w:type="dxa"/>
            <w:noWrap w:val="0"/>
            <w:vAlign w:val="top"/>
          </w:tcPr>
          <w:p w14:paraId="32A8F51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c>
          <w:tcPr>
            <w:tcW w:w="2635" w:type="dxa"/>
            <w:noWrap w:val="0"/>
            <w:vAlign w:val="top"/>
          </w:tcPr>
          <w:p w14:paraId="4F100D9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r>
      <w:tr w14:paraId="7649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0D1D283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11A3159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7BF4FE5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资金分配合理性</w:t>
            </w:r>
          </w:p>
        </w:tc>
        <w:tc>
          <w:tcPr>
            <w:tcW w:w="1351" w:type="dxa"/>
            <w:noWrap w:val="0"/>
            <w:vAlign w:val="top"/>
          </w:tcPr>
          <w:p w14:paraId="15E2F8D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c>
          <w:tcPr>
            <w:tcW w:w="2635" w:type="dxa"/>
            <w:noWrap w:val="0"/>
            <w:vAlign w:val="top"/>
          </w:tcPr>
          <w:p w14:paraId="1DD3FDE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r>
      <w:tr w14:paraId="7C52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6F2D187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项目过程</w:t>
            </w:r>
          </w:p>
        </w:tc>
        <w:tc>
          <w:tcPr>
            <w:tcW w:w="1992" w:type="dxa"/>
            <w:vMerge w:val="restart"/>
            <w:noWrap w:val="0"/>
            <w:vAlign w:val="center"/>
          </w:tcPr>
          <w:p w14:paraId="1913211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资金管理</w:t>
            </w:r>
          </w:p>
        </w:tc>
        <w:tc>
          <w:tcPr>
            <w:tcW w:w="1992" w:type="dxa"/>
            <w:noWrap w:val="0"/>
            <w:vAlign w:val="center"/>
          </w:tcPr>
          <w:p w14:paraId="06B2A44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资金到位率</w:t>
            </w:r>
          </w:p>
        </w:tc>
        <w:tc>
          <w:tcPr>
            <w:tcW w:w="1351" w:type="dxa"/>
            <w:noWrap w:val="0"/>
            <w:vAlign w:val="top"/>
          </w:tcPr>
          <w:p w14:paraId="457DB87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2</w:t>
            </w:r>
          </w:p>
        </w:tc>
        <w:tc>
          <w:tcPr>
            <w:tcW w:w="2635" w:type="dxa"/>
            <w:noWrap w:val="0"/>
            <w:vAlign w:val="top"/>
          </w:tcPr>
          <w:p w14:paraId="7127EC1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2</w:t>
            </w:r>
          </w:p>
        </w:tc>
      </w:tr>
      <w:tr w14:paraId="2D22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140A047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32DBA3E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05F29F9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预算执行率</w:t>
            </w:r>
          </w:p>
        </w:tc>
        <w:tc>
          <w:tcPr>
            <w:tcW w:w="1351" w:type="dxa"/>
            <w:noWrap w:val="0"/>
            <w:vAlign w:val="top"/>
          </w:tcPr>
          <w:p w14:paraId="5D979F1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5</w:t>
            </w:r>
          </w:p>
        </w:tc>
        <w:tc>
          <w:tcPr>
            <w:tcW w:w="2635" w:type="dxa"/>
            <w:noWrap w:val="0"/>
            <w:vAlign w:val="top"/>
          </w:tcPr>
          <w:p w14:paraId="026C46C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5</w:t>
            </w:r>
          </w:p>
        </w:tc>
      </w:tr>
      <w:tr w14:paraId="0199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45FE7E7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5AF4D2D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47F9683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资金使用合规性</w:t>
            </w:r>
          </w:p>
        </w:tc>
        <w:tc>
          <w:tcPr>
            <w:tcW w:w="1351" w:type="dxa"/>
            <w:noWrap w:val="0"/>
            <w:vAlign w:val="top"/>
          </w:tcPr>
          <w:p w14:paraId="0937B38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0219CA5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r>
      <w:tr w14:paraId="2FF5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4CC6E4B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restart"/>
            <w:noWrap w:val="0"/>
            <w:vAlign w:val="center"/>
          </w:tcPr>
          <w:p w14:paraId="550A0AB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Fonts w:hint="eastAsia"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组织实施</w:t>
            </w:r>
          </w:p>
          <w:p w14:paraId="1098E10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72EBC42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管理制度健全性</w:t>
            </w:r>
          </w:p>
        </w:tc>
        <w:tc>
          <w:tcPr>
            <w:tcW w:w="1351" w:type="dxa"/>
            <w:noWrap w:val="0"/>
            <w:vAlign w:val="top"/>
          </w:tcPr>
          <w:p w14:paraId="7BE871E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c>
          <w:tcPr>
            <w:tcW w:w="2635" w:type="dxa"/>
            <w:noWrap w:val="0"/>
            <w:vAlign w:val="top"/>
          </w:tcPr>
          <w:p w14:paraId="488561F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r>
      <w:tr w14:paraId="077D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4ACCE84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2D2AE03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6E302D8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制度执行有效性</w:t>
            </w:r>
          </w:p>
        </w:tc>
        <w:tc>
          <w:tcPr>
            <w:tcW w:w="1351" w:type="dxa"/>
            <w:noWrap w:val="0"/>
            <w:vAlign w:val="top"/>
          </w:tcPr>
          <w:p w14:paraId="52D6BED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c>
          <w:tcPr>
            <w:tcW w:w="2635" w:type="dxa"/>
            <w:noWrap w:val="0"/>
            <w:vAlign w:val="top"/>
          </w:tcPr>
          <w:p w14:paraId="70C8BC1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r>
      <w:tr w14:paraId="4561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35F8BB4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项目产出</w:t>
            </w:r>
          </w:p>
        </w:tc>
        <w:tc>
          <w:tcPr>
            <w:tcW w:w="1992" w:type="dxa"/>
            <w:noWrap w:val="0"/>
            <w:vAlign w:val="center"/>
          </w:tcPr>
          <w:p w14:paraId="4A6EEA7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产出数量</w:t>
            </w:r>
          </w:p>
        </w:tc>
        <w:tc>
          <w:tcPr>
            <w:tcW w:w="1992" w:type="dxa"/>
            <w:noWrap w:val="0"/>
            <w:vAlign w:val="center"/>
          </w:tcPr>
          <w:p w14:paraId="7F3ED4C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实际完成率</w:t>
            </w:r>
          </w:p>
        </w:tc>
        <w:tc>
          <w:tcPr>
            <w:tcW w:w="1351" w:type="dxa"/>
            <w:noWrap w:val="0"/>
            <w:vAlign w:val="top"/>
          </w:tcPr>
          <w:p w14:paraId="7B315A6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8</w:t>
            </w:r>
          </w:p>
        </w:tc>
        <w:tc>
          <w:tcPr>
            <w:tcW w:w="2635" w:type="dxa"/>
            <w:noWrap w:val="0"/>
            <w:vAlign w:val="center"/>
          </w:tcPr>
          <w:p w14:paraId="194BAD0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val="0"/>
                <w:bCs/>
                <w:spacing w:val="-4"/>
                <w:sz w:val="21"/>
                <w:szCs w:val="21"/>
                <w:vertAlign w:val="baseline"/>
                <w:lang w:val="en-US" w:eastAsia="zh-CN"/>
              </w:rPr>
            </w:pPr>
            <w:r>
              <w:rPr>
                <w:rStyle w:val="13"/>
                <w:rFonts w:hint="eastAsia" w:ascii="新宋体" w:hAnsi="新宋体" w:eastAsia="新宋体" w:cs="新宋体"/>
                <w:b w:val="0"/>
                <w:bCs/>
                <w:spacing w:val="-4"/>
                <w:sz w:val="21"/>
                <w:szCs w:val="21"/>
                <w:vertAlign w:val="baseline"/>
                <w:lang w:val="en-US" w:eastAsia="zh-CN"/>
              </w:rPr>
              <w:t>8</w:t>
            </w:r>
          </w:p>
        </w:tc>
      </w:tr>
      <w:tr w14:paraId="4C31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6C3B8FBE">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7BD1291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质</w:t>
            </w:r>
            <w:r>
              <w:rPr>
                <w:rFonts w:hint="eastAsia" w:ascii="新宋体" w:hAnsi="新宋体" w:eastAsia="新宋体" w:cs="新宋体"/>
                <w:color w:val="000000"/>
                <w:kern w:val="0"/>
                <w:sz w:val="21"/>
                <w:szCs w:val="21"/>
              </w:rPr>
              <w:t>量</w:t>
            </w:r>
          </w:p>
        </w:tc>
        <w:tc>
          <w:tcPr>
            <w:tcW w:w="1992" w:type="dxa"/>
            <w:noWrap w:val="0"/>
            <w:vAlign w:val="center"/>
          </w:tcPr>
          <w:p w14:paraId="1C71865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质量达标率</w:t>
            </w:r>
          </w:p>
        </w:tc>
        <w:tc>
          <w:tcPr>
            <w:tcW w:w="1351" w:type="dxa"/>
            <w:noWrap w:val="0"/>
            <w:vAlign w:val="top"/>
          </w:tcPr>
          <w:p w14:paraId="5D18234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8</w:t>
            </w:r>
          </w:p>
        </w:tc>
        <w:tc>
          <w:tcPr>
            <w:tcW w:w="2635" w:type="dxa"/>
            <w:noWrap w:val="0"/>
            <w:vAlign w:val="center"/>
          </w:tcPr>
          <w:p w14:paraId="7316A61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val="0"/>
                <w:bCs/>
                <w:spacing w:val="-4"/>
                <w:sz w:val="21"/>
                <w:szCs w:val="21"/>
                <w:vertAlign w:val="baseline"/>
                <w:lang w:val="en-US" w:eastAsia="zh-CN"/>
              </w:rPr>
            </w:pPr>
            <w:r>
              <w:rPr>
                <w:rStyle w:val="13"/>
                <w:rFonts w:hint="eastAsia" w:ascii="新宋体" w:hAnsi="新宋体" w:eastAsia="新宋体" w:cs="新宋体"/>
                <w:b w:val="0"/>
                <w:bCs/>
                <w:spacing w:val="-4"/>
                <w:sz w:val="21"/>
                <w:szCs w:val="21"/>
                <w:vertAlign w:val="baseline"/>
                <w:lang w:val="en-US" w:eastAsia="zh-CN"/>
              </w:rPr>
              <w:t>8</w:t>
            </w:r>
          </w:p>
        </w:tc>
      </w:tr>
      <w:tr w14:paraId="2614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1FDC0B6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6931C2F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lang w:eastAsia="zh-CN"/>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时效</w:t>
            </w:r>
          </w:p>
        </w:tc>
        <w:tc>
          <w:tcPr>
            <w:tcW w:w="1992" w:type="dxa"/>
            <w:noWrap w:val="0"/>
            <w:vAlign w:val="center"/>
          </w:tcPr>
          <w:p w14:paraId="769E378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完成及时性</w:t>
            </w:r>
          </w:p>
        </w:tc>
        <w:tc>
          <w:tcPr>
            <w:tcW w:w="1351" w:type="dxa"/>
            <w:noWrap w:val="0"/>
            <w:vAlign w:val="top"/>
          </w:tcPr>
          <w:p w14:paraId="0F7463A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7</w:t>
            </w:r>
          </w:p>
        </w:tc>
        <w:tc>
          <w:tcPr>
            <w:tcW w:w="2635" w:type="dxa"/>
            <w:noWrap w:val="0"/>
            <w:vAlign w:val="center"/>
          </w:tcPr>
          <w:p w14:paraId="589B7C9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val="0"/>
                <w:bCs/>
                <w:spacing w:val="-4"/>
                <w:sz w:val="21"/>
                <w:szCs w:val="21"/>
                <w:vertAlign w:val="baseline"/>
                <w:lang w:val="en-US" w:eastAsia="zh-CN"/>
              </w:rPr>
            </w:pPr>
            <w:r>
              <w:rPr>
                <w:rStyle w:val="13"/>
                <w:rFonts w:hint="eastAsia" w:ascii="新宋体" w:hAnsi="新宋体" w:eastAsia="新宋体" w:cs="新宋体"/>
                <w:b w:val="0"/>
                <w:bCs/>
                <w:spacing w:val="-4"/>
                <w:sz w:val="21"/>
                <w:szCs w:val="21"/>
                <w:vertAlign w:val="baseline"/>
                <w:lang w:val="en-US" w:eastAsia="zh-CN"/>
              </w:rPr>
              <w:t>7</w:t>
            </w:r>
          </w:p>
        </w:tc>
      </w:tr>
      <w:tr w14:paraId="0AF6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7C04E13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359B941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lang w:eastAsia="zh-CN"/>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成本</w:t>
            </w:r>
          </w:p>
        </w:tc>
        <w:tc>
          <w:tcPr>
            <w:tcW w:w="1992" w:type="dxa"/>
            <w:noWrap w:val="0"/>
            <w:vAlign w:val="center"/>
          </w:tcPr>
          <w:p w14:paraId="1406515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成本完成率</w:t>
            </w:r>
          </w:p>
        </w:tc>
        <w:tc>
          <w:tcPr>
            <w:tcW w:w="1351" w:type="dxa"/>
            <w:noWrap w:val="0"/>
            <w:vAlign w:val="top"/>
          </w:tcPr>
          <w:p w14:paraId="07AC2F4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7</w:t>
            </w:r>
          </w:p>
        </w:tc>
        <w:tc>
          <w:tcPr>
            <w:tcW w:w="2635" w:type="dxa"/>
            <w:noWrap w:val="0"/>
            <w:vAlign w:val="center"/>
          </w:tcPr>
          <w:p w14:paraId="571925A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val="0"/>
                <w:bCs/>
                <w:spacing w:val="-4"/>
                <w:sz w:val="21"/>
                <w:szCs w:val="21"/>
                <w:vertAlign w:val="baseline"/>
                <w:lang w:val="en-US" w:eastAsia="zh-CN"/>
              </w:rPr>
            </w:pPr>
            <w:r>
              <w:rPr>
                <w:rStyle w:val="13"/>
                <w:rFonts w:hint="eastAsia" w:ascii="新宋体" w:hAnsi="新宋体" w:eastAsia="新宋体" w:cs="新宋体"/>
                <w:b w:val="0"/>
                <w:bCs/>
                <w:spacing w:val="-4"/>
                <w:sz w:val="21"/>
                <w:szCs w:val="21"/>
                <w:vertAlign w:val="baseline"/>
                <w:lang w:val="en-US" w:eastAsia="zh-CN"/>
              </w:rPr>
              <w:t>7</w:t>
            </w:r>
          </w:p>
        </w:tc>
      </w:tr>
      <w:tr w14:paraId="05E7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687AD50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项目效益</w:t>
            </w:r>
            <w:r>
              <w:rPr>
                <w:rFonts w:hint="eastAsia" w:ascii="新宋体" w:hAnsi="新宋体" w:eastAsia="新宋体" w:cs="新宋体"/>
                <w:color w:val="000000"/>
                <w:kern w:val="0"/>
                <w:sz w:val="21"/>
                <w:szCs w:val="21"/>
              </w:rPr>
              <w:t>　</w:t>
            </w:r>
          </w:p>
        </w:tc>
        <w:tc>
          <w:tcPr>
            <w:tcW w:w="1992" w:type="dxa"/>
            <w:vMerge w:val="restart"/>
            <w:noWrap w:val="0"/>
            <w:vAlign w:val="center"/>
          </w:tcPr>
          <w:p w14:paraId="741E1DE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项目效益</w:t>
            </w:r>
          </w:p>
        </w:tc>
        <w:tc>
          <w:tcPr>
            <w:tcW w:w="1992" w:type="dxa"/>
            <w:noWrap w:val="0"/>
            <w:vAlign w:val="center"/>
          </w:tcPr>
          <w:p w14:paraId="00714D1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实施效益</w:t>
            </w:r>
          </w:p>
        </w:tc>
        <w:tc>
          <w:tcPr>
            <w:tcW w:w="1351" w:type="dxa"/>
            <w:noWrap w:val="0"/>
            <w:vAlign w:val="top"/>
          </w:tcPr>
          <w:p w14:paraId="7C7189E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15</w:t>
            </w:r>
          </w:p>
        </w:tc>
        <w:tc>
          <w:tcPr>
            <w:tcW w:w="2635" w:type="dxa"/>
            <w:noWrap w:val="0"/>
            <w:vAlign w:val="center"/>
          </w:tcPr>
          <w:p w14:paraId="2633763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val="0"/>
                <w:bCs/>
                <w:spacing w:val="-4"/>
                <w:sz w:val="21"/>
                <w:szCs w:val="21"/>
                <w:vertAlign w:val="baseline"/>
                <w:lang w:val="en-US" w:eastAsia="zh-CN"/>
              </w:rPr>
            </w:pPr>
            <w:r>
              <w:rPr>
                <w:rStyle w:val="13"/>
                <w:rFonts w:hint="eastAsia" w:ascii="新宋体" w:hAnsi="新宋体" w:eastAsia="新宋体" w:cs="新宋体"/>
                <w:b w:val="0"/>
                <w:bCs/>
                <w:spacing w:val="-4"/>
                <w:sz w:val="21"/>
                <w:szCs w:val="21"/>
                <w:vertAlign w:val="baseline"/>
                <w:lang w:val="en-US" w:eastAsia="zh-CN"/>
              </w:rPr>
              <w:t>15</w:t>
            </w:r>
          </w:p>
        </w:tc>
      </w:tr>
      <w:tr w14:paraId="16FD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65CAAEB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1C5A0A3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bCs w:val="0"/>
                <w:spacing w:val="-4"/>
                <w:sz w:val="21"/>
                <w:szCs w:val="21"/>
                <w:vertAlign w:val="baseline"/>
              </w:rPr>
            </w:pPr>
          </w:p>
        </w:tc>
        <w:tc>
          <w:tcPr>
            <w:tcW w:w="1992" w:type="dxa"/>
            <w:noWrap w:val="0"/>
            <w:vAlign w:val="center"/>
          </w:tcPr>
          <w:p w14:paraId="4589176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满意度</w:t>
            </w:r>
          </w:p>
        </w:tc>
        <w:tc>
          <w:tcPr>
            <w:tcW w:w="1351" w:type="dxa"/>
            <w:noWrap w:val="0"/>
            <w:vAlign w:val="top"/>
          </w:tcPr>
          <w:p w14:paraId="6ACB8C1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15</w:t>
            </w:r>
          </w:p>
        </w:tc>
        <w:tc>
          <w:tcPr>
            <w:tcW w:w="2635" w:type="dxa"/>
            <w:noWrap w:val="0"/>
            <w:vAlign w:val="center"/>
          </w:tcPr>
          <w:p w14:paraId="421886B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3"/>
                <w:rFonts w:hint="eastAsia" w:ascii="新宋体" w:hAnsi="新宋体" w:eastAsia="新宋体" w:cs="新宋体"/>
                <w:b w:val="0"/>
                <w:bCs/>
                <w:spacing w:val="-4"/>
                <w:sz w:val="21"/>
                <w:szCs w:val="21"/>
                <w:vertAlign w:val="baseline"/>
                <w:lang w:val="en-US" w:eastAsia="zh-CN"/>
              </w:rPr>
            </w:pPr>
            <w:r>
              <w:rPr>
                <w:rStyle w:val="13"/>
                <w:rFonts w:hint="eastAsia" w:ascii="新宋体" w:hAnsi="新宋体" w:eastAsia="新宋体" w:cs="新宋体"/>
                <w:b w:val="0"/>
                <w:bCs/>
                <w:spacing w:val="-4"/>
                <w:sz w:val="21"/>
                <w:szCs w:val="21"/>
                <w:vertAlign w:val="baseline"/>
                <w:lang w:val="en-US" w:eastAsia="zh-CN"/>
              </w:rPr>
              <w:t>15</w:t>
            </w:r>
          </w:p>
        </w:tc>
      </w:tr>
    </w:tbl>
    <w:p w14:paraId="54BFDDE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640"/>
        <w:jc w:val="both"/>
        <w:rPr>
          <w:rStyle w:val="13"/>
          <w:rFonts w:hint="eastAsia" w:ascii="新宋体" w:hAnsi="新宋体" w:eastAsia="新宋体" w:cs="新宋体"/>
          <w:b w:val="0"/>
          <w:bCs/>
          <w:color w:val="auto"/>
          <w:spacing w:val="-4"/>
          <w:sz w:val="21"/>
          <w:szCs w:val="21"/>
          <w:lang w:val="en-US" w:eastAsia="zh-CN"/>
        </w:rPr>
      </w:pPr>
      <w:r>
        <w:rPr>
          <w:rStyle w:val="13"/>
          <w:rFonts w:hint="eastAsia" w:ascii="新宋体" w:hAnsi="新宋体" w:eastAsia="新宋体" w:cs="新宋体"/>
          <w:b w:val="0"/>
          <w:bCs/>
          <w:i w:val="0"/>
          <w:caps w:val="0"/>
          <w:color w:val="030303"/>
          <w:spacing w:val="0"/>
          <w:sz w:val="21"/>
          <w:szCs w:val="21"/>
          <w:shd w:val="clear" w:color="auto" w:fill="FFFFFF"/>
          <w:lang w:val="en-US" w:eastAsia="zh-CN"/>
        </w:rPr>
        <w:t xml:space="preserve">                                                 </w:t>
      </w:r>
      <w:r>
        <w:rPr>
          <w:rStyle w:val="13"/>
          <w:rFonts w:hint="eastAsia" w:ascii="新宋体" w:hAnsi="新宋体" w:eastAsia="新宋体" w:cs="新宋体"/>
          <w:i w:val="0"/>
          <w:caps w:val="0"/>
          <w:color w:val="030303"/>
          <w:spacing w:val="0"/>
          <w:sz w:val="21"/>
          <w:szCs w:val="21"/>
          <w:shd w:val="clear" w:color="auto" w:fill="FFFFFF"/>
          <w:lang w:val="en-US" w:eastAsia="zh-CN"/>
        </w:rPr>
        <w:t>合计分：</w:t>
      </w:r>
      <w:r>
        <w:rPr>
          <w:rStyle w:val="13"/>
          <w:rFonts w:hint="eastAsia" w:ascii="新宋体" w:hAnsi="新宋体" w:eastAsia="新宋体" w:cs="新宋体"/>
          <w:b w:val="0"/>
          <w:bCs/>
          <w:i w:val="0"/>
          <w:caps w:val="0"/>
          <w:color w:val="030303"/>
          <w:spacing w:val="0"/>
          <w:sz w:val="21"/>
          <w:szCs w:val="21"/>
          <w:shd w:val="clear" w:color="auto" w:fill="FFFFFF"/>
          <w:lang w:val="en-US" w:eastAsia="zh-CN"/>
        </w:rPr>
        <w:t xml:space="preserve">       100分</w:t>
      </w:r>
    </w:p>
    <w:p w14:paraId="340314E7">
      <w:pPr>
        <w:spacing w:line="600" w:lineRule="exact"/>
        <w:ind w:firstLine="600" w:firstLineChars="200"/>
        <w:rPr>
          <w:rFonts w:ascii="黑体" w:hAnsi="黑体" w:eastAsia="黑体"/>
        </w:rPr>
      </w:pPr>
      <w:r>
        <w:rPr>
          <w:rFonts w:hint="eastAsia" w:ascii="黑体" w:hAnsi="黑体" w:eastAsia="黑体"/>
        </w:rPr>
        <w:t>四、绩效评价指标分析</w:t>
      </w:r>
    </w:p>
    <w:p w14:paraId="177C87EC">
      <w:pPr>
        <w:spacing w:line="600" w:lineRule="exact"/>
        <w:ind w:firstLine="602" w:firstLineChars="200"/>
        <w:outlineLvl w:val="0"/>
        <w:rPr>
          <w:rFonts w:hint="eastAsia" w:ascii="仿宋_GB2312"/>
          <w:b/>
          <w:bCs/>
        </w:rPr>
      </w:pPr>
      <w:r>
        <w:rPr>
          <w:rFonts w:hint="eastAsia" w:ascii="仿宋_GB2312"/>
          <w:b/>
          <w:bCs/>
        </w:rPr>
        <w:t>（一）项目决策情况</w:t>
      </w:r>
    </w:p>
    <w:p w14:paraId="403D8AB6">
      <w:pPr>
        <w:spacing w:line="600" w:lineRule="exact"/>
        <w:ind w:firstLine="600" w:firstLineChars="200"/>
        <w:outlineLvl w:val="0"/>
        <w:rPr>
          <w:rFonts w:hint="default" w:ascii="仿宋_GB2312"/>
          <w:lang w:val="en-US" w:eastAsia="zh-CN"/>
        </w:rPr>
      </w:pPr>
      <w:r>
        <w:rPr>
          <w:rFonts w:hint="eastAsia" w:ascii="仿宋_GB2312"/>
          <w:lang w:val="en-US" w:eastAsia="zh-CN"/>
        </w:rPr>
        <w:t>项目立项：</w:t>
      </w:r>
      <w:r>
        <w:rPr>
          <w:rFonts w:hint="eastAsia" w:ascii="仿宋_GB2312"/>
          <w:lang w:eastAsia="zh-CN"/>
        </w:rPr>
        <w:t>贯彻落实自治区“八大产业集群”建设重大部署，立足我区资源禀赋、区位优势和发展基础，围绕油气生产加工产业集群、煤炭煤电煤化工产业集群、优势畜产品产业集群、绿色矿业产业集群、新能源新材料等战略性新兴产业链集群建设需要，开展</w:t>
      </w:r>
      <w:r>
        <w:rPr>
          <w:rFonts w:hint="eastAsia" w:ascii="仿宋_GB2312"/>
          <w:lang w:val="en-US" w:eastAsia="zh-CN"/>
        </w:rPr>
        <w:t>重点产业集群“集聚提升”产业链“建链成链”支持体系课题研究进行项目技术咨询。</w:t>
      </w:r>
    </w:p>
    <w:p w14:paraId="4AA8813B">
      <w:pPr>
        <w:spacing w:line="600" w:lineRule="exact"/>
        <w:ind w:firstLine="600" w:firstLineChars="200"/>
        <w:outlineLvl w:val="0"/>
        <w:rPr>
          <w:rFonts w:hint="eastAsia" w:ascii="仿宋_GB2312"/>
          <w:lang w:val="en-US" w:eastAsia="zh-CN"/>
        </w:rPr>
      </w:pPr>
      <w:r>
        <w:rPr>
          <w:rFonts w:hint="eastAsia" w:ascii="仿宋_GB2312"/>
          <w:lang w:val="en-US" w:eastAsia="zh-CN"/>
        </w:rPr>
        <w:t>资金投入：</w:t>
      </w:r>
      <w:r>
        <w:rPr>
          <w:rFonts w:hint="eastAsia" w:ascii="仿宋_GB2312"/>
          <w:lang w:eastAsia="zh-CN"/>
        </w:rPr>
        <w:t>根据《</w:t>
      </w:r>
      <w:r>
        <w:rPr>
          <w:rFonts w:hint="eastAsia" w:ascii="仿宋_GB2312"/>
          <w:lang w:val="en-US" w:eastAsia="zh-CN"/>
        </w:rPr>
        <w:t>重点产业集群“集聚提升”产业链“建链成链”支持体系课题研究</w:t>
      </w:r>
      <w:r>
        <w:rPr>
          <w:rFonts w:hint="eastAsia" w:ascii="仿宋_GB2312"/>
          <w:lang w:eastAsia="zh-CN"/>
        </w:rPr>
        <w:t>》</w:t>
      </w:r>
      <w:r>
        <w:rPr>
          <w:rFonts w:hint="eastAsia" w:ascii="仿宋_GB2312"/>
          <w:lang w:val="en-US" w:eastAsia="zh-CN"/>
        </w:rPr>
        <w:t>费用明细预算表</w:t>
      </w:r>
      <w:r>
        <w:rPr>
          <w:rFonts w:hint="eastAsia" w:ascii="仿宋_GB2312"/>
          <w:lang w:eastAsia="zh-CN"/>
        </w:rPr>
        <w:t>细化明确了项目实施内容的资金投入使用量，预算内容与预算项目内容较匹配，未发现无关支出内容。资金分配额度与审定的预算编制金额相同，资金分配拨付依据充分、合理。</w:t>
      </w:r>
    </w:p>
    <w:p w14:paraId="3D873F2C">
      <w:pPr>
        <w:spacing w:line="600" w:lineRule="exact"/>
        <w:ind w:firstLine="602" w:firstLineChars="200"/>
        <w:outlineLvl w:val="0"/>
        <w:rPr>
          <w:rFonts w:hint="eastAsia" w:ascii="仿宋_GB2312"/>
          <w:b/>
          <w:bCs/>
        </w:rPr>
      </w:pPr>
      <w:r>
        <w:rPr>
          <w:rFonts w:hint="eastAsia" w:ascii="仿宋_GB2312"/>
          <w:b/>
          <w:bCs/>
        </w:rPr>
        <w:t>（二）项目过程情况。</w:t>
      </w:r>
    </w:p>
    <w:p w14:paraId="1842703D">
      <w:pPr>
        <w:spacing w:line="600" w:lineRule="exact"/>
        <w:ind w:firstLine="600" w:firstLineChars="200"/>
        <w:outlineLvl w:val="0"/>
        <w:rPr>
          <w:rFonts w:hint="eastAsia" w:ascii="仿宋_GB2312" w:hAnsi="Times New Roman" w:cs="Times New Roman"/>
          <w:lang w:eastAsia="zh-CN"/>
        </w:rPr>
      </w:pPr>
      <w:r>
        <w:rPr>
          <w:rFonts w:hint="eastAsia" w:ascii="仿宋_GB2312" w:hAnsi="Times New Roman" w:cs="Times New Roman"/>
          <w:lang w:eastAsia="zh-CN"/>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13D20F12">
      <w:pPr>
        <w:numPr>
          <w:ilvl w:val="0"/>
          <w:numId w:val="2"/>
        </w:numPr>
        <w:spacing w:line="600" w:lineRule="exact"/>
        <w:ind w:left="0" w:leftChars="0" w:firstLine="602" w:firstLineChars="200"/>
        <w:outlineLvl w:val="0"/>
        <w:rPr>
          <w:rFonts w:hint="eastAsia" w:ascii="仿宋_GB2312"/>
          <w:b/>
          <w:bCs/>
        </w:rPr>
      </w:pPr>
      <w:r>
        <w:rPr>
          <w:rFonts w:hint="eastAsia" w:ascii="仿宋_GB2312"/>
          <w:b/>
          <w:bCs/>
        </w:rPr>
        <w:t>项目产出情况。</w:t>
      </w:r>
    </w:p>
    <w:p w14:paraId="350A23AC">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数量指标分析：研究课题报告数量5个，指标值：5个，实际完成值：5个，指标完成率100%。</w:t>
      </w:r>
    </w:p>
    <w:p w14:paraId="08A8AB48">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质量指标分析：课题验收合格率，指标值：100%，实际完成值：100%，指标完成率100%。</w:t>
      </w:r>
    </w:p>
    <w:p w14:paraId="6D0395B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时效指标分析：指标1：及时率，指标值：100%，实际完成值：100%，指标完成率100%；指标2：项目完成时间，指标值：2023年12月20日之前，实际完成值：2023年12月20日之前，指标完成率100%。</w:t>
      </w:r>
    </w:p>
    <w:p w14:paraId="1E7C390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成本指标分析：项目总额，指标值：49.58万元，实际完成值：49.58万元，指标完成率100%。</w:t>
      </w:r>
    </w:p>
    <w:p w14:paraId="2B4135DF">
      <w:pPr>
        <w:numPr>
          <w:ilvl w:val="0"/>
          <w:numId w:val="2"/>
        </w:numPr>
        <w:spacing w:line="600" w:lineRule="exact"/>
        <w:ind w:left="0" w:leftChars="0" w:firstLine="602" w:firstLineChars="200"/>
        <w:outlineLvl w:val="0"/>
        <w:rPr>
          <w:rFonts w:hint="eastAsia" w:ascii="仿宋_GB2312"/>
          <w:b/>
          <w:bCs/>
        </w:rPr>
      </w:pPr>
      <w:r>
        <w:rPr>
          <w:rFonts w:hint="eastAsia" w:ascii="仿宋_GB2312"/>
          <w:b/>
          <w:bCs/>
        </w:rPr>
        <w:t>项目效益情况。</w:t>
      </w:r>
    </w:p>
    <w:p w14:paraId="02530593">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经济效益指标分析：指导产业集聚和产业链发展。指标值有效推进，实际完成值：100%，指标完成率100%；</w:t>
      </w:r>
    </w:p>
    <w:p w14:paraId="66BE9F63">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社会效益指标分析：产业现代化水平稳步提高。指标值有效推进，实际完成值：100%，指标完成率100%；</w:t>
      </w:r>
    </w:p>
    <w:p w14:paraId="4607E39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600" w:firstLineChars="200"/>
        <w:jc w:val="both"/>
        <w:textAlignment w:val="auto"/>
        <w:outlineLvl w:val="9"/>
        <w:rPr>
          <w:rFonts w:hint="default" w:ascii="仿宋_GB2312" w:hAnsi="Times New Roman" w:cs="Times New Roman"/>
          <w:lang w:val="en-US" w:eastAsia="zh-CN"/>
        </w:rPr>
      </w:pPr>
      <w:r>
        <w:rPr>
          <w:rFonts w:hint="eastAsia" w:ascii="仿宋_GB2312" w:hAnsi="Times New Roman" w:cs="Times New Roman"/>
          <w:lang w:val="en-US" w:eastAsia="zh-CN"/>
        </w:rPr>
        <w:t>满意度指标分析：工信厅产业政策达到满意，进行项目合格验收。指标值：100%，实际完成值：100%，指标完成率100%。</w:t>
      </w:r>
    </w:p>
    <w:p w14:paraId="2446BD05">
      <w:pPr>
        <w:spacing w:line="600" w:lineRule="exact"/>
        <w:ind w:firstLine="600" w:firstLineChars="200"/>
        <w:rPr>
          <w:rFonts w:hint="eastAsia" w:ascii="黑体" w:hAnsi="黑体" w:eastAsia="黑体"/>
        </w:rPr>
      </w:pPr>
      <w:r>
        <w:rPr>
          <w:rFonts w:hint="eastAsia" w:ascii="黑体" w:hAnsi="黑体" w:eastAsia="黑体"/>
        </w:rPr>
        <w:t>五、主要经验及做法、存在的问题及原因分析</w:t>
      </w:r>
    </w:p>
    <w:p w14:paraId="3571361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黑体" w:hAnsi="黑体" w:eastAsia="黑体"/>
        </w:rPr>
      </w:pPr>
      <w:r>
        <w:rPr>
          <w:rFonts w:hint="eastAsia" w:ascii="仿宋_GB2312"/>
          <w:lang w:eastAsia="zh-CN"/>
        </w:rPr>
        <w:t>绩效评价是一个系统专业性的工作，对评价主体能力要求较高。我处缺乏绩效评价专业人才，专业知识储备不足，绩效评价的科学性和规范性还有待进一步提高。</w:t>
      </w:r>
    </w:p>
    <w:p w14:paraId="1BE17B55">
      <w:pPr>
        <w:numPr>
          <w:ilvl w:val="0"/>
          <w:numId w:val="5"/>
        </w:numPr>
        <w:spacing w:line="600" w:lineRule="exact"/>
        <w:ind w:firstLine="600" w:firstLineChars="200"/>
        <w:rPr>
          <w:rFonts w:hint="eastAsia" w:ascii="黑体" w:hAnsi="黑体" w:eastAsia="黑体"/>
        </w:rPr>
      </w:pPr>
      <w:r>
        <w:rPr>
          <w:rFonts w:hint="eastAsia" w:ascii="黑体" w:hAnsi="黑体" w:eastAsia="黑体"/>
        </w:rPr>
        <w:t>有关建议</w:t>
      </w:r>
    </w:p>
    <w:p w14:paraId="592345C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黑体" w:hAnsi="黑体" w:eastAsia="黑体"/>
        </w:rPr>
      </w:pPr>
      <w:r>
        <w:rPr>
          <w:rFonts w:hint="eastAsia" w:ascii="仿宋_GB2312"/>
          <w:lang w:eastAsia="zh-CN"/>
        </w:rPr>
        <w:t>加强我处绩效工作人员的队伍建设，加强绩效评价人员自身业务学习，加强绩效评价和工作培训，着重对有关政策、制度和操作规程等方面内容的学习，不断提高绩效评价业务水平。</w:t>
      </w:r>
    </w:p>
    <w:p w14:paraId="2348943E">
      <w:pPr>
        <w:numPr>
          <w:ilvl w:val="0"/>
          <w:numId w:val="5"/>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14:paraId="4E8CC1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仿宋_GB2312"/>
          <w:lang w:eastAsia="zh-CN"/>
        </w:rPr>
      </w:pPr>
      <w:r>
        <w:rPr>
          <w:rFonts w:hint="eastAsia" w:ascii="仿宋_GB2312"/>
          <w:lang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F3E6E"/>
    <w:multiLevelType w:val="singleLevel"/>
    <w:tmpl w:val="F7EF3E6E"/>
    <w:lvl w:ilvl="0" w:tentative="0">
      <w:start w:val="6"/>
      <w:numFmt w:val="chineseCounting"/>
      <w:suff w:val="nothing"/>
      <w:lvlText w:val="%1、"/>
      <w:lvlJc w:val="left"/>
      <w:rPr>
        <w:rFonts w:hint="eastAsia"/>
      </w:rPr>
    </w:lvl>
  </w:abstractNum>
  <w:abstractNum w:abstractNumId="1">
    <w:nsid w:val="27813159"/>
    <w:multiLevelType w:val="singleLevel"/>
    <w:tmpl w:val="27813159"/>
    <w:lvl w:ilvl="0" w:tentative="0">
      <w:start w:val="3"/>
      <w:numFmt w:val="chineseCounting"/>
      <w:suff w:val="nothing"/>
      <w:lvlText w:val="（%1）"/>
      <w:lvlJc w:val="left"/>
      <w:pPr>
        <w:ind w:left="-711"/>
      </w:pPr>
      <w:rPr>
        <w:rFonts w:hint="eastAsia"/>
      </w:rPr>
    </w:lvl>
  </w:abstractNum>
  <w:abstractNum w:abstractNumId="2">
    <w:nsid w:val="38F0C646"/>
    <w:multiLevelType w:val="singleLevel"/>
    <w:tmpl w:val="38F0C646"/>
    <w:lvl w:ilvl="0" w:tentative="0">
      <w:start w:val="1"/>
      <w:numFmt w:val="decimal"/>
      <w:suff w:val="nothing"/>
      <w:lvlText w:val="%1、"/>
      <w:lvlJc w:val="left"/>
    </w:lvl>
  </w:abstractNum>
  <w:abstractNum w:abstractNumId="3">
    <w:nsid w:val="4E60483E"/>
    <w:multiLevelType w:val="singleLevel"/>
    <w:tmpl w:val="4E60483E"/>
    <w:lvl w:ilvl="0" w:tentative="0">
      <w:start w:val="1"/>
      <w:numFmt w:val="decimal"/>
      <w:pStyle w:val="4"/>
      <w:lvlText w:val="%1."/>
      <w:lvlJc w:val="left"/>
      <w:pPr>
        <w:ind w:left="425" w:hanging="425"/>
      </w:pPr>
      <w:rPr>
        <w:rFonts w:hint="default"/>
      </w:rPr>
    </w:lvl>
  </w:abstractNum>
  <w:abstractNum w:abstractNumId="4">
    <w:nsid w:val="6D6B98B4"/>
    <w:multiLevelType w:val="singleLevel"/>
    <w:tmpl w:val="6D6B98B4"/>
    <w:lvl w:ilvl="0" w:tentative="0">
      <w:start w:val="2"/>
      <w:numFmt w:val="chineseCounting"/>
      <w:suff w:val="nothing"/>
      <w:lvlText w:val="（%1）"/>
      <w:lvlJc w:val="left"/>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20A688C"/>
    <w:rsid w:val="03920A67"/>
    <w:rsid w:val="05421CBE"/>
    <w:rsid w:val="062C3667"/>
    <w:rsid w:val="06FD4082"/>
    <w:rsid w:val="08893A61"/>
    <w:rsid w:val="09CB394B"/>
    <w:rsid w:val="0A8A2498"/>
    <w:rsid w:val="0BAA44FB"/>
    <w:rsid w:val="0C043A37"/>
    <w:rsid w:val="0C44103F"/>
    <w:rsid w:val="0D2B61B4"/>
    <w:rsid w:val="0D496892"/>
    <w:rsid w:val="0E314408"/>
    <w:rsid w:val="10993435"/>
    <w:rsid w:val="13A7230D"/>
    <w:rsid w:val="194B4244"/>
    <w:rsid w:val="1BB557B4"/>
    <w:rsid w:val="1D887018"/>
    <w:rsid w:val="1EE12B77"/>
    <w:rsid w:val="1F0B55D3"/>
    <w:rsid w:val="21727536"/>
    <w:rsid w:val="228E4DC3"/>
    <w:rsid w:val="22D76E3C"/>
    <w:rsid w:val="25B73895"/>
    <w:rsid w:val="26A64EF3"/>
    <w:rsid w:val="28553470"/>
    <w:rsid w:val="28EC2D9D"/>
    <w:rsid w:val="29232042"/>
    <w:rsid w:val="2BB4371F"/>
    <w:rsid w:val="2CAD4098"/>
    <w:rsid w:val="2E0912E9"/>
    <w:rsid w:val="2F5E2961"/>
    <w:rsid w:val="2FFE67B2"/>
    <w:rsid w:val="30A73F55"/>
    <w:rsid w:val="318B26F6"/>
    <w:rsid w:val="31E83DC4"/>
    <w:rsid w:val="373947CF"/>
    <w:rsid w:val="3A042F5F"/>
    <w:rsid w:val="3A573895"/>
    <w:rsid w:val="3D618B89"/>
    <w:rsid w:val="3E1B517A"/>
    <w:rsid w:val="3F6F51DD"/>
    <w:rsid w:val="3F7647BE"/>
    <w:rsid w:val="3FB7A9C9"/>
    <w:rsid w:val="3FCF47CD"/>
    <w:rsid w:val="3FD31352"/>
    <w:rsid w:val="3FE10AA4"/>
    <w:rsid w:val="3FFE296B"/>
    <w:rsid w:val="42B376D7"/>
    <w:rsid w:val="444277F7"/>
    <w:rsid w:val="45684BA8"/>
    <w:rsid w:val="459C7A87"/>
    <w:rsid w:val="45EC0627"/>
    <w:rsid w:val="47282841"/>
    <w:rsid w:val="482A0E22"/>
    <w:rsid w:val="4A5E5CDE"/>
    <w:rsid w:val="4C3D7493"/>
    <w:rsid w:val="522A0786"/>
    <w:rsid w:val="533D3179"/>
    <w:rsid w:val="535215C1"/>
    <w:rsid w:val="56456C59"/>
    <w:rsid w:val="56AA486E"/>
    <w:rsid w:val="5809221B"/>
    <w:rsid w:val="582157B7"/>
    <w:rsid w:val="58EB7B73"/>
    <w:rsid w:val="59C363FA"/>
    <w:rsid w:val="59D4560A"/>
    <w:rsid w:val="5BBFE1CF"/>
    <w:rsid w:val="5CB47F49"/>
    <w:rsid w:val="5D1256CE"/>
    <w:rsid w:val="5DB401E5"/>
    <w:rsid w:val="5E135BA1"/>
    <w:rsid w:val="5E9F5267"/>
    <w:rsid w:val="5F2F4A03"/>
    <w:rsid w:val="5F6EDDFE"/>
    <w:rsid w:val="62516C98"/>
    <w:rsid w:val="68C47A98"/>
    <w:rsid w:val="6AB988CB"/>
    <w:rsid w:val="6B9A256C"/>
    <w:rsid w:val="6DFD1A82"/>
    <w:rsid w:val="6F7B4184"/>
    <w:rsid w:val="6FFE05D1"/>
    <w:rsid w:val="6FFF0985"/>
    <w:rsid w:val="70B0102E"/>
    <w:rsid w:val="71124AAC"/>
    <w:rsid w:val="71645FBD"/>
    <w:rsid w:val="725325B9"/>
    <w:rsid w:val="729D386D"/>
    <w:rsid w:val="72C52065"/>
    <w:rsid w:val="734F0857"/>
    <w:rsid w:val="73F69B9E"/>
    <w:rsid w:val="75247295"/>
    <w:rsid w:val="7626C8BA"/>
    <w:rsid w:val="76567916"/>
    <w:rsid w:val="77F2D7B6"/>
    <w:rsid w:val="785E6AE0"/>
    <w:rsid w:val="79FD4F9A"/>
    <w:rsid w:val="7B7B8238"/>
    <w:rsid w:val="7BA85CFD"/>
    <w:rsid w:val="7C666720"/>
    <w:rsid w:val="7CAD4FBB"/>
    <w:rsid w:val="7DEF89C2"/>
    <w:rsid w:val="7DFA6951"/>
    <w:rsid w:val="7E5ED2BE"/>
    <w:rsid w:val="7E857F9E"/>
    <w:rsid w:val="7F166E48"/>
    <w:rsid w:val="7FBB79EF"/>
    <w:rsid w:val="7FDF3784"/>
    <w:rsid w:val="7FF327F2"/>
    <w:rsid w:val="97A807C7"/>
    <w:rsid w:val="97BF17EF"/>
    <w:rsid w:val="9F3F9F08"/>
    <w:rsid w:val="B4BDEF2B"/>
    <w:rsid w:val="B76F572E"/>
    <w:rsid w:val="B9F7ED72"/>
    <w:rsid w:val="BA77D78C"/>
    <w:rsid w:val="BF772824"/>
    <w:rsid w:val="BFBDC887"/>
    <w:rsid w:val="DDB7A16F"/>
    <w:rsid w:val="DFEE7183"/>
    <w:rsid w:val="E56B3FDC"/>
    <w:rsid w:val="EBDD0331"/>
    <w:rsid w:val="EBF69BC1"/>
    <w:rsid w:val="EEBF8B50"/>
    <w:rsid w:val="F75F6176"/>
    <w:rsid w:val="F76FC291"/>
    <w:rsid w:val="F7CBCF4A"/>
    <w:rsid w:val="FB1F9584"/>
    <w:rsid w:val="FBE7F216"/>
    <w:rsid w:val="FBFFB181"/>
    <w:rsid w:val="FD4F8A2F"/>
    <w:rsid w:val="FDABDF6E"/>
    <w:rsid w:val="FDECBC90"/>
    <w:rsid w:val="FE3F79A9"/>
    <w:rsid w:val="FFF9452E"/>
    <w:rsid w:val="FFFB6A6D"/>
    <w:rsid w:val="FFFCD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2"/>
    <w:basedOn w:val="1"/>
    <w:next w:val="1"/>
    <w:semiHidden/>
    <w:unhideWhenUsed/>
    <w:qFormat/>
    <w:uiPriority w:val="0"/>
    <w:pPr>
      <w:keepNext/>
      <w:keepLines/>
      <w:numPr>
        <w:ilvl w:val="0"/>
        <w:numId w:val="1"/>
      </w:numPr>
      <w:outlineLvl w:val="1"/>
    </w:pPr>
    <w:rPr>
      <w:rFonts w:ascii="宋体" w:hAnsi="宋体" w:eastAsia="宋体" w:cs="黑体"/>
      <w:b/>
      <w:sz w:val="30"/>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both"/>
    </w:pPr>
    <w:rPr>
      <w:color w:val="000000"/>
    </w:rPr>
  </w:style>
  <w:style w:type="paragraph" w:styleId="3">
    <w:name w:val="Body Text Indent"/>
    <w:basedOn w:val="1"/>
    <w:qFormat/>
    <w:uiPriority w:val="0"/>
    <w:pPr>
      <w:spacing w:line="360" w:lineRule="auto"/>
      <w:ind w:firstLine="540"/>
      <w:jc w:val="left"/>
    </w:pPr>
    <w:rPr>
      <w:rFonts w:ascii="仿宋_GB2312" w:eastAsia="仿宋_GB2312"/>
      <w:sz w:val="32"/>
      <w:szCs w:val="32"/>
    </w:rPr>
  </w:style>
  <w:style w:type="paragraph" w:styleId="6">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Title"/>
    <w:basedOn w:val="1"/>
    <w:next w:val="1"/>
    <w:qFormat/>
    <w:uiPriority w:val="10"/>
    <w:pPr>
      <w:widowControl/>
      <w:spacing w:before="240" w:after="60"/>
      <w:jc w:val="center"/>
      <w:outlineLvl w:val="0"/>
    </w:pPr>
    <w:rPr>
      <w:rFonts w:ascii="Calibri Light" w:hAnsi="Calibri Light" w:eastAsia="宋体"/>
      <w:b/>
      <w:bCs/>
      <w:kern w:val="28"/>
      <w:sz w:val="32"/>
      <w:szCs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ascii="Times New Roman" w:hAnsi="Times New Roman" w:eastAsia="宋体"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5609</Words>
  <Characters>5737</Characters>
  <Lines>0</Lines>
  <Paragraphs>0</Paragraphs>
  <TotalTime>0</TotalTime>
  <ScaleCrop>false</ScaleCrop>
  <LinksUpToDate>false</LinksUpToDate>
  <CharactersWithSpaces>5817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2024-03-04T13:11:00Z</dcterms:created>
  <dc:creator>Administrator</dc:creator>
  <cp:lastModifiedBy>岁月无痕</cp:lastModifiedBy>
  <cp:lastPrinted>2024-03-04T19:32:00Z</cp:lastPrinted>
  <dcterms:modified xsi:type="dcterms:W3CDTF">2024-08-09T08:58:48Z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