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ascii="Times New Roman" w:hAnsi="Times New Roman" w:eastAsia="方正小标宋_GBK" w:cs="Times New Roman"/>
          <w:kern w:val="0"/>
          <w:sz w:val="48"/>
          <w:szCs w:val="48"/>
          <w:lang w:val="en-US" w:eastAsia="zh-CN"/>
        </w:rPr>
      </w:pPr>
      <w:r>
        <w:rPr>
          <w:rFonts w:hint="eastAsia" w:ascii="Times New Roman" w:hAnsi="Times New Roman" w:eastAsia="方正小标宋_GBK" w:cs="Times New Roman"/>
          <w:kern w:val="0"/>
          <w:sz w:val="48"/>
          <w:szCs w:val="48"/>
          <w:lang w:val="en-US" w:eastAsia="zh-CN"/>
        </w:rPr>
        <w:t>国家重大工业节能专项监察项目</w:t>
      </w:r>
    </w:p>
    <w:p>
      <w:pPr>
        <w:spacing w:line="540" w:lineRule="exact"/>
        <w:ind w:firstLine="1440" w:firstLineChars="300"/>
        <w:jc w:val="both"/>
        <w:rPr>
          <w:rFonts w:eastAsia="方正小标宋_GBK"/>
          <w:kern w:val="0"/>
          <w:sz w:val="48"/>
          <w:szCs w:val="48"/>
        </w:rPr>
      </w:pP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0"/>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val="en-US" w:eastAsia="zh-CN"/>
        </w:rPr>
        <w:t>国家重大工业节能专项监察项目</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lang w:val="en-US" w:eastAsia="zh-CN"/>
        </w:rPr>
        <w:t>新疆维吾尔自治区节能监察总队</w:t>
      </w:r>
    </w:p>
    <w:p>
      <w:pPr>
        <w:spacing w:line="700" w:lineRule="exact"/>
        <w:ind w:firstLine="1440" w:firstLineChars="400"/>
        <w:jc w:val="left"/>
        <w:rPr>
          <w:rFonts w:hint="default" w:ascii="Times New Roman" w:hAnsi="Times New Roman" w:eastAsia="仿宋_GB2312" w:cs="Times New Roman"/>
          <w:kern w:val="0"/>
          <w:sz w:val="36"/>
          <w:szCs w:val="36"/>
          <w:lang w:val="en-US"/>
        </w:rPr>
      </w:pPr>
      <w:r>
        <w:rPr>
          <w:rFonts w:ascii="Times New Roman" w:hAnsi="Times New Roman" w:eastAsia="仿宋_GB2312" w:cs="Times New Roman"/>
          <w:kern w:val="0"/>
          <w:sz w:val="36"/>
          <w:szCs w:val="36"/>
        </w:rPr>
        <w:t>主管部门（公章）</w:t>
      </w:r>
      <w:r>
        <w:rPr>
          <w:rFonts w:hint="eastAsia" w:ascii="Times New Roman" w:hAnsi="Times New Roman" w:eastAsia="仿宋_GB2312" w:cs="Times New Roman"/>
          <w:kern w:val="0"/>
          <w:sz w:val="36"/>
          <w:szCs w:val="36"/>
          <w:lang w:eastAsia="zh-CN"/>
        </w:rPr>
        <w:t>：</w:t>
      </w:r>
      <w:r>
        <w:rPr>
          <w:rFonts w:hint="eastAsia" w:ascii="Times New Roman" w:hAnsi="Times New Roman" w:eastAsia="仿宋_GB2312" w:cs="Times New Roman"/>
          <w:kern w:val="0"/>
          <w:sz w:val="36"/>
          <w:szCs w:val="36"/>
          <w:lang w:val="en-US" w:eastAsia="zh-CN"/>
        </w:rPr>
        <w:t>新疆维吾尔自治区工业和信息化厅</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val="en-US" w:eastAsia="zh-CN"/>
        </w:rPr>
        <w:t>徐明</w:t>
      </w:r>
    </w:p>
    <w:p>
      <w:pPr>
        <w:spacing w:line="700" w:lineRule="exact"/>
        <w:ind w:firstLine="1440" w:firstLineChars="400"/>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填报时间：</w:t>
      </w:r>
      <w:r>
        <w:rPr>
          <w:rFonts w:hint="eastAsia" w:ascii="Times New Roman" w:hAnsi="Times New Roman" w:eastAsia="仿宋_GB2312" w:cs="Times New Roman"/>
          <w:kern w:val="0"/>
          <w:sz w:val="36"/>
          <w:szCs w:val="36"/>
          <w:lang w:val="en-US" w:eastAsia="zh-CN"/>
        </w:rPr>
        <w:t>2024</w:t>
      </w:r>
      <w:r>
        <w:rPr>
          <w:rFonts w:ascii="Times New Roman" w:hAnsi="Times New Roman" w:eastAsia="仿宋_GB2312" w:cs="Times New Roman"/>
          <w:kern w:val="0"/>
          <w:sz w:val="36"/>
          <w:szCs w:val="36"/>
        </w:rPr>
        <w:t>年</w:t>
      </w:r>
      <w:r>
        <w:rPr>
          <w:rFonts w:hint="eastAsia" w:ascii="Times New Roman" w:hAnsi="Times New Roman" w:eastAsia="仿宋_GB2312" w:cs="Times New Roman"/>
          <w:kern w:val="0"/>
          <w:sz w:val="36"/>
          <w:szCs w:val="36"/>
          <w:lang w:val="en-US" w:eastAsia="zh-CN"/>
        </w:rPr>
        <w:t>5</w:t>
      </w:r>
      <w:r>
        <w:rPr>
          <w:rFonts w:ascii="Times New Roman" w:hAnsi="Times New Roman" w:eastAsia="仿宋_GB2312" w:cs="Times New Roman"/>
          <w:kern w:val="0"/>
          <w:sz w:val="36"/>
          <w:szCs w:val="36"/>
        </w:rPr>
        <w:t>月</w:t>
      </w:r>
      <w:r>
        <w:rPr>
          <w:rFonts w:hint="eastAsia" w:ascii="Times New Roman" w:hAnsi="Times New Roman" w:eastAsia="仿宋_GB2312" w:cs="Times New Roman"/>
          <w:kern w:val="0"/>
          <w:sz w:val="36"/>
          <w:szCs w:val="36"/>
          <w:lang w:val="en-US" w:eastAsia="zh-CN"/>
        </w:rPr>
        <w:t>10</w:t>
      </w:r>
      <w:r>
        <w:rPr>
          <w:rFonts w:ascii="Times New Roman" w:hAnsi="Times New Roman" w:eastAsia="仿宋_GB2312" w:cs="Times New Roman"/>
          <w:kern w:val="0"/>
          <w:sz w:val="36"/>
          <w:szCs w:val="36"/>
        </w:rPr>
        <w:t>日</w:t>
      </w:r>
    </w:p>
    <w:p>
      <w:pPr>
        <w:spacing w:line="540" w:lineRule="exact"/>
        <w:jc w:val="center"/>
        <w:rPr>
          <w:rFonts w:eastAsia="仿宋_GB2312"/>
          <w:kern w:val="0"/>
          <w:sz w:val="30"/>
          <w:szCs w:val="30"/>
        </w:rPr>
      </w:pPr>
    </w:p>
    <w:p>
      <w:pPr>
        <w:spacing w:line="540" w:lineRule="exact"/>
        <w:rPr>
          <w:rStyle w:val="15"/>
          <w:rFonts w:eastAsia="黑体"/>
          <w:b w:val="0"/>
          <w:spacing w:val="-4"/>
          <w:sz w:val="32"/>
          <w:szCs w:val="32"/>
        </w:rPr>
      </w:pPr>
    </w:p>
    <w:p>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依据《工业和信息化部关于印发&lt;工业节能监察体制机制建设项目管理暂行办法&gt;的通知》（工信部节〔2016〕228号）及自治区党委、政府关于“碳达峰、碳中和”工作部署，开展重点用能企业节能监察工作。该项目4.06万资金来源于中华人民共和国工业和信息化部当年度拨付，28.74万资金来源于上年度结转结余资金，为开展国家重大工业节能专项监察项目工作提供必要的经费保障。</w:t>
      </w:r>
    </w:p>
    <w:p>
      <w:pPr>
        <w:pStyle w:val="10"/>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主要内容：为贯彻落实《中华人民共和国节约能源法》、《工业节能管理办法》和国家相关强制性节能标准，充分发挥节能监察的监督保障作用，持续提高工业能效和绿色发展水平，拓展工业发展的能源资源空间，助推工业经济高质量发展，助力实现碳达峰和碳中和目标，完成国家重大工业节能专项监察任务。</w:t>
      </w:r>
    </w:p>
    <w:p>
      <w:pP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eastAsia="仿宋_GB2312"/>
          <w:sz w:val="32"/>
          <w:szCs w:val="32"/>
        </w:rPr>
        <w:t>项目实施情况：</w:t>
      </w:r>
      <w:r>
        <w:rPr>
          <w:rFonts w:hint="eastAsia" w:ascii="仿宋_GB2312" w:hAnsi="仿宋_GB2312" w:eastAsia="仿宋_GB2312" w:cs="仿宋_GB2312"/>
          <w:sz w:val="32"/>
          <w:szCs w:val="32"/>
          <w:highlight w:val="none"/>
          <w:lang w:val="en-US" w:eastAsia="zh-CN"/>
        </w:rPr>
        <w:t>2023年，总队按照国家工信部和自治区工信厅的安排部署，聚焦重点行业，对标节能法律法规和能耗限额标准，克服区域广、人员少、力量弱等困难，合理分工，周密安排，圆满完成全年节能监察任务。全年完成现场监察企业92家，实现了自治区钢铁、水泥、有色冶炼、硅冶炼等行业企业和大型以上数据中心节能监察全覆盖，实现了乌昌地区石油化工行业重点用能企业节能监察全覆盖。发现违反节能法律、法规、规章和强制性节能标准企业共22家，1家企业能源计量器具配备不符合要求，无法核算单位产品能耗，9家水泥企业36项能耗指标未达标，14家企业存在使用国家明令淘汰主要用能设备，其中落后电动机1900台，功率合计104044.05kW，落后变压器35台，容量合计54705kVA。以上违规企业已责令限期整改。</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该项目年初预算数50.3万元，全年预算数50.3万元，实际总投入32.8万元，该项目资金仅到位32.8万元，资金来源为工信部拨入4.06万元及以前年度结转结余28.74万元。</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该项目年初预算数50.3万元，全年预算数50.3万元,，全年执行数32.8万元，预算执行率为65.21%，主要用于：支付项目开展进程中的各项费用。</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为贯彻落实《中华人民共和国节约能源法》、《工业节能管理办法》和国家相关强制性节能标准，充分发挥节能监察的监督保障作用，持续提高工业能效和绿色发展水平，拓宽工业发展的能源资源空间，助推工业经济高质量发展，助力实现碳达峰和碳中和目标,完成国家重大工业节能专项监察任务。通过国家重大工业节能专项监察项目，提高我区工业企业绿色发展意识，提升工业绿色发展水平，促进工业能耗持续下降。</w:t>
      </w:r>
    </w:p>
    <w:p>
      <w:pPr>
        <w:spacing w:line="560" w:lineRule="exact"/>
        <w:ind w:firstLine="640" w:firstLineChars="200"/>
        <w:rPr>
          <w:rFonts w:hint="eastAsia" w:ascii="仿宋_GB2312" w:hAnsi="仿宋_GB2312" w:eastAsia="仿宋_GB2312" w:cs="仿宋_GB2312"/>
          <w:color w:val="FF0000"/>
          <w:sz w:val="30"/>
          <w:szCs w:val="30"/>
          <w:highlight w:val="none"/>
          <w:lang w:val="en-US" w:eastAsia="zh-CN"/>
        </w:rPr>
      </w:pPr>
      <w:r>
        <w:rPr>
          <w:rFonts w:eastAsia="仿宋_GB2312"/>
          <w:sz w:val="32"/>
          <w:szCs w:val="32"/>
        </w:rPr>
        <w:t>2、阶段性目标</w:t>
      </w:r>
    </w:p>
    <w:p>
      <w:pPr>
        <w:widowControl/>
        <w:spacing w:line="540" w:lineRule="exact"/>
        <w:ind w:firstLine="640" w:firstLineChars="200"/>
        <w:rPr>
          <w:rFonts w:eastAsia="仿宋_GB2312"/>
          <w:color w:val="auto"/>
          <w:sz w:val="32"/>
          <w:szCs w:val="32"/>
        </w:rPr>
      </w:pPr>
      <w:r>
        <w:rPr>
          <w:rFonts w:eastAsia="仿宋_GB2312"/>
          <w:color w:val="auto"/>
          <w:sz w:val="32"/>
          <w:szCs w:val="32"/>
        </w:rPr>
        <w:t>（1）前期准备：制定</w:t>
      </w:r>
      <w:r>
        <w:rPr>
          <w:rFonts w:hint="eastAsia" w:ascii="Times New Roman" w:hAnsi="Times New Roman" w:eastAsia="仿宋_GB2312" w:cs="Times New Roman"/>
          <w:color w:val="auto"/>
          <w:sz w:val="32"/>
          <w:szCs w:val="32"/>
          <w:lang w:val="en-US" w:eastAsia="zh-CN"/>
        </w:rPr>
        <w:t>国家重大工业节能专项监察项目</w:t>
      </w:r>
      <w:r>
        <w:rPr>
          <w:rFonts w:eastAsia="仿宋_GB2312"/>
          <w:color w:val="auto"/>
          <w:sz w:val="32"/>
          <w:szCs w:val="32"/>
        </w:rPr>
        <w:t>项目</w:t>
      </w:r>
      <w:r>
        <w:rPr>
          <w:rFonts w:hint="eastAsia" w:eastAsia="仿宋_GB2312"/>
          <w:color w:val="auto"/>
          <w:sz w:val="32"/>
          <w:szCs w:val="32"/>
          <w:lang w:val="en-US" w:eastAsia="zh-CN"/>
        </w:rPr>
        <w:t>资金使用</w:t>
      </w:r>
      <w:r>
        <w:rPr>
          <w:rFonts w:eastAsia="仿宋_GB2312"/>
          <w:color w:val="auto"/>
          <w:sz w:val="32"/>
          <w:szCs w:val="32"/>
        </w:rPr>
        <w:t>方案，经</w:t>
      </w:r>
      <w:r>
        <w:rPr>
          <w:rFonts w:hint="eastAsia" w:eastAsia="仿宋_GB2312"/>
          <w:color w:val="auto"/>
          <w:sz w:val="32"/>
          <w:szCs w:val="32"/>
          <w:lang w:val="en-US" w:eastAsia="zh-CN"/>
        </w:rPr>
        <w:t>单位</w:t>
      </w:r>
      <w:r>
        <w:rPr>
          <w:rFonts w:eastAsia="仿宋_GB2312"/>
          <w:color w:val="auto"/>
          <w:sz w:val="32"/>
          <w:szCs w:val="32"/>
        </w:rPr>
        <w:t>负责人审核通过后，有序开展后续工作。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z w:val="32"/>
          <w:szCs w:val="32"/>
        </w:rPr>
      </w:pPr>
      <w:r>
        <w:rPr>
          <w:rFonts w:eastAsia="仿宋_GB2312"/>
          <w:color w:val="auto"/>
          <w:sz w:val="32"/>
          <w:szCs w:val="32"/>
        </w:rPr>
        <w:t>（2）组织实施：根据制定</w:t>
      </w:r>
      <w:r>
        <w:rPr>
          <w:rFonts w:hint="eastAsia" w:eastAsia="仿宋_GB2312"/>
          <w:color w:val="auto"/>
          <w:sz w:val="32"/>
          <w:szCs w:val="32"/>
          <w:lang w:val="en-US" w:eastAsia="zh-CN"/>
        </w:rPr>
        <w:t>的</w:t>
      </w:r>
      <w:r>
        <w:rPr>
          <w:rFonts w:hint="eastAsia" w:ascii="Times New Roman" w:hAnsi="Times New Roman" w:eastAsia="仿宋_GB2312" w:cs="Times New Roman"/>
          <w:color w:val="auto"/>
          <w:sz w:val="32"/>
          <w:szCs w:val="32"/>
          <w:lang w:val="en-US" w:eastAsia="zh-CN"/>
        </w:rPr>
        <w:t>国家重大工业节能专项监察项目</w:t>
      </w:r>
      <w:r>
        <w:rPr>
          <w:rFonts w:eastAsia="仿宋_GB2312"/>
          <w:color w:val="auto"/>
          <w:sz w:val="32"/>
          <w:szCs w:val="32"/>
        </w:rPr>
        <w:t>项目</w:t>
      </w:r>
      <w:r>
        <w:rPr>
          <w:rFonts w:hint="eastAsia" w:eastAsia="仿宋_GB2312"/>
          <w:color w:val="auto"/>
          <w:sz w:val="32"/>
          <w:szCs w:val="32"/>
          <w:lang w:val="en-US" w:eastAsia="zh-CN"/>
        </w:rPr>
        <w:t>资金使用</w:t>
      </w:r>
      <w:r>
        <w:rPr>
          <w:rFonts w:eastAsia="仿宋_GB2312"/>
          <w:color w:val="auto"/>
          <w:sz w:val="32"/>
          <w:szCs w:val="32"/>
        </w:rPr>
        <w:t>方案</w:t>
      </w:r>
      <w:r>
        <w:rPr>
          <w:rFonts w:hint="eastAsia" w:eastAsia="仿宋_GB2312"/>
          <w:color w:val="auto"/>
          <w:sz w:val="32"/>
          <w:szCs w:val="32"/>
          <w:lang w:eastAsia="zh-CN"/>
        </w:rPr>
        <w:t>，</w:t>
      </w:r>
      <w:r>
        <w:rPr>
          <w:rFonts w:eastAsia="仿宋_GB2312"/>
          <w:color w:val="auto"/>
          <w:sz w:val="32"/>
          <w:szCs w:val="32"/>
        </w:rPr>
        <w:t>项目责任人按照</w:t>
      </w:r>
      <w:r>
        <w:rPr>
          <w:rFonts w:hint="eastAsia" w:eastAsia="仿宋_GB2312"/>
          <w:color w:val="auto"/>
          <w:sz w:val="32"/>
          <w:szCs w:val="32"/>
          <w:lang w:val="en-US" w:eastAsia="zh-CN"/>
        </w:rPr>
        <w:t>2023</w:t>
      </w:r>
      <w:r>
        <w:rPr>
          <w:rStyle w:val="15"/>
          <w:rFonts w:hint="eastAsia" w:ascii="仿宋" w:hAnsi="仿宋" w:eastAsia="仿宋"/>
          <w:b w:val="0"/>
          <w:bCs/>
          <w:color w:val="auto"/>
          <w:spacing w:val="-4"/>
          <w:sz w:val="32"/>
          <w:szCs w:val="32"/>
          <w:shd w:val="clear" w:color="auto" w:fill="FFFFFF"/>
          <w:lang w:val="en-US" w:eastAsia="zh-CN"/>
        </w:rPr>
        <w:t>年度工作计划，逐月逐季开展下述工作：</w:t>
      </w:r>
      <w:r>
        <w:rPr>
          <w:rFonts w:hint="eastAsia" w:eastAsia="仿宋_GB2312"/>
          <w:color w:val="auto"/>
          <w:sz w:val="32"/>
          <w:szCs w:val="32"/>
          <w:lang w:val="en-US" w:eastAsia="zh-CN"/>
        </w:rPr>
        <w:t>对重点用能企业进行现场监察、节约能源法律法规知识宣讲及服务、编制完成相关行业的监察报告</w:t>
      </w:r>
      <w:r>
        <w:rPr>
          <w:rFonts w:eastAsia="仿宋_GB2312"/>
          <w:color w:val="auto"/>
          <w:sz w:val="32"/>
          <w:szCs w:val="32"/>
        </w:rPr>
        <w:t>。</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0"/>
        </w:numPr>
        <w:spacing w:line="600" w:lineRule="exact"/>
        <w:ind w:firstLine="640" w:firstLineChars="200"/>
        <w:rPr>
          <w:rFonts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pStyle w:val="10"/>
        <w:widowControl w:val="0"/>
        <w:spacing w:before="0" w:after="0" w:line="600" w:lineRule="exact"/>
        <w:ind w:firstLine="640" w:firstLineChars="200"/>
        <w:jc w:val="both"/>
        <w:outlineLvl w:val="9"/>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国家重大工业节能专项监察项目所包含的全部项目内容。</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ascii="Times New Roman" w:hAnsi="Times New Roman" w:eastAsia="仿宋_GB2312" w:cs="Times New Roman"/>
          <w:b w:val="0"/>
          <w:bCs w:val="0"/>
          <w:kern w:val="2"/>
          <w:sz w:val="32"/>
          <w:szCs w:val="32"/>
          <w:lang w:val="en-US" w:eastAsia="zh-CN" w:bidi="ar-SA"/>
        </w:rPr>
        <w:t>国家重大工业节能专项监察项目</w:t>
      </w:r>
      <w:r>
        <w:rPr>
          <w:rFonts w:hint="eastAsia" w:ascii="仿宋_GB2312" w:hAnsi="仿宋_GB2312" w:eastAsia="仿宋_GB2312" w:cs="仿宋_GB2312"/>
          <w:sz w:val="32"/>
          <w:szCs w:val="32"/>
        </w:rPr>
        <w:t>进行评价，评价核心为专项资金的支出完成情况和效果。</w:t>
      </w:r>
    </w:p>
    <w:p>
      <w:pPr>
        <w:spacing w:line="560" w:lineRule="exact"/>
        <w:ind w:firstLine="643" w:firstLineChars="200"/>
      </w:pPr>
      <w:r>
        <w:rPr>
          <w:rFonts w:eastAsia="楷体_GB2312"/>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hint="eastAsia" w:ascii="Times New Roman" w:hAnsi="Times New Roman" w:eastAsia="仿宋_GB2312" w:cs="Times New Roman"/>
          <w:color w:val="000000"/>
          <w:spacing w:val="17"/>
          <w:sz w:val="32"/>
          <w:szCs w:val="32"/>
        </w:rPr>
      </w:pPr>
      <w:r>
        <w:rPr>
          <w:rFonts w:hint="eastAsia" w:ascii="Times New Roman" w:hAnsi="Times New Roman" w:eastAsia="仿宋_GB2312" w:cs="Times New Roman"/>
          <w:color w:val="000000"/>
          <w:spacing w:val="17"/>
          <w:sz w:val="32"/>
          <w:szCs w:val="32"/>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spacing w:val="17"/>
          <w:sz w:val="32"/>
          <w:szCs w:val="32"/>
          <w:lang w:val="en-US" w:eastAsia="zh-CN"/>
        </w:rPr>
        <w:t>计划</w:t>
      </w:r>
      <w:r>
        <w:rPr>
          <w:rFonts w:hint="eastAsia" w:ascii="Times New Roman" w:hAnsi="Times New Roman" w:eastAsia="仿宋_GB2312" w:cs="Times New Roman"/>
          <w:color w:val="000000"/>
          <w:spacing w:val="17"/>
          <w:sz w:val="32"/>
          <w:szCs w:val="32"/>
        </w:rPr>
        <w:t>标准</w:t>
      </w:r>
      <w:r>
        <w:rPr>
          <w:rFonts w:hint="eastAsia" w:ascii="Times New Roman" w:hAnsi="Times New Roman" w:eastAsia="仿宋_GB2312" w:cs="Times New Roman"/>
          <w:color w:val="000000"/>
          <w:spacing w:val="17"/>
          <w:sz w:val="32"/>
          <w:szCs w:val="32"/>
          <w:lang w:eastAsia="zh-CN"/>
        </w:rPr>
        <w:t>、</w:t>
      </w:r>
      <w:r>
        <w:rPr>
          <w:rFonts w:hint="eastAsia" w:ascii="Times New Roman" w:hAnsi="Times New Roman" w:eastAsia="仿宋_GB2312" w:cs="Times New Roman"/>
          <w:color w:val="000000"/>
          <w:spacing w:val="17"/>
          <w:sz w:val="32"/>
          <w:szCs w:val="32"/>
          <w:lang w:val="en-US" w:eastAsia="zh-CN"/>
        </w:rPr>
        <w:t>历史标准</w:t>
      </w:r>
      <w:r>
        <w:rPr>
          <w:rFonts w:hint="eastAsia" w:ascii="Times New Roman" w:hAnsi="Times New Roman" w:eastAsia="仿宋_GB2312" w:cs="Times New Roman"/>
          <w:color w:val="000000"/>
          <w:spacing w:val="17"/>
          <w:sz w:val="32"/>
          <w:szCs w:val="32"/>
        </w:rPr>
        <w:t>。</w:t>
      </w:r>
    </w:p>
    <w:p>
      <w:pPr>
        <w:spacing w:line="560" w:lineRule="exact"/>
        <w:ind w:firstLine="640"/>
        <w:rPr>
          <w:rFonts w:eastAsia="方正仿宋_GBK" w:cs="方正仿宋_GBK"/>
          <w:sz w:val="32"/>
          <w:szCs w:val="32"/>
          <w:highlight w:val="none"/>
        </w:rPr>
      </w:pPr>
      <w:bookmarkStart w:id="0" w:name="_Toc31464"/>
      <w:bookmarkStart w:id="1" w:name="_Toc17882"/>
      <w:r>
        <w:rPr>
          <w:rFonts w:hint="eastAsia" w:eastAsia="方正仿宋_GBK" w:cs="方正仿宋_GBK"/>
          <w:b/>
          <w:bCs/>
          <w:sz w:val="32"/>
          <w:szCs w:val="32"/>
          <w:highlight w:val="none"/>
        </w:rPr>
        <w:t>计划标准：</w:t>
      </w:r>
      <w:r>
        <w:rPr>
          <w:rFonts w:hint="eastAsia" w:eastAsia="方正仿宋_GBK" w:cs="方正仿宋_GBK"/>
          <w:sz w:val="32"/>
          <w:szCs w:val="32"/>
          <w:highlight w:val="none"/>
        </w:rPr>
        <w:t>指以预先制定的目标、计划、预算、定额等作为评价标准。</w:t>
      </w:r>
      <w:bookmarkEnd w:id="0"/>
      <w:bookmarkEnd w:id="1"/>
    </w:p>
    <w:p>
      <w:pPr>
        <w:spacing w:line="560" w:lineRule="exact"/>
        <w:ind w:firstLine="640"/>
        <w:rPr>
          <w:rFonts w:eastAsia="方正仿宋_GBK" w:cs="方正仿宋_GBK"/>
          <w:sz w:val="32"/>
          <w:szCs w:val="32"/>
          <w:highlight w:val="none"/>
        </w:rPr>
      </w:pPr>
      <w:bookmarkStart w:id="2" w:name="_Toc430"/>
      <w:bookmarkStart w:id="3" w:name="_Toc16028"/>
      <w:r>
        <w:rPr>
          <w:rFonts w:hint="eastAsia" w:eastAsia="方正仿宋_GBK" w:cs="方正仿宋_GBK"/>
          <w:b/>
          <w:bCs/>
          <w:sz w:val="32"/>
          <w:szCs w:val="32"/>
          <w:highlight w:val="none"/>
        </w:rPr>
        <w:t>历史标准：</w:t>
      </w:r>
      <w:r>
        <w:rPr>
          <w:rFonts w:hint="eastAsia" w:eastAsia="方正仿宋_GBK" w:cs="方正仿宋_GBK"/>
          <w:sz w:val="32"/>
          <w:szCs w:val="32"/>
          <w:highlight w:val="none"/>
        </w:rPr>
        <w:t>指参照历史数据制定的评价标准，为体现绩效改进的原则，在可实现的条件下应当确定相对较高的评价标准。</w:t>
      </w:r>
      <w:bookmarkEnd w:id="2"/>
      <w:bookmarkEnd w:id="3"/>
    </w:p>
    <w:p>
      <w:pPr>
        <w:pStyle w:val="10"/>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98</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18</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18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lang w:val="en-US" w:eastAsia="zh-CN"/>
              </w:rPr>
            </w:pPr>
            <w:r>
              <w:rPr>
                <w:rFonts w:hint="eastAsia"/>
                <w:b/>
                <w:bCs/>
                <w:color w:val="000000"/>
                <w:sz w:val="22"/>
                <w:lang w:val="en-US" w:eastAsia="zh-CN"/>
              </w:rPr>
              <w:t>98</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w:t>
      </w:r>
      <w:r>
        <w:rPr>
          <w:rFonts w:hint="eastAsia" w:ascii="仿宋_GB2312" w:hAnsi="仿宋_GB2312" w:eastAsia="仿宋_GB2312" w:cs="仿宋_GB2312"/>
          <w:sz w:val="32"/>
          <w:szCs w:val="32"/>
          <w:highlight w:val="none"/>
          <w:lang w:val="en-US" w:eastAsia="zh-CN"/>
        </w:rPr>
        <w:t>织实施两方面的内容，由5个三级指标构成，权重分值为20分，实际得分18分，得分率为90%。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本项目总投资50.3万元，非财政资金未及时足额到位，到位率65.21%，预算资金按计划进度执行。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预算编制较为详细，项目资金支出总体能够按照预算执行，预算资金支出32.8万元，预算执行率为65.21%。</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12"/>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4个三级指标构成，权重分为40分，实际得分40分，得分率为100%。具</w:t>
      </w:r>
      <w:r>
        <w:rPr>
          <w:rFonts w:hint="eastAsia" w:ascii="仿宋_GB2312" w:hAnsi="仿宋_GB2312" w:eastAsia="仿宋_GB2312" w:cs="仿宋_GB2312"/>
          <w:sz w:val="32"/>
          <w:szCs w:val="32"/>
          <w:lang w:val="en-US" w:eastAsia="zh-CN"/>
        </w:rPr>
        <w:t>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hd w:val="clear"/>
        <w:spacing w:line="600" w:lineRule="exact"/>
        <w:ind w:firstLine="640" w:firstLineChars="200"/>
        <w:outlineLvl w:val="0"/>
      </w:pPr>
      <w:r>
        <w:rPr>
          <w:rFonts w:hint="eastAsia" w:ascii="仿宋_GB2312" w:hAnsi="仿宋_GB2312" w:eastAsia="仿宋_GB2312" w:cs="仿宋_GB2312"/>
          <w:sz w:val="32"/>
          <w:szCs w:val="32"/>
          <w:highlight w:val="none"/>
        </w:rPr>
        <w:t>指标1：重点用能企业节能监察数量，指标值：&gt;=80家，实际完成值：</w:t>
      </w:r>
      <w:r>
        <w:rPr>
          <w:rFonts w:hint="eastAsia" w:ascii="仿宋_GB2312" w:hAnsi="仿宋_GB2312" w:eastAsia="仿宋_GB2312" w:cs="仿宋_GB2312"/>
          <w:sz w:val="32"/>
          <w:szCs w:val="32"/>
          <w:highlight w:val="none"/>
          <w:lang w:val="en-US" w:eastAsia="zh-CN"/>
        </w:rPr>
        <w:t>80家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b w:val="0"/>
          <w:bCs w:val="0"/>
          <w:kern w:val="2"/>
          <w:sz w:val="32"/>
          <w:szCs w:val="32"/>
          <w:highlight w:val="none"/>
          <w:lang w:val="en-US" w:eastAsia="zh-CN" w:bidi="ar-SA"/>
        </w:rPr>
        <w:t>节约能源法律法规知识宣传及服务指导企业数，</w:t>
      </w:r>
      <w:r>
        <w:rPr>
          <w:rFonts w:hint="eastAsia" w:ascii="仿宋_GB2312" w:hAnsi="仿宋_GB2312" w:eastAsia="仿宋_GB2312" w:cs="仿宋_GB2312"/>
          <w:sz w:val="32"/>
          <w:szCs w:val="32"/>
          <w:highlight w:val="none"/>
        </w:rPr>
        <w:t>指标值：&gt;=80家，实际完成值：</w:t>
      </w:r>
      <w:r>
        <w:rPr>
          <w:rFonts w:hint="eastAsia" w:ascii="仿宋_GB2312" w:hAnsi="仿宋_GB2312" w:eastAsia="仿宋_GB2312" w:cs="仿宋_GB2312"/>
          <w:sz w:val="32"/>
          <w:szCs w:val="32"/>
          <w:highlight w:val="none"/>
          <w:lang w:val="en-US" w:eastAsia="zh-CN"/>
        </w:rPr>
        <w:t>80家</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：编制完成监察报告数量，指标值：&gt;=80</w:t>
      </w:r>
      <w:r>
        <w:rPr>
          <w:rFonts w:hint="eastAsia" w:ascii="仿宋_GB2312" w:hAnsi="仿宋_GB2312" w:eastAsia="仿宋_GB2312" w:cs="仿宋_GB2312"/>
          <w:sz w:val="32"/>
          <w:szCs w:val="32"/>
          <w:highlight w:val="none"/>
          <w:lang w:val="en-US" w:eastAsia="zh-CN"/>
        </w:rPr>
        <w:t>份</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80份</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指标1：重点用能企业节能监察数量合格率，指标值：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节约能源法律法规知识宣传及服务指导活动完成率，指标值：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lang w:val="en-US" w:eastAsia="zh-CN"/>
        </w:rPr>
        <w:t>指标3：</w:t>
      </w:r>
      <w:r>
        <w:rPr>
          <w:rFonts w:hint="eastAsia" w:ascii="仿宋_GB2312" w:hAnsi="仿宋_GB2312" w:eastAsia="仿宋_GB2312" w:cs="仿宋_GB2312"/>
          <w:sz w:val="32"/>
          <w:szCs w:val="32"/>
          <w:highlight w:val="none"/>
        </w:rPr>
        <w:t>编制完成监察报告数量合格率，指标值：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指标1：节能监察报告按时完成率，指标值：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指标1：监察执法（督查）人员出差差旅费，指标值：&lt;=</w:t>
      </w:r>
      <w:r>
        <w:rPr>
          <w:rFonts w:hint="eastAsia" w:ascii="仿宋_GB2312" w:hAnsi="仿宋_GB2312" w:eastAsia="仿宋_GB2312" w:cs="仿宋_GB2312"/>
          <w:sz w:val="32"/>
          <w:szCs w:val="32"/>
          <w:highlight w:val="none"/>
          <w:lang w:val="en-US" w:eastAsia="zh-CN"/>
        </w:rPr>
        <w:t>34万元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17.3万元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50.88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偏差原因为该项目为工信部拨付非财政拨款项目，年初预算数为34万，但在年中执行过程中，工信部实际拨款数与年初预算数不符，导致指标产生偏差。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监察执法聘用专家咨询费，指标值：</w:t>
      </w:r>
      <w:r>
        <w:rPr>
          <w:rFonts w:hint="eastAsia" w:ascii="仿宋_GB2312" w:hAnsi="仿宋_GB2312" w:eastAsia="仿宋_GB2312" w:cs="仿宋_GB2312"/>
          <w:sz w:val="32"/>
          <w:szCs w:val="32"/>
          <w:highlight w:val="none"/>
          <w:lang w:val="en-US" w:eastAsia="zh-CN"/>
        </w:rPr>
        <w:t>&lt;=3万元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2.5万元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83.33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偏差原因为该项目为工信部拨付非财政拨款项目，年初预算数为3万，但在年中执行过程中，工信部实际拨款数与年初预算数不符，导致指标产生偏差。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指标3：</w:t>
      </w:r>
      <w:r>
        <w:rPr>
          <w:rFonts w:hint="eastAsia" w:ascii="仿宋_GB2312" w:hAnsi="仿宋_GB2312" w:eastAsia="仿宋_GB2312" w:cs="仿宋_GB2312"/>
          <w:sz w:val="32"/>
          <w:szCs w:val="32"/>
          <w:highlight w:val="none"/>
        </w:rPr>
        <w:t>监察执法车辆租赁费，指标值：</w:t>
      </w:r>
      <w:r>
        <w:rPr>
          <w:rFonts w:hint="eastAsia" w:ascii="仿宋_GB2312" w:hAnsi="仿宋_GB2312" w:eastAsia="仿宋_GB2312" w:cs="仿宋_GB2312"/>
          <w:sz w:val="32"/>
          <w:szCs w:val="32"/>
          <w:highlight w:val="none"/>
          <w:lang w:val="en-US" w:eastAsia="zh-CN"/>
        </w:rPr>
        <w:t>&lt;=10万元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：用于监察工作产生资料、书籍费，指标值&lt;=3.3万元，实际完成值：</w:t>
      </w:r>
      <w:r>
        <w:rPr>
          <w:rFonts w:hint="eastAsia" w:ascii="仿宋_GB2312" w:hAnsi="仿宋_GB2312" w:eastAsia="仿宋_GB2312" w:cs="仿宋_GB2312"/>
          <w:sz w:val="32"/>
          <w:szCs w:val="32"/>
          <w:highlight w:val="none"/>
          <w:lang w:val="en-US" w:eastAsia="zh-CN"/>
        </w:rPr>
        <w:t>3万元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90.91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偏差原因为该项目为工信部拨付非财政拨款项目，年初预算数为3.3万，但在年中执行过程中，工信部实际拨款数与年初预算数不符，导致指标产生偏差。</w:t>
      </w:r>
    </w:p>
    <w:p>
      <w:pPr>
        <w:pStyle w:val="12"/>
        <w:numPr>
          <w:ilvl w:val="0"/>
          <w:numId w:val="4"/>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指标1：提升企业节能意识，指标值：</w:t>
      </w:r>
      <w:r>
        <w:rPr>
          <w:rFonts w:hint="eastAsia" w:ascii="仿宋_GB2312" w:hAnsi="仿宋_GB2312" w:eastAsia="仿宋_GB2312" w:cs="仿宋_GB2312"/>
          <w:sz w:val="32"/>
          <w:szCs w:val="32"/>
          <w:highlight w:val="none"/>
          <w:lang w:val="en-US" w:eastAsia="zh-CN"/>
        </w:rPr>
        <w:t>有效提升</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有效提升</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指标1：用能企业人员满意度，指标值：</w:t>
      </w:r>
      <w:r>
        <w:rPr>
          <w:rFonts w:hint="eastAsia" w:ascii="仿宋_GB2312" w:hAnsi="仿宋_GB2312" w:eastAsia="仿宋_GB2312" w:cs="仿宋_GB2312"/>
          <w:sz w:val="32"/>
          <w:szCs w:val="32"/>
          <w:highlight w:val="none"/>
          <w:lang w:val="en-US" w:eastAsia="zh-CN"/>
        </w:rPr>
        <w:t>&gt;=95%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105.26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偏差原因为该项目年初制定绩效方案时，我队结合以前年度工作情况，将用能企业人员满意度指标设置为95%，但在工作实际开展过程中，服务用能企业满意度达到100%，导致指标产生偏差。</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hd w:val="clear"/>
        <w:spacing w:line="600" w:lineRule="exact"/>
        <w:ind w:firstLine="640" w:firstLineChars="200"/>
        <w:outlineLvl w:val="0"/>
        <w:rPr>
          <w:rFonts w:hint="eastAsia" w:ascii="Times New Roman" w:hAnsi="Times New Roman" w:eastAsia="方正仿宋_GBK" w:cs="方正仿宋_GBK"/>
          <w:sz w:val="32"/>
          <w:szCs w:val="32"/>
          <w:highlight w:val="none"/>
          <w:lang w:val="en-US" w:eastAsia="zh-CN"/>
        </w:rPr>
      </w:pPr>
      <w:r>
        <w:rPr>
          <w:rFonts w:hint="eastAsia" w:ascii="Times New Roman" w:hAnsi="Times New Roman" w:eastAsia="方正仿宋_GBK" w:cs="方正仿宋_GBK"/>
          <w:sz w:val="32"/>
          <w:szCs w:val="32"/>
          <w:highlight w:val="none"/>
          <w:lang w:val="en-US" w:eastAsia="zh-CN"/>
        </w:rPr>
        <w:t>国家重大工业节能专项监察项目年初预算50.3万元，全年预算50.3万元，实际支出32.8万元，预算执行率为65.21%，项目绩效指标总体完成率为94.64%，</w:t>
      </w:r>
      <w:r>
        <w:rPr>
          <w:rFonts w:hint="eastAsia" w:ascii="Times New Roman" w:hAnsi="Times New Roman" w:eastAsia="方正仿宋_GBK" w:cs="方正仿宋_GBK"/>
          <w:sz w:val="32"/>
          <w:szCs w:val="32"/>
          <w:highlight w:val="none"/>
          <w:lang w:val="en-US" w:eastAsia="zh-Hans"/>
        </w:rPr>
        <w:t>总体</w:t>
      </w:r>
      <w:r>
        <w:rPr>
          <w:rFonts w:hint="eastAsia" w:ascii="Times New Roman" w:hAnsi="Times New Roman" w:eastAsia="方正仿宋_GBK" w:cs="方正仿宋_GBK"/>
          <w:sz w:val="32"/>
          <w:szCs w:val="32"/>
          <w:highlight w:val="none"/>
          <w:lang w:val="en-US" w:eastAsia="zh-CN"/>
        </w:rPr>
        <w:t>偏差率为29.43%,</w:t>
      </w:r>
      <w:r>
        <w:rPr>
          <w:rFonts w:hint="eastAsia" w:ascii="Times New Roman" w:hAnsi="Times New Roman" w:eastAsia="方正仿宋_GBK" w:cs="方正仿宋_GBK"/>
          <w:sz w:val="32"/>
          <w:szCs w:val="32"/>
          <w:highlight w:val="none"/>
          <w:lang w:val="en-US" w:eastAsia="zh-Hans"/>
        </w:rPr>
        <w:t>偏差</w:t>
      </w:r>
      <w:r>
        <w:rPr>
          <w:rFonts w:hint="eastAsia" w:ascii="Times New Roman" w:hAnsi="Times New Roman" w:eastAsia="方正仿宋_GBK" w:cs="方正仿宋_GBK"/>
          <w:sz w:val="32"/>
          <w:szCs w:val="32"/>
          <w:highlight w:val="none"/>
          <w:lang w:val="en-US" w:eastAsia="zh-CN"/>
        </w:rPr>
        <w:t>原因资金到位数不足，无法与指标值达成一致，</w:t>
      </w:r>
      <w:r>
        <w:rPr>
          <w:rFonts w:hint="eastAsia" w:ascii="Times New Roman" w:hAnsi="Times New Roman" w:eastAsia="方正仿宋_GBK" w:cs="方正仿宋_GBK"/>
          <w:sz w:val="32"/>
          <w:szCs w:val="32"/>
          <w:highlight w:val="none"/>
          <w:lang w:val="en-US" w:eastAsia="zh-Hans"/>
        </w:rPr>
        <w:t>改进</w:t>
      </w:r>
      <w:r>
        <w:rPr>
          <w:rFonts w:hint="eastAsia" w:ascii="Times New Roman" w:hAnsi="Times New Roman" w:eastAsia="方正仿宋_GBK" w:cs="方正仿宋_GBK"/>
          <w:sz w:val="32"/>
          <w:szCs w:val="32"/>
          <w:highlight w:val="none"/>
          <w:lang w:val="en-US" w:eastAsia="zh-CN"/>
        </w:rPr>
        <w:t>措施细化绩效指标设定，加强预算管理。</w:t>
      </w:r>
    </w:p>
    <w:p>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w:t>
      </w:r>
      <w:r>
        <w:rPr>
          <w:rFonts w:hint="eastAsia" w:ascii="Times New Roman" w:hAnsi="Times New Roman" w:eastAsia="仿宋_GB2312"/>
          <w:b w:val="0"/>
          <w:bCs w:val="0"/>
          <w:kern w:val="2"/>
          <w:lang w:val="en-US" w:eastAsia="zh-CN"/>
        </w:rPr>
        <w:t>专款专用</w:t>
      </w:r>
      <w:r>
        <w:rPr>
          <w:rFonts w:ascii="Times New Roman" w:hAnsi="Times New Roman" w:eastAsia="仿宋_GB2312"/>
          <w:b w:val="0"/>
          <w:bCs w:val="0"/>
          <w:kern w:val="2"/>
        </w:rPr>
        <w:t>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4" w:name="page8"/>
      <w:bookmarkEnd w:id="4"/>
      <w:r>
        <w:rPr>
          <w:rFonts w:eastAsia="黑体"/>
          <w:sz w:val="32"/>
          <w:szCs w:val="32"/>
        </w:rPr>
        <w:t>明的问题</w:t>
      </w:r>
    </w:p>
    <w:p>
      <w:pPr>
        <w:pStyle w:val="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pPr>
        <w:pStyle w:val="2"/>
        <w:spacing w:after="0" w:line="560" w:lineRule="exact"/>
        <w:ind w:left="0" w:leftChars="0" w:firstLine="640"/>
        <w:rPr>
          <w:rFonts w:ascii="仿宋_GB2312" w:hAnsi="仿宋_GB2312" w:eastAsia="仿宋_GB2312" w:cs="仿宋_GB2312"/>
          <w:sz w:val="32"/>
          <w:szCs w:val="32"/>
        </w:rPr>
      </w:pPr>
    </w:p>
    <w:p>
      <w:pPr>
        <w:pStyle w:val="2"/>
        <w:spacing w:after="0" w:line="560" w:lineRule="exact"/>
        <w:ind w:left="0" w:leftChars="0" w:firstLine="640"/>
        <w:rPr>
          <w:rFonts w:ascii="仿宋_GB2312" w:hAnsi="仿宋_GB2312" w:eastAsia="仿宋_GB2312" w:cs="仿宋_GB2312"/>
          <w:sz w:val="32"/>
          <w:szCs w:val="32"/>
        </w:rPr>
      </w:pPr>
    </w:p>
    <w:p>
      <w:pPr>
        <w:pStyle w:val="2"/>
        <w:spacing w:after="0" w:line="560" w:lineRule="exact"/>
        <w:ind w:left="0" w:leftChars="0" w:firstLine="0" w:firstLineChars="0"/>
        <w:rPr>
          <w:rFonts w:ascii="仿宋_GB2312" w:hAnsi="仿宋_GB2312" w:eastAsia="仿宋_GB2312" w:cs="仿宋_GB2312"/>
          <w:sz w:val="32"/>
          <w:szCs w:val="32"/>
        </w:rPr>
      </w:pPr>
    </w:p>
    <w:p>
      <w:pPr>
        <w:widowControl/>
        <w:jc w:val="center"/>
        <w:textAlignment w:val="center"/>
        <w:rPr>
          <w:rFonts w:eastAsia="方正小标宋简体"/>
          <w:b/>
          <w:kern w:val="0"/>
          <w:sz w:val="32"/>
          <w:szCs w:val="32"/>
          <w:lang w:bidi="ar"/>
        </w:rPr>
        <w:sectPr>
          <w:pgSz w:w="11906" w:h="16838"/>
          <w:pgMar w:top="1440" w:right="1558" w:bottom="1440" w:left="1800" w:header="851" w:footer="992" w:gutter="0"/>
          <w:cols w:space="425"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918"/>
        <w:gridCol w:w="975"/>
        <w:gridCol w:w="1122"/>
        <w:gridCol w:w="873"/>
        <w:gridCol w:w="1530"/>
        <w:gridCol w:w="1125"/>
        <w:gridCol w:w="842"/>
        <w:gridCol w:w="803"/>
        <w:gridCol w:w="916"/>
        <w:gridCol w:w="1007"/>
        <w:gridCol w:w="847"/>
        <w:gridCol w:w="979"/>
        <w:gridCol w:w="1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u w:val="none"/>
              </w:rPr>
            </w:pPr>
            <w:r>
              <w:rPr>
                <w:rFonts w:hint="default" w:ascii="华文中宋" w:hAnsi="华文中宋" w:eastAsia="华文中宋" w:cs="华文中宋"/>
                <w:b/>
                <w:bCs/>
                <w:i w:val="0"/>
                <w:iCs w:val="0"/>
                <w:color w:val="000000"/>
                <w:kern w:val="0"/>
                <w:sz w:val="40"/>
                <w:szCs w:val="40"/>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2023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国家重大工业节能专项监察项目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19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新疆维吾尔自治区工业和信息化厅</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8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新疆维吾尔自治区节能监察总队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6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c>
          <w:tcPr>
            <w:tcW w:w="6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65.2%</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44"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940"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583"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2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90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w:t>
            </w:r>
          </w:p>
        </w:tc>
        <w:tc>
          <w:tcPr>
            <w:tcW w:w="18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7"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0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贯彻落实《中华人民共和国节约能源法》、《工业节能管理办法》和国家相关强制性节能标准，充分发挥节能监察的监督保障作用，持续提高工业能效和绿色发展水平，拓宽工业发展的能源资源空间，助推工业经济高质量发展，助力实现碳达峰和碳中和目标,完成国家重大工业节能专项监察任务。通过国家重大工业节能专项监察项目，提高我区工业企业绿色发展意识，提升工业绿色发展水平，促进工业能耗持续下降。</w:t>
            </w:r>
          </w:p>
        </w:tc>
        <w:tc>
          <w:tcPr>
            <w:tcW w:w="180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家工信部的安排部署，聚焦重点行业，对标节能法律法规和能耗限额标准，克服区域广、人员少、力量弱等困难，合理分工，周密安排，圆满完成全年节能监察任务。全年完成现场监察企业92家，实现了自治区钢铁、水泥、有色冶炼、硅冶炼等行业企业和大型以上数据中心节能监察全覆盖，实现了乌昌地区石油化工行业重点用能企业节能监察全覆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指标值设置依据</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上年完成值</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指标分值权重</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指标赋分规则</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佐证资料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指标实际完成值</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指标得分</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2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重点用能企业节能监察数量</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&gt;=80家</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9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85</w:t>
            </w:r>
            <w:r>
              <w:rPr>
                <w:rFonts w:hint="eastAsia" w:ascii="宋体" w:hAnsi="宋体" w:eastAsia="宋体" w:cs="宋体"/>
                <w:i w:val="0"/>
                <w:iCs w:val="0"/>
                <w:color w:val="000000"/>
                <w:kern w:val="0"/>
                <w:sz w:val="18"/>
                <w:szCs w:val="18"/>
                <w:u w:val="none"/>
                <w:lang w:val="en-US" w:eastAsia="zh-CN" w:bidi="ar"/>
              </w:rPr>
              <w:t>家</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80家</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节约能源法律法规知识宣传及服务指导企业数</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&gt;=80家</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85家</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80家</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编制完成监察报告数量</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&gt;=80份</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85份</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80份</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重点用能企业节能监察数量合格率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节约能源法律法规知识宣传及服务指导活动完成率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编制完成监察报告数量合格率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1"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节能监察报告按时完成率</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8"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监察执法（督查）人员出差差旅费</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&lt;=34万元</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预</w:t>
            </w:r>
            <w:r>
              <w:rPr>
                <w:rFonts w:hint="eastAsia" w:ascii="宋体" w:hAnsi="宋体" w:eastAsia="宋体" w:cs="宋体"/>
                <w:i w:val="0"/>
                <w:iCs w:val="0"/>
                <w:color w:val="000000"/>
                <w:kern w:val="0"/>
                <w:sz w:val="18"/>
                <w:szCs w:val="18"/>
                <w:u w:val="none"/>
                <w:lang w:val="en-US" w:eastAsia="zh-CN" w:bidi="ar"/>
              </w:rPr>
              <w:t>算支出标准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7.6万元</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17.3万元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50.88%</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该项目为工信部拨付非财政拨款项目，年初预算数为34万，但在年中执行过程中，工信部实际拨款数与年初预算数不符，导致指标产生偏差。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6"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监察执法聘用专家咨询费</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&lt;=3万元</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预</w:t>
            </w:r>
            <w:r>
              <w:rPr>
                <w:rFonts w:hint="eastAsia" w:ascii="宋体" w:hAnsi="宋体" w:eastAsia="宋体" w:cs="宋体"/>
                <w:i w:val="0"/>
                <w:iCs w:val="0"/>
                <w:color w:val="000000"/>
                <w:kern w:val="0"/>
                <w:sz w:val="18"/>
                <w:szCs w:val="18"/>
                <w:u w:val="none"/>
                <w:lang w:val="en-US" w:eastAsia="zh-CN" w:bidi="ar"/>
              </w:rPr>
              <w:t>算支出标准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0万元</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2.5万元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83.33%</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该项目为工信部拨付非财政拨款项目，年初预算数为3万，但在年中执行过程中，工信部实际拨款数与年初预算数不符，导致指标产生偏差。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监察执法车辆租赁费</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&lt;=10万元</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预</w:t>
            </w:r>
            <w:r>
              <w:rPr>
                <w:rFonts w:hint="eastAsia" w:ascii="宋体" w:hAnsi="宋体" w:eastAsia="宋体" w:cs="宋体"/>
                <w:i w:val="0"/>
                <w:iCs w:val="0"/>
                <w:color w:val="000000"/>
                <w:kern w:val="0"/>
                <w:sz w:val="18"/>
                <w:szCs w:val="18"/>
                <w:u w:val="none"/>
                <w:lang w:val="en-US" w:eastAsia="zh-CN" w:bidi="ar"/>
              </w:rPr>
              <w:t>算支出标准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3.76万元</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bookmarkStart w:id="7" w:name="_GoBack"/>
            <w:bookmarkEnd w:id="7"/>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10万元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用于监察工作产生资料、书籍费</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&lt;=3.3万元</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预</w:t>
            </w:r>
            <w:r>
              <w:rPr>
                <w:rFonts w:hint="eastAsia" w:ascii="宋体" w:hAnsi="宋体" w:eastAsia="宋体" w:cs="宋体"/>
                <w:i w:val="0"/>
                <w:iCs w:val="0"/>
                <w:color w:val="000000"/>
                <w:kern w:val="0"/>
                <w:sz w:val="18"/>
                <w:szCs w:val="18"/>
                <w:u w:val="none"/>
                <w:lang w:val="en-US" w:eastAsia="zh-CN" w:bidi="ar"/>
              </w:rPr>
              <w:t>算支出标准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3万元</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90.91%</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该项目为工信部拨付非财政拨款项目，年初预算数为3.3万，但在年中执行过程中，工信部实际拨款数与年初预算数不符，导致指标产生偏差。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提升企业节能意识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3" w:hRule="atLeast"/>
        </w:trPr>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用能企业人员满意度</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该项目年初制定绩效方案时，我队结合以前年度工作情况，将用能企业人员满意度指标设置为95%，但在工作实际开展过程中，服务用能企业满意度达到100%，导致指标产生偏差。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360"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2" w:type="pct"/>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89 </w:t>
            </w:r>
          </w:p>
        </w:tc>
        <w:tc>
          <w:tcPr>
            <w:tcW w:w="50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10"/>
        <w:jc w:val="both"/>
        <w:rPr>
          <w:rFonts w:ascii="Times New Roman" w:hAnsi="Times New Roman" w:eastAsia="黑体"/>
          <w:b w:val="0"/>
          <w:bCs w:val="0"/>
        </w:rPr>
      </w:pPr>
    </w:p>
    <w:p>
      <w:pPr>
        <w:pStyle w:val="10"/>
        <w:rPr>
          <w:rFonts w:ascii="Times New Roman" w:hAnsi="Times New Roman" w:eastAsia="黑体"/>
          <w:b w:val="0"/>
          <w:bCs w:val="0"/>
        </w:rPr>
      </w:pPr>
    </w:p>
    <w:p>
      <w:pPr>
        <w:pStyle w:val="10"/>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ascii="黑体" w:hAnsi="黑体" w:eastAsia="黑体" w:cs="黑体"/>
          <w:highlight w:val="none"/>
        </w:rPr>
      </w:pPr>
      <w:r>
        <w:rPr>
          <w:rFonts w:hint="eastAsia" w:ascii="黑体" w:hAnsi="黑体" w:eastAsia="黑体" w:cs="黑体"/>
          <w:bCs/>
          <w:sz w:val="32"/>
          <w:szCs w:val="32"/>
        </w:rPr>
        <w:t>附件1</w:t>
      </w:r>
    </w:p>
    <w:p>
      <w:pPr>
        <w:pStyle w:val="18"/>
        <w:ind w:firstLine="562"/>
        <w:jc w:val="center"/>
        <w:rPr>
          <w:sz w:val="28"/>
          <w:szCs w:val="40"/>
          <w:highlight w:val="none"/>
        </w:rPr>
      </w:pPr>
      <w:bookmarkStart w:id="5" w:name="_Toc26499_WPSOffice_Level2"/>
      <w:bookmarkStart w:id="6" w:name="_Toc30064_WPSOffice_Level1"/>
      <w:r>
        <w:rPr>
          <w:rFonts w:hint="eastAsia" w:ascii="Times New Roman" w:hAnsi="Times New Roman" w:cs="Times New Roman"/>
          <w:b/>
          <w:bCs/>
          <w:sz w:val="28"/>
          <w:szCs w:val="40"/>
          <w:highlight w:val="none"/>
          <w:lang w:val="en-US" w:eastAsia="zh-CN"/>
        </w:rPr>
        <w:t>国家重大工业节能专项监察项目</w:t>
      </w:r>
      <w:r>
        <w:rPr>
          <w:rFonts w:hint="eastAsia" w:ascii="Times New Roman" w:hAnsi="Times New Roman" w:cs="Times New Roman"/>
          <w:b/>
          <w:bCs/>
          <w:sz w:val="28"/>
          <w:szCs w:val="40"/>
          <w:highlight w:val="none"/>
        </w:rPr>
        <w:t>绩效评价指标体系及综合评</w:t>
      </w:r>
      <w:r>
        <w:rPr>
          <w:rFonts w:hint="eastAsia"/>
          <w:b/>
          <w:bCs/>
          <w:sz w:val="28"/>
          <w:szCs w:val="40"/>
          <w:highlight w:val="none"/>
        </w:rPr>
        <w:t>分表</w:t>
      </w:r>
      <w:bookmarkEnd w:id="5"/>
      <w:bookmarkEnd w:id="6"/>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1"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8"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8"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8"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8" w:type="pct"/>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continue"/>
            <w:shd w:val="clear" w:color="auto" w:fill="FFFFFF"/>
            <w:vAlign w:val="center"/>
          </w:tcPr>
          <w:p>
            <w:pPr>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pPr>
              <w:spacing w:line="0" w:lineRule="atLeast"/>
              <w:jc w:val="center"/>
              <w:rPr>
                <w:color w:val="000000"/>
                <w:kern w:val="0"/>
                <w:sz w:val="22"/>
                <w:szCs w:val="22"/>
                <w:highlight w:val="none"/>
              </w:rPr>
            </w:pPr>
          </w:p>
        </w:tc>
        <w:tc>
          <w:tcPr>
            <w:tcW w:w="301"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8"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8"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480BF0-DEF4-4C8C-ACBA-BA22B8DAB7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C4D173F-0D4E-488A-94A3-543BF8C8B967}"/>
  </w:font>
  <w:font w:name="华文中宋">
    <w:altName w:val="宋体"/>
    <w:panose1 w:val="02010600040101010101"/>
    <w:charset w:val="86"/>
    <w:family w:val="auto"/>
    <w:pitch w:val="default"/>
    <w:sig w:usb0="00000000" w:usb1="00000000" w:usb2="00000000" w:usb3="00000000" w:csb0="0004009F" w:csb1="DFD70000"/>
    <w:embedRegular r:id="rId3" w:fontKey="{CEC594D6-FB37-4147-9A7A-172EB34C4E76}"/>
  </w:font>
  <w:font w:name="方正小标宋_GBK">
    <w:panose1 w:val="02000000000000000000"/>
    <w:charset w:val="86"/>
    <w:family w:val="script"/>
    <w:pitch w:val="default"/>
    <w:sig w:usb0="A00002BF" w:usb1="38CF7CFA" w:usb2="00082016" w:usb3="00000000" w:csb0="00040001" w:csb1="00000000"/>
    <w:embedRegular r:id="rId4" w:fontKey="{14DA2D26-CC60-4B3B-AE54-18CC9C9D0BB9}"/>
  </w:font>
  <w:font w:name="楷体_GB2312">
    <w:panose1 w:val="02010609030101010101"/>
    <w:charset w:val="86"/>
    <w:family w:val="auto"/>
    <w:pitch w:val="default"/>
    <w:sig w:usb0="00000001" w:usb1="080E0000" w:usb2="00000000" w:usb3="00000000" w:csb0="00040000" w:csb1="00000000"/>
    <w:embedRegular r:id="rId5" w:fontKey="{2E2A261E-7790-42FF-AC54-2640C180276F}"/>
  </w:font>
  <w:font w:name="仿宋">
    <w:panose1 w:val="02010609060101010101"/>
    <w:charset w:val="86"/>
    <w:family w:val="modern"/>
    <w:pitch w:val="default"/>
    <w:sig w:usb0="800002BF" w:usb1="38CF7CFA" w:usb2="00000016" w:usb3="00000000" w:csb0="00040001" w:csb1="00000000"/>
    <w:embedRegular r:id="rId6" w:fontKey="{170FA35E-D2EB-438D-8754-379B0C7CB82C}"/>
  </w:font>
  <w:font w:name="方正仿宋_GBK">
    <w:altName w:val="微软雅黑"/>
    <w:panose1 w:val="03000509000000000000"/>
    <w:charset w:val="86"/>
    <w:family w:val="auto"/>
    <w:pitch w:val="default"/>
    <w:sig w:usb0="00000000" w:usb1="00000000" w:usb2="00000000" w:usb3="00000000" w:csb0="00040000" w:csb1="00000000"/>
    <w:embedRegular r:id="rId7" w:fontKey="{DEACE922-7A7E-4377-BADD-29033406A1FE}"/>
  </w:font>
  <w:font w:name="楷体">
    <w:panose1 w:val="02010609060101010101"/>
    <w:charset w:val="86"/>
    <w:family w:val="modern"/>
    <w:pitch w:val="default"/>
    <w:sig w:usb0="800002BF" w:usb1="38CF7CFA" w:usb2="00000016" w:usb3="00000000" w:csb0="00040001" w:csb1="00000000"/>
    <w:embedRegular r:id="rId8" w:fontKey="{8C82A441-B302-44ED-80BA-35F1A9C843C3}"/>
  </w:font>
  <w:font w:name="方正小标宋简体">
    <w:panose1 w:val="02000000000000000000"/>
    <w:charset w:val="86"/>
    <w:family w:val="auto"/>
    <w:pitch w:val="default"/>
    <w:sig w:usb0="00000001" w:usb1="08000000" w:usb2="00000000" w:usb3="00000000" w:csb0="00040000" w:csb1="00000000"/>
    <w:embedRegular r:id="rId9" w:fontKey="{DBAD0583-076F-4A64-ABA1-38BDF6476D9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5YmI1Y2EyYmI4NzcxOTJiMWU1MGVmZjQyMmM5N2QifQ=="/>
  </w:docVars>
  <w:rsids>
    <w:rsidRoot w:val="FF6C4049"/>
    <w:rsid w:val="006F7242"/>
    <w:rsid w:val="007B168A"/>
    <w:rsid w:val="008B2CFE"/>
    <w:rsid w:val="00F26FF6"/>
    <w:rsid w:val="07397B77"/>
    <w:rsid w:val="0CFD31AE"/>
    <w:rsid w:val="118022E6"/>
    <w:rsid w:val="13471461"/>
    <w:rsid w:val="13B90F01"/>
    <w:rsid w:val="181066D2"/>
    <w:rsid w:val="19117A7E"/>
    <w:rsid w:val="1C671E73"/>
    <w:rsid w:val="250F0698"/>
    <w:rsid w:val="38CA40DD"/>
    <w:rsid w:val="395F2B56"/>
    <w:rsid w:val="3BECE841"/>
    <w:rsid w:val="3EE24B7C"/>
    <w:rsid w:val="3FF7797D"/>
    <w:rsid w:val="468E3747"/>
    <w:rsid w:val="482C7AF4"/>
    <w:rsid w:val="4F4F0F4A"/>
    <w:rsid w:val="5BFF6039"/>
    <w:rsid w:val="5D76A616"/>
    <w:rsid w:val="5D7F20B9"/>
    <w:rsid w:val="5DAC7D0E"/>
    <w:rsid w:val="5F98B5AF"/>
    <w:rsid w:val="5FFE8511"/>
    <w:rsid w:val="5FFEACE2"/>
    <w:rsid w:val="643EE26D"/>
    <w:rsid w:val="6F5C41AC"/>
    <w:rsid w:val="6FAF6C78"/>
    <w:rsid w:val="7317C656"/>
    <w:rsid w:val="734ED73F"/>
    <w:rsid w:val="77302EC9"/>
    <w:rsid w:val="77FD8BE9"/>
    <w:rsid w:val="79A9BD3F"/>
    <w:rsid w:val="7BFFFDD0"/>
    <w:rsid w:val="7C287DC2"/>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autoRedefine/>
    <w:qFormat/>
    <w:uiPriority w:val="0"/>
    <w:pPr>
      <w:spacing w:after="120"/>
      <w:ind w:left="420" w:leftChars="200"/>
    </w:pPr>
    <w:rPr>
      <w:rFonts w:ascii="Calibri" w:hAnsi="Calibri"/>
    </w:rPr>
  </w:style>
  <w:style w:type="paragraph" w:styleId="5">
    <w:name w:val="annotation text"/>
    <w:basedOn w:val="1"/>
    <w:link w:val="21"/>
    <w:autoRedefine/>
    <w:qFormat/>
    <w:uiPriority w:val="0"/>
    <w:pPr>
      <w:jc w:val="left"/>
    </w:pPr>
  </w:style>
  <w:style w:type="paragraph" w:styleId="6">
    <w:name w:val="Body Text"/>
    <w:basedOn w:val="1"/>
    <w:autoRedefine/>
    <w:qFormat/>
    <w:uiPriority w:val="0"/>
    <w:pPr>
      <w:spacing w:after="120"/>
    </w:pPr>
  </w:style>
  <w:style w:type="paragraph" w:styleId="7">
    <w:name w:val="Balloon Text"/>
    <w:basedOn w:val="1"/>
    <w:link w:val="19"/>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5"/>
    <w:next w:val="5"/>
    <w:link w:val="22"/>
    <w:qFormat/>
    <w:uiPriority w:val="0"/>
    <w:rPr>
      <w:b/>
      <w:bCs/>
    </w:rPr>
  </w:style>
  <w:style w:type="paragraph" w:styleId="12">
    <w:name w:val="Body Text First Indent"/>
    <w:basedOn w:val="6"/>
    <w:qFormat/>
    <w:uiPriority w:val="0"/>
    <w:pPr>
      <w:spacing w:after="0"/>
      <w:ind w:firstLine="20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autoRedefine/>
    <w:qFormat/>
    <w:uiPriority w:val="0"/>
    <w:rPr>
      <w:rFonts w:ascii="Times New Roman" w:hAnsi="Times New Roman" w:eastAsia="宋体" w:cs="Times New Roman"/>
      <w:kern w:val="2"/>
      <w:sz w:val="18"/>
      <w:szCs w:val="18"/>
    </w:rPr>
  </w:style>
  <w:style w:type="character" w:customStyle="1" w:styleId="21">
    <w:name w:val="批注文字 字符"/>
    <w:basedOn w:val="14"/>
    <w:link w:val="5"/>
    <w:qFormat/>
    <w:uiPriority w:val="0"/>
    <w:rPr>
      <w:rFonts w:ascii="Times New Roman" w:hAnsi="Times New Roman" w:eastAsia="宋体" w:cs="Times New Roman"/>
      <w:kern w:val="2"/>
      <w:sz w:val="21"/>
      <w:szCs w:val="24"/>
    </w:rPr>
  </w:style>
  <w:style w:type="character" w:customStyle="1" w:styleId="22">
    <w:name w:val="批注主题 字符"/>
    <w:basedOn w:val="21"/>
    <w:link w:val="11"/>
    <w:autoRedefine/>
    <w:qFormat/>
    <w:uiPriority w:val="0"/>
    <w:rPr>
      <w:rFonts w:ascii="Times New Roman" w:hAnsi="Times New Roman" w:eastAsia="宋体" w:cs="Times New Roman"/>
      <w:b/>
      <w:bCs/>
      <w:kern w:val="2"/>
      <w:sz w:val="21"/>
      <w:szCs w:val="24"/>
    </w:rPr>
  </w:style>
  <w:style w:type="character" w:customStyle="1" w:styleId="23">
    <w:name w:val="font61"/>
    <w:basedOn w:val="14"/>
    <w:qFormat/>
    <w:uiPriority w:val="0"/>
    <w:rPr>
      <w:rFonts w:hint="default" w:ascii="Times New Roman" w:hAnsi="Times New Roman" w:cs="Times New Roman"/>
      <w:color w:val="000000"/>
      <w:sz w:val="18"/>
      <w:szCs w:val="18"/>
      <w:u w:val="none"/>
    </w:rPr>
  </w:style>
  <w:style w:type="character" w:customStyle="1" w:styleId="24">
    <w:name w:val="font31"/>
    <w:basedOn w:val="14"/>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10984</Words>
  <Characters>11570</Characters>
  <Lines>58</Lines>
  <Paragraphs>16</Paragraphs>
  <TotalTime>14</TotalTime>
  <ScaleCrop>false</ScaleCrop>
  <LinksUpToDate>false</LinksUpToDate>
  <CharactersWithSpaces>11592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蝈蝈 </cp:lastModifiedBy>
  <dcterms:modified xsi:type="dcterms:W3CDTF">2024-05-11T10:16:02Z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5504F8FBD03C4659BD1C8A6FB78A6780_13</vt:lpwstr>
  </property>
</Properties>
</file>