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聚氯乙烯节能监察技术规范和工作手册研究课题</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聚氯乙烯节能监察技术规范和工作手册研究课题项目</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新疆维吾尔自治区节能监察总队</w:t>
      </w:r>
    </w:p>
    <w:p>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主管部门（公章）：</w:t>
      </w:r>
      <w:r>
        <w:rPr>
          <w:rFonts w:hint="eastAsia" w:eastAsia="仿宋_GB2312"/>
          <w:kern w:val="0"/>
          <w:sz w:val="36"/>
          <w:szCs w:val="36"/>
          <w:lang w:val="en-US" w:eastAsia="zh-CN"/>
        </w:rPr>
        <w:t>新疆维吾尔自治区工业和信息化厅</w:t>
      </w:r>
    </w:p>
    <w:p>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徐明</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5</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5"/>
          <w:rFonts w:eastAsia="黑体"/>
          <w:b w:val="0"/>
          <w:spacing w:val="-4"/>
          <w:sz w:val="32"/>
          <w:szCs w:val="32"/>
        </w:rPr>
      </w:pPr>
    </w:p>
    <w:p>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工业节能监察是对节能法律、法规和节能标准执行情况的监督检查，是促进工业企业加强节能管理、提高能效水平的重要手段。目前，全国已建立起一支近2万人的节能监察和节能技术服务队伍，基本覆盖了省、市、县三个层面，为贯彻落实国家《节约能源法》和促进工业节能减排作出了积极贡献。但当前节能监察工作仍存在工作体系不够健全、方式方法不够统一、标准程序不够规范、人员技能不够平衡等问题，这些问题在很大程度上影响和制约了节能监察支撑作用的有效发挥。</w:t>
      </w:r>
    </w:p>
    <w:p>
      <w:pPr>
        <w:spacing w:line="560" w:lineRule="exact"/>
        <w:ind w:firstLine="640" w:firstLineChars="200"/>
        <w:rPr>
          <w:rStyle w:val="15"/>
          <w:rFonts w:eastAsia="黑体"/>
          <w:b w:val="0"/>
          <w:bCs/>
          <w:spacing w:val="-4"/>
          <w:sz w:val="32"/>
          <w:szCs w:val="32"/>
          <w:highlight w:val="yellow"/>
        </w:rPr>
      </w:pPr>
      <w:r>
        <w:rPr>
          <w:rFonts w:hint="eastAsia" w:ascii="Times New Roman" w:hAnsi="Times New Roman" w:eastAsia="仿宋_GB2312" w:cs="Times New Roman"/>
          <w:sz w:val="32"/>
          <w:szCs w:val="32"/>
          <w:lang w:val="en-US" w:eastAsia="zh-CN"/>
        </w:rPr>
        <w:t>2016年以来，工业和信息化部着力加强工业节能监察体制机制建设，每年组织实施国家重大工业节能专项监察和专项督查，开展了工业节能监察业务培训，工业节能监察体制机制建设取得了显著成效。但在监察中也发现仍然存在着监察程序标准不统一、执法文书不规范、缺乏细致具体的指导性规范等问题，影响和制约了工业节能监察效能的提升。为了解决好这些问题和不足，进一步增强工业节能监察的指导性，进一步统一和规范监察工作程序和标准，2016年以来我们重点选择了钢铁、水泥、陶瓷、玻璃、电石、铁合金、造纸、合成氨、氯碱、电解铝等行业，根据节能法律法规和政策标准要求，结合行业、产品生产技术、技术装备等特点，研究制定行业性节能监察技术规范和实施指南，指导工业节能监察工作的开展，推动工业节能与绿色发展。2020年，我们承担了国家工业和信息化部的《聚氯乙烯节能监察技术规范和工作手册研究课题项目》，在总结经验的基础上，继续结合重点行业实际情况，进一步扩大节能监察规范覆盖范围，细化和规范聚氯乙烯行业节能监察的内容、方式、方法、程序及工作要求，推动节能监察工作规范化、标准化。</w:t>
      </w:r>
    </w:p>
    <w:p>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在全面了解聚氯乙烯行业生产工艺、主要耗能工序特点和现行强制性标准及相关政策的基础上，明确统一聚氯乙烯行业节能监察的主要内容程序、技术规范、方式方法，以及监察结果科学利用等方面要求。包括：聚氯乙烯行业主要耗能设备；消耗能源的主要种类、统计计量主要方法途径、折标系数采用等；各主要工序能耗核算及与强制性标准对标方法；监察的重点内容、基本程序、主要方法和结果处理等。</w:t>
      </w:r>
      <w:r>
        <w:rPr>
          <w:rFonts w:hint="eastAsia" w:eastAsia="仿宋_GB2312" w:cs="Times New Roman"/>
          <w:sz w:val="32"/>
          <w:szCs w:val="32"/>
          <w:highlight w:val="none"/>
          <w:lang w:val="en-US" w:eastAsia="zh-CN"/>
        </w:rPr>
        <w:t>2020年，完成了</w:t>
      </w:r>
      <w:r>
        <w:rPr>
          <w:rFonts w:hint="eastAsia" w:ascii="Times New Roman" w:hAnsi="Times New Roman" w:eastAsia="仿宋_GB2312" w:cs="Times New Roman"/>
          <w:sz w:val="32"/>
          <w:szCs w:val="32"/>
          <w:highlight w:val="none"/>
          <w:lang w:val="en-US" w:eastAsia="zh-CN"/>
        </w:rPr>
        <w:t>《聚氯乙烯行业节能监察技术规范》和《行业能耗专项监察工作手册》文稿及宣传课件</w:t>
      </w:r>
      <w:r>
        <w:rPr>
          <w:rFonts w:hint="eastAsia" w:eastAsia="仿宋_GB2312" w:cs="Times New Roman"/>
          <w:sz w:val="32"/>
          <w:szCs w:val="32"/>
          <w:highlight w:val="none"/>
          <w:lang w:val="en-US" w:eastAsia="zh-CN"/>
        </w:rPr>
        <w:t>的制作，</w:t>
      </w:r>
      <w:r>
        <w:rPr>
          <w:rFonts w:hint="eastAsia" w:ascii="Times New Roman" w:hAnsi="Times New Roman" w:eastAsia="仿宋_GB2312" w:cs="Times New Roman"/>
          <w:sz w:val="32"/>
          <w:szCs w:val="32"/>
          <w:highlight w:val="none"/>
          <w:lang w:val="en-US" w:eastAsia="zh-CN"/>
        </w:rPr>
        <w:t>配合工业和信息化部在实施国家重大工业专项节能监察工作过程中，做好相关宣贯工作。</w:t>
      </w:r>
      <w:r>
        <w:rPr>
          <w:rFonts w:hint="eastAsia" w:eastAsia="仿宋_GB2312" w:cs="Times New Roman"/>
          <w:sz w:val="32"/>
          <w:szCs w:val="32"/>
          <w:highlight w:val="none"/>
          <w:lang w:val="en-US" w:eastAsia="zh-CN"/>
        </w:rPr>
        <w:t>2023年</w:t>
      </w:r>
      <w:r>
        <w:rPr>
          <w:rFonts w:hint="eastAsia" w:ascii="Times New Roman" w:hAnsi="Times New Roman" w:eastAsia="仿宋_GB2312" w:cs="Times New Roman"/>
          <w:color w:val="000000"/>
          <w:spacing w:val="17"/>
          <w:sz w:val="32"/>
          <w:szCs w:val="32"/>
          <w:highlight w:val="none"/>
        </w:rPr>
        <w:t>在全面了解聚氯乙烯行业生产工艺、主要耗能工序特点和现行强制性标准及相关政策的基础上，明确统一聚氯乙烯行业节能监察的主要内容程序、技术规范、方式方法，以及监察结果科学利用等方面要求。完成技术规范使用情况的调研报告</w:t>
      </w:r>
      <w:r>
        <w:rPr>
          <w:rFonts w:hint="eastAsia" w:ascii="Times New Roman" w:hAnsi="Times New Roman" w:eastAsia="仿宋_GB2312" w:cs="Times New Roman"/>
          <w:color w:val="000000"/>
          <w:spacing w:val="17"/>
          <w:sz w:val="32"/>
          <w:szCs w:val="32"/>
          <w:highlight w:val="none"/>
          <w:lang w:eastAsia="zh-CN"/>
        </w:rPr>
        <w:t>。</w:t>
      </w:r>
    </w:p>
    <w:p>
      <w:pPr>
        <w:spacing w:line="600" w:lineRule="exact"/>
        <w:ind w:firstLine="640" w:firstLineChars="200"/>
        <w:rPr>
          <w:rFonts w:hint="default" w:eastAsia="仿宋_GB2312"/>
          <w:sz w:val="32"/>
          <w:szCs w:val="32"/>
          <w:highlight w:val="none"/>
          <w:lang w:val="en-US" w:eastAsia="zh-CN"/>
        </w:rPr>
      </w:pPr>
      <w:r>
        <w:rPr>
          <w:rFonts w:eastAsia="仿宋_GB2312"/>
          <w:sz w:val="32"/>
          <w:szCs w:val="32"/>
        </w:rPr>
        <w:t>项目实施情况：项目目前已经</w:t>
      </w:r>
      <w:r>
        <w:rPr>
          <w:rFonts w:hint="eastAsia" w:eastAsia="仿宋_GB2312"/>
          <w:sz w:val="32"/>
          <w:szCs w:val="32"/>
          <w:highlight w:val="none"/>
          <w:lang w:val="en-US" w:eastAsia="zh-CN"/>
        </w:rPr>
        <w:t>完成聚氯乙烯行业《聚氯乙烯行业节能监察技术规范》和《聚氯乙烯行业能耗专项监察工作手册》技术规范使用情况的调研报告。</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该项目年初预算数5.43万元，全年预算数5.43万元，实际总投入5.43万元，该项目资金已全部落实到位，资金来源为</w:t>
      </w:r>
      <w:r>
        <w:rPr>
          <w:rFonts w:hint="eastAsia" w:ascii="仿宋_GB2312" w:hAnsi="仿宋" w:eastAsia="仿宋_GB2312" w:cs="Times New Roman"/>
          <w:kern w:val="2"/>
          <w:sz w:val="32"/>
          <w:szCs w:val="32"/>
          <w:lang w:val="en-US" w:eastAsia="zh-CN" w:bidi="ar-SA"/>
        </w:rPr>
        <w:t>非财政拨款资金</w:t>
      </w:r>
      <w:r>
        <w:rPr>
          <w:rFonts w:hint="eastAsia"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该项目年初预算数5.43万元，全年预算数5.43万元，全年执行数5.43万元，预算执行率为100%，主要用于：</w:t>
      </w:r>
      <w:r>
        <w:rPr>
          <w:rFonts w:hint="eastAsia" w:ascii="仿宋_GB2312" w:hAnsi="仿宋" w:eastAsia="仿宋_GB2312" w:cs="Times New Roman"/>
          <w:kern w:val="2"/>
          <w:sz w:val="32"/>
          <w:szCs w:val="32"/>
          <w:lang w:val="en-US" w:eastAsia="zh-CN" w:bidi="ar-SA"/>
        </w:rPr>
        <w:t>支付项目实施进程中的各项费用。</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全面了解聚氯乙烯行业生产工艺、主要耗能工序特点和现行强制性标准及相关政策的基础上，明确统一聚氯乙烯行业节能监察的主要内容程序、技术规范、方式方法，以及监察结果科学利用等方面要求。完成技术规范使用情况的调研报告。</w:t>
      </w:r>
    </w:p>
    <w:p>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2、阶段性目标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（1）前期准备：成立由节能监察机构负责，行业强制性能耗限额标准制定单位及行业协会参与，行业内重点企业（聚氯乙烯企业）及相关部门专业人员配合的课题小组。</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（2）组织实施：制作《聚氯乙烯行业节能监察技术规范》宣传课件，说明聚氯乙烯行业节能监察要求，结合实际说明节能监察注意事项和常见问题。</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240" w:lineRule="auto"/>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b w:val="0"/>
          <w:bCs w:val="0"/>
          <w:kern w:val="28"/>
          <w:sz w:val="32"/>
          <w:szCs w:val="32"/>
          <w:highlight w:val="none"/>
          <w:lang w:val="en-US" w:eastAsia="zh-CN" w:bidi="ar-SA"/>
        </w:rPr>
        <w:t>聚氯乙烯节能监察技术规范和工作手册研究课题</w:t>
      </w:r>
      <w:r>
        <w:rPr>
          <w:rFonts w:hint="eastAsia" w:ascii="仿宋_GB2312" w:hAnsi="仿宋_GB2312" w:eastAsia="仿宋_GB2312" w:cs="仿宋_GB2312"/>
          <w:sz w:val="32"/>
          <w:szCs w:val="32"/>
        </w:rPr>
        <w:t>项目所包含的全部项目内容。</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Times New Roman" w:hAnsi="Times New Roman" w:eastAsia="仿宋_GB2312" w:cs="Times New Roman"/>
          <w:b w:val="0"/>
          <w:bCs w:val="0"/>
          <w:kern w:val="28"/>
          <w:sz w:val="32"/>
          <w:szCs w:val="32"/>
          <w:highlight w:val="none"/>
          <w:lang w:val="en-US" w:eastAsia="zh-CN" w:bidi="ar-SA"/>
        </w:rPr>
        <w:t>聚氯乙烯节能监察技术规范和工作手册研究课题</w:t>
      </w:r>
      <w:r>
        <w:rPr>
          <w:rFonts w:hint="eastAsia" w:ascii="仿宋_GB2312" w:hAnsi="仿宋_GB2312" w:eastAsia="仿宋_GB2312" w:cs="仿宋_GB2312"/>
          <w:sz w:val="32"/>
          <w:szCs w:val="32"/>
        </w:rPr>
        <w:t>项目进行评价，评价核心为专项资金的支出完成情况和效果。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640" w:firstLineChars="20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对聚氯乙烯节能监察技术规范和工作手册研究课题项目项目进行客观评价，最终评分结果：总得分为100分，属于“优”。其中，项目决策类指标权重为20分，得分为 20分，得分率为100%。项目过程类指标权重为20分，得分为20分，得分率为100%。项目产出类指标权重为40分，得分为40分，得分率为100%。项目效益类指标权重为20分，得分为20分，得分率为100%。</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640"/>
        <w:rPr>
          <w:rFonts w:eastAsia="方正仿宋_GBK" w:cs="方正仿宋_GBK"/>
          <w:color w:val="FF0000"/>
          <w:sz w:val="32"/>
          <w:szCs w:val="32"/>
          <w:highlight w:val="none"/>
        </w:rPr>
      </w:pPr>
      <w:r>
        <w:rPr>
          <w:rFonts w:hint="eastAsia" w:eastAsia="方正仿宋_GBK" w:cs="方正仿宋_GBK"/>
          <w:sz w:val="32"/>
          <w:szCs w:val="32"/>
        </w:rPr>
        <w:t>绩效评价标准通常包括计划标准、行业标准、历史标准等，用于对绩效指标完成情况进行比较、分析、评</w:t>
      </w:r>
      <w:r>
        <w:rPr>
          <w:rFonts w:hint="eastAsia" w:eastAsia="方正仿宋_GBK" w:cs="方正仿宋_GBK"/>
          <w:sz w:val="32"/>
          <w:szCs w:val="32"/>
          <w:highlight w:val="none"/>
        </w:rPr>
        <w:t>价。本次</w:t>
      </w:r>
      <w:r>
        <w:rPr>
          <w:rFonts w:hint="eastAsia" w:eastAsia="方正仿宋_GBK" w:cs="方正仿宋_GBK"/>
          <w:color w:val="auto"/>
          <w:sz w:val="32"/>
          <w:szCs w:val="32"/>
          <w:highlight w:val="none"/>
        </w:rPr>
        <w:t>评价主要采用了计划标准和</w:t>
      </w:r>
      <w:r>
        <w:rPr>
          <w:rFonts w:hint="eastAsia" w:eastAsia="方正仿宋_GBK" w:cs="方正仿宋_GBK"/>
          <w:color w:val="auto"/>
          <w:sz w:val="32"/>
          <w:szCs w:val="32"/>
          <w:highlight w:val="none"/>
          <w:lang w:val="en-US" w:eastAsia="zh-CN"/>
        </w:rPr>
        <w:t>历史标准</w:t>
      </w:r>
      <w:r>
        <w:rPr>
          <w:rFonts w:hint="eastAsia" w:eastAsia="方正仿宋_GBK" w:cs="方正仿宋_GBK"/>
          <w:color w:val="auto"/>
          <w:sz w:val="32"/>
          <w:szCs w:val="32"/>
          <w:highlight w:val="none"/>
        </w:rPr>
        <w:t>。</w:t>
      </w:r>
    </w:p>
    <w:p>
      <w:pPr>
        <w:spacing w:line="560" w:lineRule="exact"/>
        <w:ind w:firstLine="640"/>
        <w:rPr>
          <w:rFonts w:eastAsia="方正仿宋_GBK" w:cs="方正仿宋_GBK"/>
          <w:sz w:val="32"/>
          <w:szCs w:val="32"/>
        </w:rPr>
      </w:pPr>
      <w:bookmarkStart w:id="0" w:name="_Toc31464"/>
      <w:bookmarkStart w:id="1" w:name="_Toc17882"/>
      <w:r>
        <w:rPr>
          <w:rFonts w:hint="eastAsia" w:eastAsia="方正仿宋_GBK" w:cs="方正仿宋_GBK"/>
          <w:b/>
          <w:bCs/>
          <w:sz w:val="32"/>
          <w:szCs w:val="32"/>
        </w:rPr>
        <w:t>计划标准：</w:t>
      </w:r>
      <w:r>
        <w:rPr>
          <w:rFonts w:hint="eastAsia" w:eastAsia="方正仿宋_GBK" w:cs="方正仿宋_GBK"/>
          <w:sz w:val="32"/>
          <w:szCs w:val="32"/>
        </w:rPr>
        <w:t>指以预先制定的目标、计划、预算、定额等作为评价标准。</w:t>
      </w:r>
      <w:bookmarkEnd w:id="0"/>
      <w:bookmarkEnd w:id="1"/>
    </w:p>
    <w:p>
      <w:pPr>
        <w:spacing w:line="560" w:lineRule="exact"/>
        <w:ind w:firstLine="640"/>
        <w:rPr>
          <w:rFonts w:eastAsia="方正仿宋_GBK" w:cs="方正仿宋_GBK"/>
          <w:sz w:val="32"/>
          <w:szCs w:val="32"/>
        </w:rPr>
      </w:pPr>
      <w:bookmarkStart w:id="2" w:name="_Toc430"/>
      <w:bookmarkStart w:id="3" w:name="_Toc16028"/>
      <w:r>
        <w:rPr>
          <w:rFonts w:hint="eastAsia" w:eastAsia="方正仿宋_GBK" w:cs="方正仿宋_GBK"/>
          <w:b/>
          <w:bCs/>
          <w:sz w:val="32"/>
          <w:szCs w:val="32"/>
        </w:rPr>
        <w:t>历史标准：</w:t>
      </w:r>
      <w:r>
        <w:rPr>
          <w:rFonts w:hint="eastAsia" w:eastAsia="方正仿宋_GBK" w:cs="方正仿宋_GBK"/>
          <w:sz w:val="32"/>
          <w:szCs w:val="32"/>
        </w:rPr>
        <w:t>指参照历史数据制定的评价标准，为体现绩效改进的原则，在可实现的条件下应当确定相对较高的评价标准。</w:t>
      </w:r>
      <w:bookmarkEnd w:id="2"/>
      <w:bookmarkEnd w:id="3"/>
    </w:p>
    <w:p>
      <w:pPr>
        <w:pStyle w:val="2"/>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highlight w:val="yellow"/>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根据决算依据编制工作计划和经费预算，经过与部门项目分管领导沟通、筛选确定经费预算计划，确定最终预算方案。项目的审批文件、材料符合相关要求，项目事前经过必要的绩效评估，保障了程序的规范性。</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w:t>
      </w:r>
      <w:r>
        <w:rPr>
          <w:rFonts w:hint="eastAsia" w:ascii="仿宋_GB2312" w:hAnsi="仿宋_GB2312" w:eastAsia="仿宋_GB2312" w:cs="仿宋_GB2312"/>
          <w:sz w:val="32"/>
          <w:szCs w:val="32"/>
          <w:highlight w:val="none"/>
          <w:lang w:val="en-US" w:eastAsia="zh-CN"/>
        </w:rPr>
        <w:t>，权重分值为20分，实际得分20分，得分率为100%。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本项目总投资5.43万元，非财政资金及时足额到位，到位率100%，预算资金按计划进度执行。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预算编制较为详细，项目资金支出总体能够按照预算执行，预算资金支出5.43万元，预算执行率为100%。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项目产出类指标包括产出数量、产出质量、产出时效三方面的内容</w:t>
      </w:r>
      <w:r>
        <w:rPr>
          <w:rFonts w:hint="eastAsia" w:ascii="仿宋_GB2312" w:hAnsi="仿宋_GB2312" w:eastAsia="仿宋_GB2312" w:cs="仿宋_GB2312"/>
          <w:sz w:val="32"/>
          <w:szCs w:val="32"/>
          <w:highlight w:val="none"/>
          <w:lang w:val="en-US" w:eastAsia="zh-CN"/>
        </w:rPr>
        <w:t>，由5个三级指标构成，权重分为40分，实际得分40分，得分率为100%。具体产出指标完成情况如下：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指标1：调研企业数量，指标值：</w:t>
      </w:r>
      <w:r>
        <w:rPr>
          <w:rFonts w:hint="eastAsia" w:ascii="仿宋_GB2312" w:hAnsi="仿宋_GB2312" w:eastAsia="仿宋_GB2312" w:cs="仿宋_GB2312"/>
          <w:sz w:val="32"/>
          <w:szCs w:val="32"/>
          <w:highlight w:val="none"/>
          <w:lang w:val="en-US" w:eastAsia="zh-CN"/>
        </w:rPr>
        <w:t>5家</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5家</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完成调研报告，指标值：1份，实际完成值：1份，指标完成率100%。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调研报告合格率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调研报告按时完成率，指标值：95%，实际完成值：95%，指标完成率100%。</w:t>
      </w:r>
    </w:p>
    <w:p>
      <w:pPr>
        <w:pStyle w:val="11"/>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社会效益指标：</w:t>
      </w:r>
      <w:bookmarkStart w:id="7" w:name="_GoBack"/>
      <w:bookmarkEnd w:id="7"/>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提升企业节能意识，指标值：有效提升，实际完成值：有效提升，完成率100%。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企业满意度，指标值：95%，实际完成值：95%，完成率100%。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8"/>
        <w:spacing w:line="560" w:lineRule="exact"/>
        <w:ind w:firstLine="640"/>
        <w:rPr>
          <w:rFonts w:eastAsia="方正仿宋_GBK" w:cs="方正仿宋_GBK"/>
          <w:sz w:val="32"/>
          <w:szCs w:val="32"/>
          <w:highlight w:val="none"/>
        </w:rPr>
      </w:pPr>
      <w:r>
        <w:rPr>
          <w:rFonts w:hint="eastAsia" w:eastAsia="方正仿宋_GBK" w:cs="方正仿宋_GBK"/>
          <w:sz w:val="32"/>
          <w:szCs w:val="32"/>
          <w:highlight w:val="none"/>
          <w:lang w:val="en-US" w:eastAsia="zh-CN"/>
        </w:rPr>
        <w:t>聚氯乙烯节能监察技术规范和工作手册研究课题</w:t>
      </w:r>
      <w:r>
        <w:rPr>
          <w:rFonts w:hint="eastAsia" w:eastAsia="方正仿宋_GBK" w:cs="方正仿宋_GBK"/>
          <w:sz w:val="32"/>
          <w:szCs w:val="32"/>
          <w:highlight w:val="none"/>
        </w:rPr>
        <w:t>项目年初预算</w:t>
      </w:r>
      <w:r>
        <w:rPr>
          <w:rFonts w:hint="eastAsia" w:eastAsia="方正仿宋_GBK" w:cs="方正仿宋_GBK"/>
          <w:sz w:val="32"/>
          <w:szCs w:val="32"/>
          <w:highlight w:val="none"/>
          <w:lang w:val="en-US" w:eastAsia="zh-CN"/>
        </w:rPr>
        <w:t>5.43</w:t>
      </w:r>
      <w:r>
        <w:rPr>
          <w:rFonts w:hint="eastAsia" w:eastAsia="方正仿宋_GBK" w:cs="方正仿宋_GBK"/>
          <w:sz w:val="32"/>
          <w:szCs w:val="32"/>
          <w:highlight w:val="none"/>
        </w:rPr>
        <w:t>万元，全年预算</w:t>
      </w:r>
      <w:r>
        <w:rPr>
          <w:rFonts w:hint="eastAsia" w:eastAsia="方正仿宋_GBK" w:cs="方正仿宋_GBK"/>
          <w:sz w:val="32"/>
          <w:szCs w:val="32"/>
          <w:highlight w:val="none"/>
          <w:lang w:val="en-US" w:eastAsia="zh-CN"/>
        </w:rPr>
        <w:t>5.43</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5.43</w:t>
      </w:r>
      <w:r>
        <w:rPr>
          <w:rFonts w:hint="eastAsia" w:eastAsia="方正仿宋_GBK" w:cs="方正仿宋_GBK"/>
          <w:sz w:val="32"/>
          <w:szCs w:val="32"/>
          <w:highlight w:val="none"/>
        </w:rPr>
        <w:t>万元，预算执行率为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r>
        <w:rPr>
          <w:rFonts w:hint="eastAsia" w:eastAsia="方正仿宋_GBK" w:cs="方正仿宋_GBK"/>
          <w:sz w:val="32"/>
          <w:szCs w:val="32"/>
          <w:highlight w:val="none"/>
        </w:rPr>
        <w:t>偏差率为</w:t>
      </w:r>
      <w:r>
        <w:rPr>
          <w:rFonts w:hint="eastAsia" w:eastAsia="方正仿宋_GBK" w:cs="方正仿宋_GBK"/>
          <w:sz w:val="32"/>
          <w:szCs w:val="32"/>
          <w:highlight w:val="none"/>
          <w:lang w:val="en-US" w:eastAsia="zh-CN"/>
        </w:rPr>
        <w:t>0</w:t>
      </w:r>
      <w:r>
        <w:rPr>
          <w:rFonts w:hint="eastAsia" w:eastAsia="方正仿宋_GBK" w:cs="方正仿宋_GBK"/>
          <w:sz w:val="32"/>
          <w:szCs w:val="32"/>
          <w:highlight w:val="none"/>
        </w:rPr>
        <w:t>%。</w:t>
      </w:r>
    </w:p>
    <w:p>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w:t>
      </w:r>
      <w:r>
        <w:rPr>
          <w:rFonts w:hint="eastAsia" w:ascii="Times New Roman" w:hAnsi="Times New Roman" w:eastAsia="仿宋_GB2312"/>
          <w:b w:val="0"/>
          <w:bCs w:val="0"/>
          <w:kern w:val="2"/>
          <w:lang w:val="en-US" w:eastAsia="zh-CN"/>
        </w:rPr>
        <w:t>专款专用</w:t>
      </w:r>
      <w:r>
        <w:rPr>
          <w:rFonts w:ascii="Times New Roman" w:hAnsi="Times New Roman" w:eastAsia="仿宋_GB2312"/>
          <w:b w:val="0"/>
          <w:bCs w:val="0"/>
          <w:kern w:val="2"/>
        </w:rPr>
        <w:t>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4" w:name="page8"/>
      <w:bookmarkEnd w:id="4"/>
      <w:r>
        <w:rPr>
          <w:rFonts w:eastAsia="黑体"/>
          <w:sz w:val="32"/>
          <w:szCs w:val="32"/>
        </w:rPr>
        <w:t>明的问题</w:t>
      </w:r>
    </w:p>
    <w:p>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99"/>
        <w:gridCol w:w="886"/>
        <w:gridCol w:w="985"/>
        <w:gridCol w:w="1281"/>
        <w:gridCol w:w="1072"/>
        <w:gridCol w:w="1084"/>
        <w:gridCol w:w="927"/>
        <w:gridCol w:w="985"/>
        <w:gridCol w:w="1182"/>
        <w:gridCol w:w="748"/>
        <w:gridCol w:w="1146"/>
        <w:gridCol w:w="781"/>
        <w:gridCol w:w="810"/>
        <w:gridCol w:w="1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00" w:hRule="atLeast"/>
        </w:trPr>
        <w:tc>
          <w:tcPr>
            <w:tcW w:w="0" w:type="auto"/>
            <w:gridSpan w:val="14"/>
            <w:tcBorders>
              <w:top w:val="nil"/>
              <w:left w:val="nil"/>
              <w:bottom w:val="nil"/>
              <w:right w:val="nil"/>
            </w:tcBorders>
            <w:shd w:val="clear"/>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0" w:type="auto"/>
            <w:gridSpan w:val="14"/>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  2023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项目名称</w:t>
            </w:r>
          </w:p>
        </w:tc>
        <w:tc>
          <w:tcPr>
            <w:tcW w:w="0" w:type="auto"/>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聚氯乙烯节能监察技术规范和工作手册研究课题项目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实施单位</w:t>
            </w: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新疆维吾尔自治区节能监察总队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项目资金</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资金来源</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全年执行数</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5.43</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5.43</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5.43</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其中：当年财政拨款</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其他资金</w:t>
            </w:r>
          </w:p>
        </w:tc>
        <w:tc>
          <w:tcPr>
            <w:tcW w:w="0" w:type="auto"/>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5.43</w:t>
            </w:r>
          </w:p>
        </w:tc>
        <w:tc>
          <w:tcPr>
            <w:tcW w:w="0" w:type="auto"/>
            <w:gridSpan w:val="2"/>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5.43</w:t>
            </w:r>
          </w:p>
        </w:tc>
        <w:tc>
          <w:tcPr>
            <w:tcW w:w="0" w:type="auto"/>
            <w:gridSpan w:val="2"/>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5.43</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年度总体目标</w:t>
            </w:r>
          </w:p>
        </w:tc>
        <w:tc>
          <w:tcPr>
            <w:tcW w:w="0" w:type="auto"/>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在全面了解聚氯乙烯行业生产工艺、主要耗能工序特点和现行强制性标准及相关政策的基础上，明确统一聚氯乙烯行业节能监察的主要内容程序、技术规范、方式方法，以及监察结果科学利用等方面要求。完成技术规范使用情况的调研报告。</w:t>
            </w: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完成聚氯乙烯行业《聚氯乙烯行业节能监察技术规范》和《聚氯乙烯行业能耗专项监察工作手册》技术规范使用情况的调研报告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指标值设置依据</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上年完成值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指标分值权重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指标赋分规则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佐证资料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指标实际完成值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指标得分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调研企业数量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&gt;=5家</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0家</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5家</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完成调研报告</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&gt;=1份</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0份</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1份</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调研报告合格率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调研报告按时完成率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调研工作按时完成率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提升企业节能意识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直接赋分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企业满意度</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0" w:type="auto"/>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bl>
    <w:p>
      <w:pPr>
        <w:pStyle w:val="2"/>
        <w:jc w:val="both"/>
        <w:rPr>
          <w:rFonts w:ascii="Times New Roman" w:hAnsi="Times New Roman" w:eastAsia="黑体"/>
          <w:b w:val="0"/>
          <w:bCs w:val="0"/>
        </w:rPr>
      </w:pPr>
    </w:p>
    <w:p>
      <w:pPr>
        <w:pStyle w:val="2"/>
        <w:rPr>
          <w:rFonts w:ascii="Times New Roman" w:hAnsi="Times New Roman" w:eastAsia="黑体"/>
          <w:b w:val="0"/>
          <w:bCs w:val="0"/>
        </w:rPr>
      </w:pPr>
    </w:p>
    <w:p>
      <w:pPr>
        <w:pStyle w:val="2"/>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18"/>
        <w:ind w:firstLine="562"/>
        <w:jc w:val="center"/>
        <w:rPr>
          <w:sz w:val="28"/>
          <w:szCs w:val="40"/>
          <w:highlight w:val="none"/>
        </w:rPr>
      </w:pPr>
      <w:bookmarkStart w:id="5" w:name="_Toc26499_WPSOffice_Level2"/>
      <w:bookmarkStart w:id="6" w:name="_Toc30064_WPSOffice_Level1"/>
      <w:r>
        <w:rPr>
          <w:rFonts w:hint="eastAsia"/>
          <w:b/>
          <w:bCs/>
          <w:sz w:val="28"/>
          <w:szCs w:val="40"/>
          <w:highlight w:val="none"/>
        </w:rPr>
        <w:t>聚氯乙烯节能监察技术规范和工作手册研究课题项目绩效评价指标体系及综合评分表</w:t>
      </w:r>
      <w:bookmarkEnd w:id="5"/>
      <w:bookmarkEnd w:id="6"/>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8"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8"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8" w:type="pct"/>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continue"/>
            <w:shd w:val="clear" w:color="auto" w:fill="FFFFFF"/>
            <w:vAlign w:val="center"/>
          </w:tcPr>
          <w:p>
            <w:pPr>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EA5831-3CC7-4B25-B02D-EF40BAB368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66521D7-EE3E-4870-90C5-0AD40947F95F}"/>
  </w:font>
  <w:font w:name="华文中宋">
    <w:altName w:val="宋体"/>
    <w:panose1 w:val="02010600040101010101"/>
    <w:charset w:val="86"/>
    <w:family w:val="auto"/>
    <w:pitch w:val="default"/>
    <w:sig w:usb0="00000000" w:usb1="00000000" w:usb2="00000000" w:usb3="00000000" w:csb0="0004009F" w:csb1="DFD70000"/>
    <w:embedRegular r:id="rId3" w:fontKey="{7A0EBAA4-BD5D-4A86-B2AB-BAE10208A0D4}"/>
  </w:font>
  <w:font w:name="方正小标宋_GBK">
    <w:panose1 w:val="02000000000000000000"/>
    <w:charset w:val="86"/>
    <w:family w:val="script"/>
    <w:pitch w:val="default"/>
    <w:sig w:usb0="A00002BF" w:usb1="38CF7CFA" w:usb2="00082016" w:usb3="00000000" w:csb0="00040001" w:csb1="00000000"/>
    <w:embedRegular r:id="rId4" w:fontKey="{25CCD0F0-A3FB-472D-A3DC-068AA0C29C07}"/>
  </w:font>
  <w:font w:name="楷体_GB2312">
    <w:panose1 w:val="02010609030101010101"/>
    <w:charset w:val="86"/>
    <w:family w:val="auto"/>
    <w:pitch w:val="default"/>
    <w:sig w:usb0="00000001" w:usb1="080E0000" w:usb2="00000000" w:usb3="00000000" w:csb0="00040000" w:csb1="00000000"/>
    <w:embedRegular r:id="rId5" w:fontKey="{1A6B3AD0-D84F-476E-8E51-8D15746166A6}"/>
  </w:font>
  <w:font w:name="方正仿宋_GBK">
    <w:altName w:val="微软雅黑"/>
    <w:panose1 w:val="03000509000000000000"/>
    <w:charset w:val="86"/>
    <w:family w:val="auto"/>
    <w:pitch w:val="default"/>
    <w:sig w:usb0="00000000" w:usb1="00000000" w:usb2="00000000" w:usb3="00000000" w:csb0="00040000" w:csb1="00000000"/>
    <w:embedRegular r:id="rId6" w:fontKey="{12B52F78-74F6-4B4A-AA6E-3E6E59A26070}"/>
  </w:font>
  <w:font w:name="楷体">
    <w:panose1 w:val="02010609060101010101"/>
    <w:charset w:val="86"/>
    <w:family w:val="modern"/>
    <w:pitch w:val="default"/>
    <w:sig w:usb0="800002BF" w:usb1="38CF7CFA" w:usb2="00000016" w:usb3="00000000" w:csb0="00040001" w:csb1="00000000"/>
    <w:embedRegular r:id="rId7" w:fontKey="{DF3F772E-8FA4-4E4D-A187-2BDBB87A3AB9}"/>
  </w:font>
  <w:font w:name="方正小标宋简体">
    <w:panose1 w:val="02000000000000000000"/>
    <w:charset w:val="86"/>
    <w:family w:val="auto"/>
    <w:pitch w:val="default"/>
    <w:sig w:usb0="00000001" w:usb1="08000000" w:usb2="00000000" w:usb3="00000000" w:csb0="00040000" w:csb1="00000000"/>
    <w:embedRegular r:id="rId8" w:fontKey="{E6AC15B6-18FA-4F2C-ABA3-25606A08A27E}"/>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9" w:fontKey="{32A837EF-BF02-4FA4-9522-59493CE77078}"/>
  </w:font>
  <w:font w:name="华文中宋">
    <w:altName w:val="宋体"/>
    <w:panose1 w:val="00000000000000000000"/>
    <w:charset w:val="00"/>
    <w:family w:val="auto"/>
    <w:pitch w:val="default"/>
    <w:sig w:usb0="00000000" w:usb1="00000000" w:usb2="00000000" w:usb3="00000000" w:csb0="00000000" w:csb1="00000000"/>
    <w:embedRegular r:id="rId10" w:fontKey="{3F0F7338-D0C8-40FA-974E-6E8656CEC5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5YmI1Y2EyYmI4NzcxOTJiMWU1MGVmZjQyMmM5N2QifQ=="/>
  </w:docVars>
  <w:rsids>
    <w:rsidRoot w:val="FF6C4049"/>
    <w:rsid w:val="006F7242"/>
    <w:rsid w:val="007B168A"/>
    <w:rsid w:val="007C1999"/>
    <w:rsid w:val="008B2CFE"/>
    <w:rsid w:val="00D6412B"/>
    <w:rsid w:val="00F26FF6"/>
    <w:rsid w:val="0282361A"/>
    <w:rsid w:val="02B71517"/>
    <w:rsid w:val="03D77614"/>
    <w:rsid w:val="053D39CE"/>
    <w:rsid w:val="07397B77"/>
    <w:rsid w:val="09C93315"/>
    <w:rsid w:val="0C3B1C9C"/>
    <w:rsid w:val="13471461"/>
    <w:rsid w:val="13B90F01"/>
    <w:rsid w:val="15F56771"/>
    <w:rsid w:val="165C7643"/>
    <w:rsid w:val="170F513E"/>
    <w:rsid w:val="181066D2"/>
    <w:rsid w:val="1C671E73"/>
    <w:rsid w:val="1F1D5CC7"/>
    <w:rsid w:val="23244DE0"/>
    <w:rsid w:val="26D77A87"/>
    <w:rsid w:val="2B0F0030"/>
    <w:rsid w:val="2BDA3B4A"/>
    <w:rsid w:val="2E126813"/>
    <w:rsid w:val="2F364819"/>
    <w:rsid w:val="31175F84"/>
    <w:rsid w:val="3418467A"/>
    <w:rsid w:val="35A26038"/>
    <w:rsid w:val="368C11C2"/>
    <w:rsid w:val="381F09ED"/>
    <w:rsid w:val="38CA40DD"/>
    <w:rsid w:val="395F2B56"/>
    <w:rsid w:val="39F46D6D"/>
    <w:rsid w:val="3A9503B6"/>
    <w:rsid w:val="3AD46C94"/>
    <w:rsid w:val="3BECE841"/>
    <w:rsid w:val="3D394335"/>
    <w:rsid w:val="3DA619DF"/>
    <w:rsid w:val="3DB32CC8"/>
    <w:rsid w:val="3DB33324"/>
    <w:rsid w:val="3DCE6A26"/>
    <w:rsid w:val="3E4E3ACE"/>
    <w:rsid w:val="3EC56E63"/>
    <w:rsid w:val="3FF7797D"/>
    <w:rsid w:val="413B181B"/>
    <w:rsid w:val="432D3312"/>
    <w:rsid w:val="43FD7271"/>
    <w:rsid w:val="440E28E3"/>
    <w:rsid w:val="466C40D0"/>
    <w:rsid w:val="468E3747"/>
    <w:rsid w:val="47B44626"/>
    <w:rsid w:val="47CC4257"/>
    <w:rsid w:val="4E7E2C51"/>
    <w:rsid w:val="4F5B6594"/>
    <w:rsid w:val="50281F13"/>
    <w:rsid w:val="57691208"/>
    <w:rsid w:val="5B3A5112"/>
    <w:rsid w:val="5BA051DE"/>
    <w:rsid w:val="5BFF6039"/>
    <w:rsid w:val="5D576714"/>
    <w:rsid w:val="5D76A616"/>
    <w:rsid w:val="5D7F20B9"/>
    <w:rsid w:val="5DAC7D0E"/>
    <w:rsid w:val="5F98B5AF"/>
    <w:rsid w:val="5FFE8511"/>
    <w:rsid w:val="5FFEACE2"/>
    <w:rsid w:val="63A12380"/>
    <w:rsid w:val="643EE26D"/>
    <w:rsid w:val="659410CD"/>
    <w:rsid w:val="694E373D"/>
    <w:rsid w:val="69B334D8"/>
    <w:rsid w:val="6F5C41AC"/>
    <w:rsid w:val="6FAF6C78"/>
    <w:rsid w:val="6FC708BC"/>
    <w:rsid w:val="71AC27D5"/>
    <w:rsid w:val="7317C656"/>
    <w:rsid w:val="734ED73F"/>
    <w:rsid w:val="74640CE2"/>
    <w:rsid w:val="750C6600"/>
    <w:rsid w:val="75726DE4"/>
    <w:rsid w:val="779D3ACF"/>
    <w:rsid w:val="77FD8BE9"/>
    <w:rsid w:val="7976327E"/>
    <w:rsid w:val="79A9BD3F"/>
    <w:rsid w:val="7BA05F62"/>
    <w:rsid w:val="7BED0E7B"/>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9895</Words>
  <Characters>10218</Characters>
  <Lines>58</Lines>
  <Paragraphs>16</Paragraphs>
  <TotalTime>13</TotalTime>
  <ScaleCrop>false</ScaleCrop>
  <LinksUpToDate>false</LinksUpToDate>
  <CharactersWithSpaces>10239</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蝈蝈 </cp:lastModifiedBy>
  <dcterms:modified xsi:type="dcterms:W3CDTF">2024-05-11T09:40:41Z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6223B62C060C4BD4971784D49B9C98B8_13</vt:lpwstr>
  </property>
</Properties>
</file>