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0EB2A">
      <w:pPr>
        <w:spacing w:line="540" w:lineRule="exact"/>
        <w:jc w:val="center"/>
        <w:rPr>
          <w:rFonts w:eastAsia="华文中宋"/>
          <w:b/>
          <w:kern w:val="0"/>
          <w:sz w:val="52"/>
          <w:szCs w:val="52"/>
        </w:rPr>
      </w:pPr>
    </w:p>
    <w:p w14:paraId="16D3158B">
      <w:pPr>
        <w:spacing w:line="540" w:lineRule="exact"/>
        <w:rPr>
          <w:rFonts w:eastAsia="华文中宋"/>
          <w:b/>
          <w:kern w:val="0"/>
          <w:sz w:val="52"/>
          <w:szCs w:val="52"/>
        </w:rPr>
      </w:pPr>
    </w:p>
    <w:p w14:paraId="579375AE">
      <w:pPr>
        <w:spacing w:line="540" w:lineRule="exact"/>
        <w:jc w:val="center"/>
        <w:rPr>
          <w:rFonts w:eastAsia="华文中宋"/>
          <w:b/>
          <w:kern w:val="0"/>
          <w:sz w:val="52"/>
          <w:szCs w:val="52"/>
        </w:rPr>
      </w:pPr>
    </w:p>
    <w:p w14:paraId="68A2DDD0">
      <w:pPr>
        <w:spacing w:line="540" w:lineRule="exact"/>
        <w:jc w:val="center"/>
        <w:rPr>
          <w:rFonts w:eastAsia="华文中宋"/>
          <w:b/>
          <w:kern w:val="0"/>
          <w:sz w:val="52"/>
          <w:szCs w:val="52"/>
        </w:rPr>
      </w:pPr>
    </w:p>
    <w:p w14:paraId="1F1396FD">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信息中心网络安全标准规范制度汇编</w:t>
      </w:r>
    </w:p>
    <w:p w14:paraId="68CAD357">
      <w:pPr>
        <w:spacing w:line="540" w:lineRule="exact"/>
        <w:jc w:val="center"/>
        <w:rPr>
          <w:rFonts w:eastAsia="方正小标宋_GBK"/>
          <w:kern w:val="0"/>
          <w:sz w:val="48"/>
          <w:szCs w:val="48"/>
        </w:rPr>
      </w:pPr>
      <w:r>
        <w:rPr>
          <w:rFonts w:hint="eastAsia" w:eastAsia="方正小标宋_GBK"/>
          <w:kern w:val="0"/>
          <w:sz w:val="48"/>
          <w:szCs w:val="48"/>
          <w:lang w:val="en-US" w:eastAsia="zh-CN"/>
        </w:rPr>
        <w:t>项目</w:t>
      </w:r>
      <w:r>
        <w:rPr>
          <w:rFonts w:eastAsia="方正小标宋_GBK"/>
          <w:kern w:val="0"/>
          <w:sz w:val="48"/>
          <w:szCs w:val="48"/>
        </w:rPr>
        <w:t>支出绩效评价报告</w:t>
      </w:r>
    </w:p>
    <w:p w14:paraId="4C826636">
      <w:pPr>
        <w:spacing w:line="540" w:lineRule="exact"/>
        <w:jc w:val="center"/>
        <w:rPr>
          <w:rFonts w:eastAsia="华文中宋"/>
          <w:b/>
          <w:kern w:val="0"/>
          <w:sz w:val="52"/>
          <w:szCs w:val="52"/>
        </w:rPr>
      </w:pPr>
    </w:p>
    <w:p w14:paraId="3BEA49F6">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1EB8C27E">
      <w:pPr>
        <w:spacing w:line="540" w:lineRule="exact"/>
        <w:jc w:val="center"/>
        <w:rPr>
          <w:rFonts w:eastAsia="仿宋_GB2312"/>
          <w:kern w:val="0"/>
          <w:sz w:val="30"/>
          <w:szCs w:val="30"/>
        </w:rPr>
      </w:pPr>
    </w:p>
    <w:p w14:paraId="4EE5ECDE">
      <w:pPr>
        <w:spacing w:line="540" w:lineRule="exact"/>
        <w:jc w:val="center"/>
        <w:rPr>
          <w:rFonts w:eastAsia="仿宋_GB2312"/>
          <w:kern w:val="0"/>
          <w:sz w:val="30"/>
          <w:szCs w:val="30"/>
        </w:rPr>
      </w:pPr>
    </w:p>
    <w:p w14:paraId="133E0BDC">
      <w:pPr>
        <w:spacing w:line="540" w:lineRule="exact"/>
        <w:jc w:val="center"/>
        <w:rPr>
          <w:rFonts w:eastAsia="仿宋_GB2312"/>
          <w:kern w:val="0"/>
          <w:sz w:val="30"/>
          <w:szCs w:val="30"/>
        </w:rPr>
      </w:pPr>
    </w:p>
    <w:p w14:paraId="1B527BF0">
      <w:pPr>
        <w:pStyle w:val="10"/>
      </w:pPr>
    </w:p>
    <w:p w14:paraId="78BC031B">
      <w:pPr>
        <w:spacing w:line="540" w:lineRule="exact"/>
        <w:jc w:val="center"/>
        <w:rPr>
          <w:rFonts w:eastAsia="仿宋_GB2312"/>
          <w:kern w:val="0"/>
          <w:sz w:val="30"/>
          <w:szCs w:val="30"/>
        </w:rPr>
      </w:pPr>
    </w:p>
    <w:p w14:paraId="561C4B22">
      <w:pPr>
        <w:spacing w:line="540" w:lineRule="exact"/>
        <w:rPr>
          <w:rFonts w:eastAsia="仿宋_GB2312"/>
          <w:kern w:val="0"/>
          <w:sz w:val="30"/>
          <w:szCs w:val="30"/>
        </w:rPr>
      </w:pPr>
    </w:p>
    <w:p w14:paraId="56A81061">
      <w:pPr>
        <w:spacing w:line="700" w:lineRule="exact"/>
        <w:ind w:firstLine="1080" w:firstLineChars="3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lang w:val="en-US" w:eastAsia="zh-CN"/>
        </w:rPr>
        <w:t>信息中心网络安全标准规范制度汇编</w:t>
      </w:r>
    </w:p>
    <w:p w14:paraId="6A7DD2E9">
      <w:pPr>
        <w:spacing w:line="700" w:lineRule="exact"/>
        <w:ind w:left="4317" w:leftChars="513" w:hanging="3240" w:hangingChars="9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val="en-US" w:eastAsia="zh-CN"/>
        </w:rPr>
        <w:t>新疆维吾尔自治区工业和信息化厅信息中心</w:t>
      </w:r>
    </w:p>
    <w:p w14:paraId="49E3E850">
      <w:pPr>
        <w:spacing w:line="700" w:lineRule="exact"/>
        <w:ind w:left="4317" w:leftChars="513" w:hanging="3240" w:hangingChars="9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val="en-US" w:eastAsia="zh-CN"/>
        </w:rPr>
        <w:t>新疆维吾尔自治区工业和信息化厅</w:t>
      </w:r>
    </w:p>
    <w:p w14:paraId="2433C602">
      <w:pPr>
        <w:spacing w:line="700" w:lineRule="exact"/>
        <w:ind w:firstLine="1080" w:firstLineChars="3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lang w:eastAsia="zh-CN"/>
        </w:rPr>
        <w:t>黄晓峰</w:t>
      </w:r>
    </w:p>
    <w:p w14:paraId="0E0B48CA">
      <w:pPr>
        <w:spacing w:line="700" w:lineRule="exact"/>
        <w:ind w:firstLine="1080" w:firstLineChars="3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20</w:t>
      </w:r>
      <w:r>
        <w:rPr>
          <w:rFonts w:eastAsia="仿宋_GB2312"/>
          <w:kern w:val="0"/>
          <w:sz w:val="36"/>
          <w:szCs w:val="36"/>
        </w:rPr>
        <w:t>日</w:t>
      </w:r>
    </w:p>
    <w:p w14:paraId="3C698DA2">
      <w:pPr>
        <w:spacing w:line="540" w:lineRule="exact"/>
        <w:jc w:val="center"/>
        <w:rPr>
          <w:rFonts w:eastAsia="仿宋_GB2312"/>
          <w:kern w:val="0"/>
          <w:sz w:val="30"/>
          <w:szCs w:val="30"/>
        </w:rPr>
      </w:pPr>
    </w:p>
    <w:p w14:paraId="19573A80">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693C8C3D">
      <w:pPr>
        <w:spacing w:line="560" w:lineRule="exact"/>
        <w:ind w:firstLine="640" w:firstLineChars="200"/>
        <w:rPr>
          <w:rFonts w:eastAsia="黑体"/>
          <w:bCs/>
          <w:sz w:val="32"/>
          <w:szCs w:val="32"/>
        </w:rPr>
      </w:pPr>
      <w:r>
        <w:rPr>
          <w:rFonts w:eastAsia="黑体"/>
          <w:bCs/>
          <w:sz w:val="32"/>
          <w:szCs w:val="32"/>
        </w:rPr>
        <w:t>一、基本情况</w:t>
      </w:r>
    </w:p>
    <w:p w14:paraId="195C896C">
      <w:pPr>
        <w:spacing w:line="560" w:lineRule="exact"/>
        <w:ind w:firstLine="643" w:firstLineChars="200"/>
        <w:rPr>
          <w:rFonts w:eastAsia="楷体_GB2312"/>
          <w:b/>
          <w:bCs/>
          <w:sz w:val="32"/>
          <w:szCs w:val="32"/>
        </w:rPr>
      </w:pPr>
      <w:r>
        <w:rPr>
          <w:rFonts w:eastAsia="楷体_GB2312"/>
          <w:b/>
          <w:bCs/>
          <w:sz w:val="32"/>
          <w:szCs w:val="32"/>
        </w:rPr>
        <w:t>（一）项目概况</w:t>
      </w:r>
    </w:p>
    <w:p w14:paraId="55FCB8B9">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14:paraId="604B704A">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为提升我厅网络安全管理工作制度化、规范化水平，对照上级的新要求，整理汇总国家及自治区现行网络安全相关标准规范，形成我厅网络安全标准规范制度汇编，用于规范我厅网络安全管理工作，设立信息中心网络安全制度规范汇编</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02A0A3A3">
      <w:pPr>
        <w:pStyle w:val="10"/>
        <w:numPr>
          <w:ilvl w:val="0"/>
          <w:numId w:val="1"/>
        </w:numPr>
        <w:spacing w:before="0" w:after="0" w:line="560" w:lineRule="exact"/>
        <w:ind w:firstLine="643" w:firstLineChars="200"/>
        <w:jc w:val="both"/>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项目主要内容：</w:t>
      </w:r>
    </w:p>
    <w:p w14:paraId="2208DA09">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项目主要内容：</w:t>
      </w:r>
      <w:r>
        <w:rPr>
          <w:rFonts w:hint="eastAsia" w:ascii="仿宋_GB2312" w:hAnsi="仿宋_GB2312" w:eastAsia="仿宋_GB2312" w:cs="仿宋_GB2312"/>
          <w:color w:val="000000" w:themeColor="text1"/>
          <w:sz w:val="32"/>
          <w:szCs w:val="32"/>
          <w:highlight w:val="none"/>
          <w14:textFill>
            <w14:solidFill>
              <w14:schemeClr w14:val="tx1"/>
            </w14:solidFill>
          </w14:textFill>
        </w:rPr>
        <w:t>根据202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年自治区工信厅工作要求，结合信息中心工作计划，项目主要完成：</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编制网络安全标准规范制度汇编，用于加强网络安全制度建设，规范网络安全工作流程，提升网络安全工作管理水平。①汇编内容包括但不限于国标、地标、行标；②汇编科目包括：等保测评、密码测评、商用密码、关基保护、个人信息安全、风险管理、风险评估、应急响应、灾难恢复、业务连续性/系统安全工程、电子政务、信息安全管理体系、安全保障评估、应用系统安全、数据中心/机房、可信计算、IT服务/安全服务/安全运维、信息技术安全性评估、漏洞管理、渗透测试/威胁情报、云计算安全、数据安全/大数据安全/数据分类级别、基础安全、移动安全、供应链安全、安全设备、入侵检测、数据安全治理、数据库等领域；③汇编总量不小于200条。</w:t>
      </w:r>
    </w:p>
    <w:p w14:paraId="2A8A5560">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sz w:val="32"/>
          <w:szCs w:val="32"/>
          <w:highlight w:val="none"/>
        </w:rPr>
        <w:t>项目实施情况：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项目目前已经完成实际设立的目标，项目在实施过程中严格按照目标设立的各阶段任务进行开展工作，在前期过程中严格把质量关，建立安全防护机制，保证项目实施各阶段安全顺利进行。</w:t>
      </w:r>
    </w:p>
    <w:p w14:paraId="76FCBBA4">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本项目总投资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万元，其中：财政本级资金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，其他资金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。项目实际支出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8.5</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万元，支出率为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94.4</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1E1BB410">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14:paraId="3458424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2504A35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该项目年初预算数9万元，全年预算数9万元，实际总投入8.5万元，该项目资金已全部落实到位，资金来源为</w:t>
      </w:r>
      <w:r>
        <w:rPr>
          <w:rFonts w:hint="eastAsia" w:ascii="仿宋_GB2312" w:hAnsi="仿宋_GB2312" w:eastAsia="仿宋_GB2312" w:cs="仿宋_GB2312"/>
          <w:b w:val="0"/>
          <w:bCs w:val="0"/>
          <w:color w:val="000000" w:themeColor="text1"/>
          <w:kern w:val="2"/>
          <w:sz w:val="32"/>
          <w:szCs w:val="32"/>
          <w:highlight w:val="none"/>
          <w:lang w:eastAsia="zh-CN"/>
          <w14:textFill>
            <w14:solidFill>
              <w14:schemeClr w14:val="tx1"/>
            </w14:solidFill>
          </w14:textFill>
        </w:rPr>
        <w:t>以前年度事业基金结余</w:t>
      </w:r>
      <w:r>
        <w:rPr>
          <w:rFonts w:hint="eastAsia" w:ascii="仿宋_GB2312" w:hAnsi="仿宋_GB2312" w:eastAsia="仿宋_GB2312" w:cs="仿宋_GB2312"/>
          <w:sz w:val="32"/>
          <w:szCs w:val="32"/>
          <w:highlight w:val="none"/>
          <w:lang w:val="en-US" w:eastAsia="zh-CN"/>
        </w:rPr>
        <w:t>。</w:t>
      </w:r>
    </w:p>
    <w:p w14:paraId="735BA37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6F9571D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该项目年初预算数9万元，全年预算数9万元，全年执行数8.5万元，预算执行率为94.4%，主要用于：</w:t>
      </w:r>
      <w:r>
        <w:rPr>
          <w:rFonts w:hint="eastAsia" w:ascii="仿宋_GB2312" w:hAnsi="仿宋_GB2312" w:eastAsia="仿宋_GB2312" w:cs="仿宋_GB2312"/>
          <w:b w:val="0"/>
          <w:bCs w:val="0"/>
          <w:color w:val="000000" w:themeColor="text1"/>
          <w:kern w:val="2"/>
          <w:sz w:val="32"/>
          <w:szCs w:val="32"/>
          <w:highlight w:val="none"/>
          <w14:textFill>
            <w14:solidFill>
              <w14:schemeClr w14:val="tx1"/>
            </w14:solidFill>
          </w14:textFill>
        </w:rPr>
        <w:t>支付项目实施进程中的各项费用</w:t>
      </w:r>
      <w:r>
        <w:rPr>
          <w:rFonts w:hint="eastAsia" w:ascii="仿宋_GB2312" w:hAnsi="仿宋_GB2312" w:eastAsia="仿宋_GB2312" w:cs="仿宋_GB2312"/>
          <w:sz w:val="32"/>
          <w:szCs w:val="32"/>
          <w:highlight w:val="none"/>
          <w:lang w:val="en-US" w:eastAsia="zh-CN"/>
        </w:rPr>
        <w:t>。</w:t>
      </w:r>
    </w:p>
    <w:p w14:paraId="0CA62636">
      <w:pPr>
        <w:spacing w:line="560" w:lineRule="exact"/>
        <w:ind w:firstLine="643" w:firstLineChars="200"/>
        <w:rPr>
          <w:rFonts w:eastAsia="楷体_GB2312"/>
          <w:b/>
          <w:bCs/>
          <w:sz w:val="32"/>
          <w:szCs w:val="32"/>
        </w:rPr>
      </w:pPr>
      <w:r>
        <w:rPr>
          <w:rFonts w:eastAsia="楷体_GB2312"/>
          <w:b/>
          <w:bCs/>
          <w:sz w:val="32"/>
          <w:szCs w:val="32"/>
        </w:rPr>
        <w:t>（二）项目绩效目标</w:t>
      </w:r>
    </w:p>
    <w:p w14:paraId="68E62DCC">
      <w:pPr>
        <w:spacing w:line="560" w:lineRule="exact"/>
        <w:ind w:firstLine="640" w:firstLineChars="200"/>
        <w:rPr>
          <w:rFonts w:eastAsia="仿宋_GB2312"/>
          <w:sz w:val="32"/>
          <w:szCs w:val="32"/>
        </w:rPr>
      </w:pPr>
      <w:r>
        <w:rPr>
          <w:rFonts w:eastAsia="仿宋_GB2312"/>
          <w:sz w:val="32"/>
          <w:szCs w:val="32"/>
        </w:rPr>
        <w:t>1、总体目标</w:t>
      </w:r>
    </w:p>
    <w:p w14:paraId="29B7DED0">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eastAsia="黑体"/>
          <w:b w:val="0"/>
          <w:bCs/>
          <w:sz w:val="32"/>
          <w:szCs w:val="32"/>
          <w:lang w:eastAsia="zh-CN"/>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提升我厅网络安全管理工作制度化、规范化水平，整理汇总国家及自治区现行网络安全相关标准规范，形成我厅网络安全标准规范制度汇编，用于规范我厅网络安全管理工作。</w:t>
      </w:r>
    </w:p>
    <w:p w14:paraId="66B82328">
      <w:pPr>
        <w:spacing w:line="560" w:lineRule="exact"/>
        <w:ind w:firstLine="640" w:firstLineChars="200"/>
        <w:rPr>
          <w:rFonts w:hint="eastAsia" w:ascii="仿宋_GB2312" w:hAnsi="仿宋_GB2312" w:eastAsia="仿宋_GB2312" w:cs="仿宋_GB2312"/>
          <w:color w:val="FF0000"/>
          <w:sz w:val="32"/>
          <w:szCs w:val="32"/>
          <w:highlight w:val="none"/>
          <w:lang w:val="en-US" w:eastAsia="zh-CN"/>
        </w:rPr>
      </w:pPr>
      <w:r>
        <w:rPr>
          <w:rFonts w:eastAsia="仿宋_GB2312"/>
          <w:sz w:val="32"/>
          <w:szCs w:val="32"/>
        </w:rPr>
        <w:t>2、阶段性目标</w:t>
      </w:r>
    </w:p>
    <w:p w14:paraId="0CD6707D">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（1）前期准备：通过制定项目实施方案，经项目负责人审核通过后，有序开展后续工作。</w:t>
      </w:r>
    </w:p>
    <w:p w14:paraId="71881F11">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（2）组织实施：资金一到位，立即根据项目要求实施项目。项目责任人按照项目实施方案要求逐一进行项目部署安排，提高项目质量及效率性。</w:t>
      </w:r>
    </w:p>
    <w:p w14:paraId="687E89C7">
      <w:pPr>
        <w:spacing w:line="560" w:lineRule="exact"/>
        <w:ind w:firstLine="640" w:firstLineChars="200"/>
        <w:rPr>
          <w:rFonts w:eastAsia="黑体"/>
          <w:sz w:val="32"/>
          <w:szCs w:val="32"/>
        </w:rPr>
      </w:pPr>
      <w:r>
        <w:rPr>
          <w:rFonts w:eastAsia="黑体"/>
          <w:sz w:val="32"/>
          <w:szCs w:val="32"/>
        </w:rPr>
        <w:t>二、绩效评价工作开展情况</w:t>
      </w:r>
    </w:p>
    <w:p w14:paraId="7CC38931">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5FA1B0F7">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1、绩效评价的目的</w:t>
      </w:r>
    </w:p>
    <w:p w14:paraId="27049E1A">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B311202">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6F4326BF">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2E0C9FCE">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1C78CE76">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2、绩效评价的对象</w:t>
      </w:r>
    </w:p>
    <w:p w14:paraId="04C09E7A">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对</w:t>
      </w:r>
      <w:r>
        <w:rPr>
          <w:rFonts w:hint="eastAsia" w:ascii="仿宋_GB2312" w:hAnsi="仿宋_GB2312" w:eastAsia="仿宋_GB2312" w:cs="仿宋_GB2312"/>
          <w:color w:val="000000" w:themeColor="text1"/>
          <w:sz w:val="32"/>
          <w:szCs w:val="32"/>
          <w:highlight w:val="none"/>
          <w14:textFill>
            <w14:solidFill>
              <w14:schemeClr w14:val="tx1"/>
            </w14:solidFill>
          </w14:textFill>
        </w:rPr>
        <w:t>我厅网络安全标准规范制度汇编</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进行进一步规范，</w:t>
      </w:r>
      <w:r>
        <w:rPr>
          <w:rFonts w:hint="eastAsia" w:ascii="仿宋_GB2312" w:hAnsi="仿宋_GB2312" w:eastAsia="仿宋_GB2312" w:cs="仿宋_GB2312"/>
          <w:color w:val="000000" w:themeColor="text1"/>
          <w:sz w:val="32"/>
          <w:szCs w:val="32"/>
          <w:highlight w:val="none"/>
          <w14:textFill>
            <w14:solidFill>
              <w14:schemeClr w14:val="tx1"/>
            </w14:solidFill>
          </w14:textFill>
        </w:rPr>
        <w:t>提升我厅网络安全管理工作制度化、规范化水平</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。是否</w:t>
      </w:r>
      <w:r>
        <w:rPr>
          <w:rFonts w:hint="eastAsia" w:ascii="仿宋_GB2312" w:hAnsi="仿宋_GB2312" w:eastAsia="仿宋_GB2312" w:cs="仿宋_GB2312"/>
          <w:color w:val="000000" w:themeColor="text1"/>
          <w:sz w:val="32"/>
          <w:szCs w:val="32"/>
          <w:highlight w:val="none"/>
          <w14:textFill>
            <w14:solidFill>
              <w14:schemeClr w14:val="tx1"/>
            </w14:solidFill>
          </w14:textFill>
        </w:rPr>
        <w:t>对照上级的新要求，整理汇总国家及自治区现行网络安全相关标准规范，形成我厅网络安全标准规范制度汇编，用于规范我厅网络安全管理工作。</w:t>
      </w:r>
    </w:p>
    <w:p w14:paraId="0A2295CF">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3、绩效评价的范围</w:t>
      </w:r>
    </w:p>
    <w:p w14:paraId="4CAA016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color w:val="000000" w:themeColor="text1"/>
          <w:sz w:val="32"/>
          <w:szCs w:val="32"/>
          <w:highlight w:val="none"/>
          <w14:textFill>
            <w14:solidFill>
              <w14:schemeClr w14:val="tx1"/>
            </w14:solidFill>
          </w14:textFill>
        </w:rPr>
        <w:t>信息中心网络安全制度规范汇编</w:t>
      </w:r>
      <w:r>
        <w:rPr>
          <w:rFonts w:hint="eastAsia" w:ascii="仿宋_GB2312" w:hAnsi="仿宋_GB2312" w:eastAsia="仿宋_GB2312" w:cs="仿宋_GB2312"/>
          <w:sz w:val="32"/>
          <w:szCs w:val="32"/>
          <w:highlight w:val="none"/>
        </w:rPr>
        <w:t>项目进</w:t>
      </w:r>
      <w:r>
        <w:rPr>
          <w:rFonts w:hint="eastAsia" w:ascii="仿宋_GB2312" w:hAnsi="仿宋_GB2312" w:eastAsia="仿宋_GB2312" w:cs="仿宋_GB2312"/>
          <w:sz w:val="32"/>
          <w:szCs w:val="32"/>
        </w:rPr>
        <w:t>行评价，评价核心为专项资金的支出完成情况和效果。</w:t>
      </w:r>
    </w:p>
    <w:p w14:paraId="6E0AE485">
      <w:pPr>
        <w:spacing w:line="560" w:lineRule="exact"/>
        <w:ind w:firstLine="643" w:firstLineChars="200"/>
        <w:rPr>
          <w:sz w:val="32"/>
          <w:szCs w:val="32"/>
        </w:rPr>
      </w:pPr>
      <w:r>
        <w:rPr>
          <w:rFonts w:eastAsia="楷体_GB2312"/>
          <w:b/>
          <w:bCs/>
          <w:sz w:val="32"/>
          <w:szCs w:val="32"/>
        </w:rPr>
        <w:t>（二）绩效评价原则、评价指标体系（详情见表1）、评价方法、评价标准。</w:t>
      </w:r>
    </w:p>
    <w:p w14:paraId="22A6BC9C">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1、绩效评价原则</w:t>
      </w:r>
    </w:p>
    <w:p w14:paraId="0A684DF4">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71BA17C">
      <w:pPr>
        <w:pStyle w:val="1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（1）科学公正。绩效评价应当运用科学合理的方法，按照规范的程序，对项目绩效进行客观、公正的反映。</w:t>
      </w:r>
    </w:p>
    <w:p w14:paraId="145FA781">
      <w:pPr>
        <w:pStyle w:val="1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5774EF16">
      <w:pPr>
        <w:pStyle w:val="1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（3）激励约束。绩效评价结果应与预算安排、政策调整、改进管理实质性挂钩，体现奖优罚劣和激励相容导向，有效要安排、低效要压减、无效要问责。</w:t>
      </w:r>
    </w:p>
    <w:p w14:paraId="0E84BD4C">
      <w:pPr>
        <w:pStyle w:val="1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（4）公开透明。绩效评价结果应依法依规公开，并自觉接受社会监督。</w:t>
      </w:r>
    </w:p>
    <w:p w14:paraId="2961782A">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2、评价指标体系</w:t>
      </w:r>
    </w:p>
    <w:p w14:paraId="678C70C2">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03E8B02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26FAB7E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058CF7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497BCC4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907100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62540D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0D302EC">
      <w:pPr>
        <w:pStyle w:val="10"/>
        <w:spacing w:before="0" w:after="0" w:line="560" w:lineRule="exact"/>
        <w:ind w:firstLine="708" w:firstLineChars="200"/>
        <w:jc w:val="both"/>
        <w:rPr>
          <w:rFonts w:ascii="Times New Roman" w:hAnsi="Times New Roman" w:eastAsia="仿宋_GB2312"/>
          <w:b w:val="0"/>
          <w:bCs w:val="0"/>
          <w:color w:val="000000"/>
          <w:spacing w:val="17"/>
          <w:kern w:val="2"/>
          <w:sz w:val="32"/>
          <w:szCs w:val="32"/>
        </w:rPr>
      </w:pPr>
      <w:r>
        <w:rPr>
          <w:rFonts w:ascii="Times New Roman" w:hAnsi="Times New Roman" w:eastAsia="仿宋_GB2312"/>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F2E8801">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sz w:val="32"/>
          <w:szCs w:val="32"/>
        </w:rPr>
      </w:pPr>
      <w:r>
        <w:rPr>
          <w:rFonts w:ascii="Times New Roman" w:hAnsi="Times New Roman" w:eastAsia="仿宋_GB2312"/>
          <w:b w:val="0"/>
          <w:bCs w:val="0"/>
          <w:color w:val="000000"/>
          <w:spacing w:val="17"/>
          <w:sz w:val="32"/>
          <w:szCs w:val="32"/>
        </w:rPr>
        <w:t>具体评价指标体系详情见附件1</w:t>
      </w:r>
    </w:p>
    <w:p w14:paraId="14287DC8">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3、绩效评价方法</w:t>
      </w:r>
    </w:p>
    <w:p w14:paraId="2BC019F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057A11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ECAC9A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16AA042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016C7E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309FDD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4EC9D27">
      <w:pPr>
        <w:pStyle w:val="10"/>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4、评价标准</w:t>
      </w:r>
    </w:p>
    <w:p w14:paraId="30CA6D5E">
      <w:pPr>
        <w:spacing w:line="560" w:lineRule="exact"/>
        <w:ind w:firstLine="640"/>
        <w:rPr>
          <w:rFonts w:eastAsia="方正仿宋_GBK" w:cs="方正仿宋_GBK"/>
          <w:color w:val="FF0000"/>
          <w:sz w:val="32"/>
          <w:szCs w:val="32"/>
        </w:rPr>
      </w:pPr>
      <w:r>
        <w:rPr>
          <w:rFonts w:hint="eastAsia" w:eastAsia="方正仿宋_GBK" w:cs="方正仿宋_GBK"/>
          <w:sz w:val="32"/>
          <w:szCs w:val="32"/>
        </w:rPr>
        <w:t>绩效评价标准通常包括计划标准、行业标准、历史标准等，用于对绩效指标完成情况进行比较、分析、评价。</w:t>
      </w:r>
      <w:r>
        <w:rPr>
          <w:rFonts w:hint="eastAsia" w:eastAsia="方正仿宋_GBK" w:cs="方正仿宋_GBK"/>
          <w:sz w:val="32"/>
          <w:szCs w:val="32"/>
          <w:highlight w:val="none"/>
        </w:rPr>
        <w:t>本次</w:t>
      </w:r>
      <w:r>
        <w:rPr>
          <w:rFonts w:hint="eastAsia" w:eastAsia="方正仿宋_GBK" w:cs="方正仿宋_GBK"/>
          <w:color w:val="auto"/>
          <w:sz w:val="32"/>
          <w:szCs w:val="32"/>
          <w:highlight w:val="none"/>
        </w:rPr>
        <w:t>评价主要采用了</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计划标准</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w:t>
      </w:r>
      <w:r>
        <w:rPr>
          <w:rFonts w:hint="eastAsia" w:eastAsia="方正仿宋_GBK" w:cs="方正仿宋_GBK"/>
          <w:sz w:val="32"/>
          <w:szCs w:val="32"/>
          <w:lang w:eastAsia="zh-CN"/>
        </w:rPr>
        <w:t>历史</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标准</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和行业标准</w:t>
      </w:r>
      <w:r>
        <w:rPr>
          <w:rFonts w:hint="eastAsia" w:eastAsia="方正仿宋_GBK" w:cs="方正仿宋_GBK"/>
          <w:color w:val="auto"/>
          <w:sz w:val="32"/>
          <w:szCs w:val="32"/>
          <w:highlight w:val="none"/>
        </w:rPr>
        <w:t>。</w:t>
      </w:r>
    </w:p>
    <w:p w14:paraId="61D17126">
      <w:pPr>
        <w:spacing w:line="560" w:lineRule="exact"/>
        <w:ind w:firstLine="640"/>
        <w:rPr>
          <w:rFonts w:eastAsia="方正仿宋_GBK" w:cs="方正仿宋_GBK"/>
          <w:sz w:val="32"/>
          <w:szCs w:val="32"/>
        </w:rPr>
      </w:pPr>
      <w:bookmarkStart w:id="0" w:name="_Toc17882"/>
      <w:bookmarkStart w:id="1" w:name="_Toc31464"/>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0"/>
      <w:bookmarkEnd w:id="1"/>
    </w:p>
    <w:p w14:paraId="5A1FB241">
      <w:pPr>
        <w:spacing w:line="560" w:lineRule="exact"/>
        <w:ind w:firstLine="640"/>
        <w:rPr>
          <w:rFonts w:eastAsia="方正仿宋_GBK" w:cs="方正仿宋_GBK"/>
          <w:sz w:val="32"/>
          <w:szCs w:val="32"/>
        </w:rPr>
      </w:pPr>
      <w:bookmarkStart w:id="2" w:name="_Toc2318"/>
      <w:bookmarkStart w:id="3" w:name="_Toc5633"/>
      <w:r>
        <w:rPr>
          <w:rFonts w:hint="eastAsia" w:eastAsia="方正仿宋_GBK" w:cs="方正仿宋_GBK"/>
          <w:b/>
          <w:bCs/>
          <w:sz w:val="32"/>
          <w:szCs w:val="32"/>
        </w:rPr>
        <w:t>行业标准：</w:t>
      </w:r>
      <w:r>
        <w:rPr>
          <w:rFonts w:hint="eastAsia" w:eastAsia="方正仿宋_GBK" w:cs="方正仿宋_GBK"/>
          <w:sz w:val="32"/>
          <w:szCs w:val="32"/>
        </w:rPr>
        <w:t>指参照国家公布的行业指标数据制定的评价标准。</w:t>
      </w:r>
      <w:bookmarkEnd w:id="2"/>
      <w:bookmarkEnd w:id="3"/>
    </w:p>
    <w:p w14:paraId="077DE6BD">
      <w:pPr>
        <w:spacing w:line="560" w:lineRule="exact"/>
        <w:ind w:firstLine="640"/>
        <w:rPr>
          <w:rFonts w:eastAsia="方正仿宋_GBK" w:cs="方正仿宋_GBK"/>
          <w:sz w:val="32"/>
          <w:szCs w:val="32"/>
        </w:rPr>
      </w:pPr>
      <w:bookmarkStart w:id="4" w:name="_Toc16028"/>
      <w:bookmarkStart w:id="5" w:name="_Toc430"/>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4"/>
      <w:bookmarkEnd w:id="5"/>
    </w:p>
    <w:p w14:paraId="487F80BB">
      <w:pPr>
        <w:pStyle w:val="10"/>
        <w:numPr>
          <w:ilvl w:val="0"/>
          <w:numId w:val="3"/>
        </w:numPr>
        <w:spacing w:before="0" w:after="0" w:line="560" w:lineRule="exact"/>
        <w:ind w:firstLine="711" w:firstLineChars="200"/>
        <w:jc w:val="both"/>
        <w:rPr>
          <w:rFonts w:ascii="楷体" w:hAnsi="楷体" w:eastAsia="楷体" w:cs="楷体"/>
          <w:color w:val="000000"/>
          <w:spacing w:val="17"/>
          <w:sz w:val="32"/>
          <w:szCs w:val="32"/>
        </w:rPr>
      </w:pPr>
      <w:r>
        <w:rPr>
          <w:rFonts w:hint="eastAsia" w:ascii="楷体" w:hAnsi="楷体" w:eastAsia="楷体" w:cs="楷体"/>
          <w:color w:val="000000"/>
          <w:spacing w:val="17"/>
          <w:sz w:val="32"/>
          <w:szCs w:val="32"/>
        </w:rPr>
        <w:t>绩效评价工作过程</w:t>
      </w:r>
    </w:p>
    <w:p w14:paraId="766FEF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031C1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5434B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12C17D56">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2E1302BF">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sz w:val="32"/>
          <w:szCs w:val="32"/>
          <w:lang w:val="en-US" w:eastAsia="zh-CN"/>
        </w:rPr>
      </w:pPr>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一</w:t>
      </w:r>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评价情况</w:t>
      </w:r>
    </w:p>
    <w:p w14:paraId="3102AA12">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23BDE3EF">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sz w:val="32"/>
          <w:szCs w:val="32"/>
          <w:lang w:val="en-US" w:eastAsia="zh-CN"/>
        </w:rPr>
      </w:pP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二</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评价结论</w:t>
      </w:r>
    </w:p>
    <w:p w14:paraId="59963B8A">
      <w:pPr>
        <w:pStyle w:val="10"/>
        <w:widowControl w:val="0"/>
        <w:spacing w:before="0" w:after="0" w:line="560" w:lineRule="exact"/>
        <w:ind w:firstLine="640" w:firstLineChars="200"/>
        <w:jc w:val="both"/>
        <w:outlineLvl w:val="9"/>
        <w:rPr>
          <w:rFonts w:hint="eastAsia"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sz w:val="32"/>
          <w:szCs w:val="32"/>
          <w:lang w:val="en-US" w:eastAsia="zh-CN"/>
        </w:rPr>
        <w:t>99.78</w:t>
      </w:r>
      <w:r>
        <w:rPr>
          <w:rFonts w:hint="eastAsia" w:ascii="Times New Roman" w:hAnsi="Times New Roman" w:eastAsia="仿宋_GB2312"/>
          <w:b w:val="0"/>
          <w:bCs w:val="0"/>
          <w:sz w:val="32"/>
          <w:szCs w:val="32"/>
        </w:rPr>
        <w:t>分，属于“优”。其中，项目决策类指标权重为20分，得分为</w:t>
      </w:r>
      <w:r>
        <w:rPr>
          <w:rFonts w:hint="eastAsia" w:ascii="Times New Roman" w:hAnsi="Times New Roman" w:eastAsia="仿宋_GB2312"/>
          <w:b w:val="0"/>
          <w:bCs w:val="0"/>
          <w:sz w:val="32"/>
          <w:szCs w:val="32"/>
          <w:lang w:val="en-US" w:eastAsia="zh-CN"/>
        </w:rPr>
        <w:t>20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100</w:t>
      </w:r>
      <w:r>
        <w:rPr>
          <w:rFonts w:hint="eastAsia" w:ascii="Times New Roman" w:hAnsi="Times New Roman" w:eastAsia="仿宋_GB2312"/>
          <w:b w:val="0"/>
          <w:bCs w:val="0"/>
          <w:sz w:val="32"/>
          <w:szCs w:val="32"/>
        </w:rPr>
        <w:t>%。项目过程类指标权重为20分，得分为</w:t>
      </w:r>
      <w:r>
        <w:rPr>
          <w:rFonts w:hint="eastAsia" w:ascii="Times New Roman" w:hAnsi="Times New Roman" w:eastAsia="仿宋_GB2312"/>
          <w:b w:val="0"/>
          <w:bCs w:val="0"/>
          <w:sz w:val="32"/>
          <w:szCs w:val="32"/>
          <w:lang w:val="en-US" w:eastAsia="zh-CN"/>
        </w:rPr>
        <w:t>19.78</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98.9</w:t>
      </w:r>
      <w:r>
        <w:rPr>
          <w:rFonts w:hint="eastAsia" w:ascii="Times New Roman" w:hAnsi="Times New Roman" w:eastAsia="仿宋_GB2312"/>
          <w:b w:val="0"/>
          <w:bCs w:val="0"/>
          <w:sz w:val="32"/>
          <w:szCs w:val="32"/>
        </w:rPr>
        <w:t>%。项目产出类指标权重为40分，得分为</w:t>
      </w:r>
      <w:r>
        <w:rPr>
          <w:rFonts w:hint="eastAsia" w:ascii="Times New Roman" w:hAnsi="Times New Roman" w:eastAsia="仿宋_GB2312"/>
          <w:b w:val="0"/>
          <w:bCs w:val="0"/>
          <w:sz w:val="32"/>
          <w:szCs w:val="32"/>
          <w:lang w:val="en-US" w:eastAsia="zh-CN"/>
        </w:rPr>
        <w:t>40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40</w:t>
      </w:r>
      <w:r>
        <w:rPr>
          <w:rFonts w:hint="eastAsia" w:ascii="Times New Roman" w:hAnsi="Times New Roman" w:eastAsia="仿宋_GB2312"/>
          <w:b w:val="0"/>
          <w:bCs w:val="0"/>
          <w:sz w:val="32"/>
          <w:szCs w:val="32"/>
        </w:rPr>
        <w:t>%。项目效益类指标权重为20分，得分为</w:t>
      </w:r>
      <w:r>
        <w:rPr>
          <w:rFonts w:hint="eastAsia" w:ascii="Times New Roman" w:hAnsi="Times New Roman" w:eastAsia="仿宋_GB2312"/>
          <w:b w:val="0"/>
          <w:bCs w:val="0"/>
          <w:sz w:val="32"/>
          <w:szCs w:val="32"/>
          <w:lang w:val="en-US" w:eastAsia="zh-CN"/>
        </w:rPr>
        <w:t>20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20</w:t>
      </w:r>
      <w:r>
        <w:rPr>
          <w:rFonts w:hint="eastAsia" w:ascii="Times New Roman" w:hAnsi="Times New Roman" w:eastAsia="仿宋_GB2312"/>
          <w:b w:val="0"/>
          <w:bCs w:val="0"/>
          <w:sz w:val="32"/>
          <w:szCs w:val="32"/>
        </w:rPr>
        <w:t>%。具体打分情况详见：附件1综合评分表</w:t>
      </w:r>
      <w:r>
        <w:rPr>
          <w:rFonts w:hint="eastAsia" w:ascii="Times New Roman" w:hAnsi="Times New Roman" w:eastAsia="仿宋_GB2312"/>
          <w:b w:val="0"/>
          <w:bCs w:val="0"/>
          <w:sz w:val="32"/>
          <w:szCs w:val="32"/>
          <w:lang w:eastAsia="zh-CN"/>
        </w:rPr>
        <w:t>。</w:t>
      </w:r>
    </w:p>
    <w:p w14:paraId="6245EFD6">
      <w:pPr>
        <w:pStyle w:val="10"/>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2"/>
          <w:szCs w:val="32"/>
        </w:rPr>
      </w:pPr>
      <w:r>
        <w:rPr>
          <w:rFonts w:ascii="Times New Roman" w:hAnsi="Times New Roman" w:eastAsia="仿宋_GB2312"/>
          <w:sz w:val="32"/>
          <w:szCs w:val="32"/>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135FF42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7BA01EE">
            <w:pPr>
              <w:jc w:val="center"/>
              <w:rPr>
                <w:rFonts w:hint="eastAsia" w:cs="宋体"/>
                <w:b/>
                <w:bCs/>
                <w:color w:val="000000"/>
                <w:sz w:val="22"/>
                <w:szCs w:val="22"/>
              </w:rPr>
            </w:pPr>
            <w:r>
              <w:rPr>
                <w:rFonts w:hint="eastAsia" w:cs="宋体"/>
                <w:b/>
                <w:bCs/>
                <w:color w:val="000000"/>
                <w:sz w:val="22"/>
                <w:szCs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EA91EDF">
            <w:pPr>
              <w:jc w:val="center"/>
              <w:rPr>
                <w:rFonts w:hint="eastAsia" w:cs="宋体"/>
                <w:b/>
                <w:bCs/>
                <w:color w:val="000000"/>
                <w:sz w:val="22"/>
                <w:szCs w:val="22"/>
              </w:rPr>
            </w:pPr>
            <w:r>
              <w:rPr>
                <w:rFonts w:hint="eastAsia" w:cs="宋体"/>
                <w:b/>
                <w:bCs/>
                <w:color w:val="000000"/>
                <w:sz w:val="22"/>
                <w:szCs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2C370EA">
            <w:pPr>
              <w:jc w:val="center"/>
              <w:rPr>
                <w:rFonts w:hint="eastAsia" w:cs="宋体"/>
                <w:b/>
                <w:bCs/>
                <w:color w:val="000000"/>
                <w:sz w:val="22"/>
                <w:szCs w:val="22"/>
              </w:rPr>
            </w:pPr>
            <w:r>
              <w:rPr>
                <w:rFonts w:hint="eastAsia" w:cs="宋体"/>
                <w:b/>
                <w:bCs/>
                <w:color w:val="000000"/>
                <w:sz w:val="22"/>
                <w:szCs w:val="22"/>
              </w:rPr>
              <w:t>得分</w:t>
            </w:r>
          </w:p>
        </w:tc>
      </w:tr>
      <w:tr w14:paraId="0676AFB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F76DD0">
            <w:pPr>
              <w:jc w:val="center"/>
              <w:rPr>
                <w:rFonts w:hint="eastAsia" w:cs="宋体"/>
                <w:b w:val="0"/>
                <w:bCs w:val="0"/>
                <w:color w:val="000000"/>
                <w:sz w:val="22"/>
                <w:szCs w:val="22"/>
              </w:rPr>
            </w:pPr>
            <w:r>
              <w:rPr>
                <w:rFonts w:hint="eastAsia" w:cs="宋体"/>
                <w:b w:val="0"/>
                <w:bCs w:val="0"/>
                <w:color w:val="000000"/>
                <w:sz w:val="22"/>
                <w:szCs w:val="22"/>
              </w:rPr>
              <w:t>项目决策</w:t>
            </w:r>
          </w:p>
        </w:tc>
        <w:tc>
          <w:tcPr>
            <w:tcW w:w="2168" w:type="dxa"/>
            <w:tcBorders>
              <w:top w:val="nil"/>
              <w:left w:val="nil"/>
              <w:bottom w:val="single" w:color="auto" w:sz="4" w:space="0"/>
              <w:right w:val="single" w:color="auto" w:sz="4" w:space="0"/>
            </w:tcBorders>
            <w:shd w:val="clear" w:color="auto" w:fill="auto"/>
            <w:vAlign w:val="center"/>
          </w:tcPr>
          <w:p w14:paraId="511F396C">
            <w:pPr>
              <w:jc w:val="center"/>
              <w:rPr>
                <w:rFonts w:hint="default" w:cs="宋体"/>
                <w:b w:val="0"/>
                <w:bCs w:val="0"/>
                <w:color w:val="000000"/>
                <w:sz w:val="22"/>
                <w:szCs w:val="22"/>
                <w:lang w:val="en-US" w:eastAsia="zh-CN"/>
              </w:rPr>
            </w:pPr>
            <w:r>
              <w:rPr>
                <w:rFonts w:hint="eastAsia" w:cs="宋体"/>
                <w:b w:val="0"/>
                <w:bCs w:val="0"/>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C22E457">
            <w:pPr>
              <w:jc w:val="center"/>
              <w:rPr>
                <w:rFonts w:hint="eastAsia" w:cs="宋体"/>
                <w:b w:val="0"/>
                <w:bCs w:val="0"/>
                <w:color w:val="000000"/>
                <w:sz w:val="22"/>
                <w:szCs w:val="22"/>
                <w:lang w:val="en-US" w:eastAsia="zh-CN"/>
              </w:rPr>
            </w:pPr>
            <w:r>
              <w:rPr>
                <w:rFonts w:hint="eastAsia" w:cs="宋体"/>
                <w:b w:val="0"/>
                <w:bCs w:val="0"/>
                <w:color w:val="000000"/>
                <w:sz w:val="22"/>
                <w:szCs w:val="22"/>
                <w:lang w:val="en-US" w:eastAsia="zh-CN"/>
              </w:rPr>
              <w:t>20</w:t>
            </w:r>
          </w:p>
        </w:tc>
      </w:tr>
      <w:tr w14:paraId="2819C69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7B2BBBE">
            <w:pPr>
              <w:jc w:val="center"/>
              <w:rPr>
                <w:rFonts w:hint="eastAsia" w:cs="宋体"/>
                <w:b w:val="0"/>
                <w:bCs w:val="0"/>
                <w:color w:val="000000"/>
                <w:sz w:val="22"/>
                <w:szCs w:val="22"/>
              </w:rPr>
            </w:pPr>
            <w:r>
              <w:rPr>
                <w:rFonts w:hint="eastAsia" w:cs="宋体"/>
                <w:b w:val="0"/>
                <w:bCs w:val="0"/>
                <w:color w:val="000000"/>
                <w:sz w:val="22"/>
                <w:szCs w:val="22"/>
              </w:rPr>
              <w:t>项目过程</w:t>
            </w:r>
          </w:p>
        </w:tc>
        <w:tc>
          <w:tcPr>
            <w:tcW w:w="2168" w:type="dxa"/>
            <w:tcBorders>
              <w:top w:val="nil"/>
              <w:left w:val="nil"/>
              <w:bottom w:val="single" w:color="auto" w:sz="4" w:space="0"/>
              <w:right w:val="single" w:color="auto" w:sz="4" w:space="0"/>
            </w:tcBorders>
            <w:shd w:val="clear" w:color="auto" w:fill="auto"/>
            <w:vAlign w:val="center"/>
          </w:tcPr>
          <w:p w14:paraId="4602A05F">
            <w:pPr>
              <w:jc w:val="center"/>
              <w:rPr>
                <w:rFonts w:hint="default" w:cs="宋体"/>
                <w:b w:val="0"/>
                <w:bCs w:val="0"/>
                <w:color w:val="000000"/>
                <w:sz w:val="22"/>
                <w:szCs w:val="22"/>
                <w:lang w:val="en-US" w:eastAsia="zh-CN"/>
              </w:rPr>
            </w:pPr>
            <w:r>
              <w:rPr>
                <w:rFonts w:hint="eastAsia" w:cs="宋体"/>
                <w:b w:val="0"/>
                <w:bCs w:val="0"/>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275FAAE">
            <w:pPr>
              <w:jc w:val="center"/>
              <w:rPr>
                <w:rFonts w:hint="eastAsia" w:cs="宋体"/>
                <w:b w:val="0"/>
                <w:bCs w:val="0"/>
                <w:color w:val="000000"/>
                <w:sz w:val="22"/>
                <w:szCs w:val="22"/>
                <w:lang w:val="en-US" w:eastAsia="zh-CN"/>
              </w:rPr>
            </w:pPr>
            <w:r>
              <w:rPr>
                <w:rFonts w:hint="eastAsia" w:cs="宋体"/>
                <w:b w:val="0"/>
                <w:bCs w:val="0"/>
                <w:color w:val="000000"/>
                <w:sz w:val="22"/>
                <w:szCs w:val="22"/>
                <w:lang w:val="en-US" w:eastAsia="zh-CN"/>
              </w:rPr>
              <w:t>19.78</w:t>
            </w:r>
          </w:p>
        </w:tc>
      </w:tr>
      <w:tr w14:paraId="6EE3F50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6923CF">
            <w:pPr>
              <w:jc w:val="center"/>
              <w:rPr>
                <w:rFonts w:hint="eastAsia" w:cs="宋体"/>
                <w:b w:val="0"/>
                <w:bCs w:val="0"/>
                <w:color w:val="000000"/>
                <w:sz w:val="22"/>
                <w:szCs w:val="22"/>
              </w:rPr>
            </w:pPr>
            <w:r>
              <w:rPr>
                <w:rFonts w:hint="eastAsia" w:cs="宋体"/>
                <w:b w:val="0"/>
                <w:bCs w:val="0"/>
                <w:color w:val="000000"/>
                <w:sz w:val="22"/>
                <w:szCs w:val="22"/>
              </w:rPr>
              <w:t>项目产出</w:t>
            </w:r>
          </w:p>
        </w:tc>
        <w:tc>
          <w:tcPr>
            <w:tcW w:w="2168" w:type="dxa"/>
            <w:tcBorders>
              <w:top w:val="nil"/>
              <w:left w:val="nil"/>
              <w:bottom w:val="single" w:color="auto" w:sz="4" w:space="0"/>
              <w:right w:val="single" w:color="auto" w:sz="4" w:space="0"/>
            </w:tcBorders>
            <w:shd w:val="clear" w:color="auto" w:fill="auto"/>
            <w:vAlign w:val="center"/>
          </w:tcPr>
          <w:p w14:paraId="48EB6586">
            <w:pPr>
              <w:jc w:val="center"/>
              <w:rPr>
                <w:rFonts w:hint="default" w:cs="宋体"/>
                <w:b w:val="0"/>
                <w:bCs w:val="0"/>
                <w:color w:val="000000"/>
                <w:sz w:val="22"/>
                <w:szCs w:val="22"/>
                <w:lang w:val="en-US" w:eastAsia="zh-CN"/>
              </w:rPr>
            </w:pPr>
            <w:r>
              <w:rPr>
                <w:rFonts w:hint="eastAsia" w:cs="宋体"/>
                <w:b w:val="0"/>
                <w:bCs w:val="0"/>
                <w:color w:val="000000"/>
                <w:sz w:val="22"/>
                <w:szCs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AE52DFC">
            <w:pPr>
              <w:jc w:val="center"/>
              <w:rPr>
                <w:rFonts w:hint="eastAsia" w:cs="宋体"/>
                <w:b w:val="0"/>
                <w:bCs w:val="0"/>
                <w:color w:val="000000"/>
                <w:sz w:val="22"/>
                <w:szCs w:val="22"/>
                <w:lang w:val="en-US" w:eastAsia="zh-CN"/>
              </w:rPr>
            </w:pPr>
            <w:r>
              <w:rPr>
                <w:rFonts w:hint="eastAsia" w:cs="宋体"/>
                <w:b w:val="0"/>
                <w:bCs w:val="0"/>
                <w:color w:val="000000"/>
                <w:sz w:val="22"/>
                <w:szCs w:val="22"/>
                <w:lang w:val="en-US" w:eastAsia="zh-CN"/>
              </w:rPr>
              <w:t>40</w:t>
            </w:r>
          </w:p>
        </w:tc>
      </w:tr>
      <w:tr w14:paraId="3C2EA7A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99BC98C">
            <w:pPr>
              <w:jc w:val="center"/>
              <w:rPr>
                <w:rFonts w:hint="eastAsia" w:cs="宋体"/>
                <w:b w:val="0"/>
                <w:bCs w:val="0"/>
                <w:color w:val="000000"/>
                <w:sz w:val="22"/>
                <w:szCs w:val="22"/>
              </w:rPr>
            </w:pPr>
            <w:r>
              <w:rPr>
                <w:rFonts w:hint="eastAsia" w:cs="宋体"/>
                <w:b w:val="0"/>
                <w:bCs w:val="0"/>
                <w:color w:val="000000"/>
                <w:sz w:val="22"/>
                <w:szCs w:val="22"/>
              </w:rPr>
              <w:t>项目效益</w:t>
            </w:r>
          </w:p>
        </w:tc>
        <w:tc>
          <w:tcPr>
            <w:tcW w:w="2168" w:type="dxa"/>
            <w:tcBorders>
              <w:top w:val="nil"/>
              <w:left w:val="nil"/>
              <w:bottom w:val="single" w:color="auto" w:sz="4" w:space="0"/>
              <w:right w:val="single" w:color="auto" w:sz="4" w:space="0"/>
            </w:tcBorders>
            <w:shd w:val="clear" w:color="auto" w:fill="auto"/>
            <w:vAlign w:val="center"/>
          </w:tcPr>
          <w:p w14:paraId="05A5386F">
            <w:pPr>
              <w:jc w:val="center"/>
              <w:rPr>
                <w:rFonts w:hint="default" w:cs="宋体"/>
                <w:b w:val="0"/>
                <w:bCs w:val="0"/>
                <w:color w:val="000000"/>
                <w:sz w:val="22"/>
                <w:szCs w:val="22"/>
                <w:lang w:val="en-US" w:eastAsia="zh-CN"/>
              </w:rPr>
            </w:pPr>
            <w:r>
              <w:rPr>
                <w:rFonts w:hint="eastAsia" w:cs="宋体"/>
                <w:b w:val="0"/>
                <w:bCs w:val="0"/>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9119859">
            <w:pPr>
              <w:jc w:val="center"/>
              <w:rPr>
                <w:rFonts w:hint="eastAsia" w:cs="宋体"/>
                <w:b w:val="0"/>
                <w:bCs w:val="0"/>
                <w:color w:val="000000"/>
                <w:sz w:val="22"/>
                <w:szCs w:val="22"/>
                <w:lang w:val="en-US" w:eastAsia="zh-CN"/>
              </w:rPr>
            </w:pPr>
            <w:r>
              <w:rPr>
                <w:rFonts w:hint="eastAsia" w:cs="宋体"/>
                <w:b w:val="0"/>
                <w:bCs w:val="0"/>
                <w:color w:val="000000"/>
                <w:sz w:val="22"/>
                <w:szCs w:val="22"/>
                <w:lang w:val="en-US" w:eastAsia="zh-CN"/>
              </w:rPr>
              <w:t>20</w:t>
            </w:r>
          </w:p>
        </w:tc>
      </w:tr>
      <w:tr w14:paraId="22CC97F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8DE9B86">
            <w:pPr>
              <w:jc w:val="center"/>
              <w:rPr>
                <w:rFonts w:hint="eastAsia" w:cs="宋体"/>
                <w:b w:val="0"/>
                <w:bCs w:val="0"/>
                <w:color w:val="000000"/>
                <w:sz w:val="22"/>
                <w:szCs w:val="22"/>
              </w:rPr>
            </w:pPr>
            <w:r>
              <w:rPr>
                <w:rFonts w:hint="eastAsia" w:cs="宋体"/>
                <w:b w:val="0"/>
                <w:bCs w:val="0"/>
                <w:color w:val="000000"/>
                <w:sz w:val="22"/>
                <w:szCs w:val="22"/>
              </w:rPr>
              <w:t>合计</w:t>
            </w:r>
          </w:p>
        </w:tc>
        <w:tc>
          <w:tcPr>
            <w:tcW w:w="2168" w:type="dxa"/>
            <w:tcBorders>
              <w:top w:val="nil"/>
              <w:left w:val="nil"/>
              <w:bottom w:val="single" w:color="auto" w:sz="4" w:space="0"/>
              <w:right w:val="single" w:color="auto" w:sz="4" w:space="0"/>
            </w:tcBorders>
            <w:shd w:val="clear" w:color="auto" w:fill="auto"/>
            <w:vAlign w:val="center"/>
          </w:tcPr>
          <w:p w14:paraId="14CE7D37">
            <w:pPr>
              <w:jc w:val="center"/>
              <w:rPr>
                <w:rFonts w:hint="default" w:cs="宋体"/>
                <w:b w:val="0"/>
                <w:bCs w:val="0"/>
                <w:color w:val="000000"/>
                <w:sz w:val="22"/>
                <w:szCs w:val="22"/>
                <w:lang w:val="en-US" w:eastAsia="zh-CN"/>
              </w:rPr>
            </w:pPr>
            <w:r>
              <w:rPr>
                <w:rFonts w:hint="eastAsia" w:cs="宋体"/>
                <w:b w:val="0"/>
                <w:bCs w:val="0"/>
                <w:color w:val="000000"/>
                <w:sz w:val="22"/>
                <w:szCs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73EAE0B">
            <w:pPr>
              <w:jc w:val="center"/>
              <w:rPr>
                <w:rFonts w:hint="eastAsia" w:cs="宋体"/>
                <w:b w:val="0"/>
                <w:bCs w:val="0"/>
                <w:color w:val="000000"/>
                <w:sz w:val="22"/>
                <w:szCs w:val="22"/>
                <w:lang w:val="en-US" w:eastAsia="zh-CN"/>
              </w:rPr>
            </w:pPr>
            <w:r>
              <w:rPr>
                <w:rFonts w:hint="eastAsia" w:cs="宋体"/>
                <w:b w:val="0"/>
                <w:bCs w:val="0"/>
                <w:color w:val="000000"/>
                <w:sz w:val="22"/>
                <w:szCs w:val="22"/>
                <w:lang w:val="en-US" w:eastAsia="zh-CN"/>
              </w:rPr>
              <w:t>99.78</w:t>
            </w:r>
          </w:p>
        </w:tc>
      </w:tr>
    </w:tbl>
    <w:p w14:paraId="6742593A">
      <w:pPr>
        <w:spacing w:line="560" w:lineRule="exact"/>
        <w:ind w:firstLine="640" w:firstLineChars="200"/>
        <w:rPr>
          <w:rFonts w:eastAsia="黑体"/>
          <w:sz w:val="32"/>
          <w:szCs w:val="32"/>
        </w:rPr>
      </w:pPr>
      <w:r>
        <w:rPr>
          <w:rFonts w:eastAsia="黑体"/>
          <w:sz w:val="32"/>
          <w:szCs w:val="32"/>
        </w:rPr>
        <w:t>四、绩效评价指标分析</w:t>
      </w:r>
    </w:p>
    <w:p w14:paraId="3CF184A9">
      <w:pPr>
        <w:pStyle w:val="10"/>
        <w:spacing w:before="0" w:after="0" w:line="560" w:lineRule="exact"/>
        <w:ind w:firstLine="643" w:firstLineChars="200"/>
        <w:jc w:val="both"/>
        <w:rPr>
          <w:rFonts w:ascii="Times New Roman" w:hAnsi="Times New Roman" w:eastAsia="楷体_GB2312"/>
          <w:sz w:val="32"/>
          <w:szCs w:val="32"/>
        </w:rPr>
      </w:pPr>
      <w:r>
        <w:rPr>
          <w:rFonts w:ascii="Times New Roman" w:hAnsi="Times New Roman" w:eastAsia="楷体_GB2312"/>
          <w:sz w:val="32"/>
          <w:szCs w:val="32"/>
        </w:rPr>
        <w:t>（一）项目决策情况</w:t>
      </w:r>
    </w:p>
    <w:p w14:paraId="4A464BA4">
      <w:pPr>
        <w:shd w:val="clear"/>
        <w:spacing w:line="600" w:lineRule="exact"/>
        <w:ind w:firstLine="640" w:firstLineChars="200"/>
        <w:outlineLvl w:val="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7AD4ED36">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7775931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5DEAE11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332801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766808B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56166D78">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59C6FD6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31D48D7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555B83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3F066D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2B27B446">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6FB35B0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6E6E588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27AB378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4E3314A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185E2B87">
      <w:pPr>
        <w:pStyle w:val="10"/>
        <w:numPr>
          <w:ilvl w:val="0"/>
          <w:numId w:val="5"/>
        </w:numPr>
        <w:spacing w:before="0" w:after="0" w:line="560" w:lineRule="exact"/>
        <w:ind w:firstLine="643" w:firstLineChars="200"/>
        <w:jc w:val="both"/>
        <w:rPr>
          <w:rFonts w:ascii="楷体" w:hAnsi="楷体" w:eastAsia="楷体" w:cs="楷体"/>
          <w:sz w:val="32"/>
          <w:szCs w:val="32"/>
        </w:rPr>
      </w:pPr>
      <w:r>
        <w:rPr>
          <w:rFonts w:hint="eastAsia" w:ascii="楷体" w:hAnsi="楷体" w:eastAsia="楷体" w:cs="楷体"/>
          <w:sz w:val="32"/>
          <w:szCs w:val="32"/>
        </w:rPr>
        <w:t>项目过程情况</w:t>
      </w:r>
    </w:p>
    <w:p w14:paraId="12C10B9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w:t>
      </w:r>
      <w:r>
        <w:rPr>
          <w:rFonts w:hint="eastAsia" w:ascii="仿宋_GB2312" w:hAnsi="仿宋_GB2312" w:eastAsia="仿宋_GB2312" w:cs="仿宋_GB2312"/>
          <w:sz w:val="32"/>
          <w:szCs w:val="32"/>
          <w:highlight w:val="none"/>
          <w:lang w:val="en-US" w:eastAsia="zh-CN"/>
        </w:rPr>
        <w:t>组织实施两方面的内容，由5个三级指标构成，权重分值为20分，实际得分19.78分，得分率为98.9%。</w:t>
      </w:r>
    </w:p>
    <w:p w14:paraId="4F88A63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0627F581">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79FF983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C068E7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highlight w:val="none"/>
          <w:lang w:val="en-US" w:eastAsia="zh-CN"/>
        </w:rPr>
        <w:t>项目总投资9万元，资金及时足额到位，到位率100%，预算资金按</w:t>
      </w:r>
      <w:r>
        <w:rPr>
          <w:rFonts w:hint="eastAsia" w:ascii="仿宋_GB2312" w:hAnsi="仿宋_GB2312" w:eastAsia="仿宋_GB2312" w:cs="仿宋_GB2312"/>
          <w:sz w:val="32"/>
          <w:szCs w:val="32"/>
          <w:lang w:val="en-US" w:eastAsia="zh-CN"/>
        </w:rPr>
        <w:t>计划进度执行。</w:t>
      </w:r>
    </w:p>
    <w:p w14:paraId="55801D5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064933B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w:t>
      </w:r>
      <w:r>
        <w:rPr>
          <w:rFonts w:hint="eastAsia" w:ascii="仿宋_GB2312" w:hAnsi="仿宋_GB2312" w:eastAsia="仿宋_GB2312" w:cs="仿宋_GB2312"/>
          <w:sz w:val="32"/>
          <w:szCs w:val="32"/>
          <w:highlight w:val="none"/>
          <w:lang w:val="en-US" w:eastAsia="zh-CN"/>
        </w:rPr>
        <w:t>支出总体能够按照预算执行，预算资金支出8.5万元，预算执行率为94.4%。</w:t>
      </w:r>
    </w:p>
    <w:p w14:paraId="02159C9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011319F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8747522">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104B148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5F96396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596DEA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62D8A79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019DBF68">
      <w:pPr>
        <w:pStyle w:val="12"/>
        <w:numPr>
          <w:ilvl w:val="0"/>
          <w:numId w:val="5"/>
        </w:numPr>
        <w:spacing w:line="560" w:lineRule="exact"/>
        <w:ind w:firstLine="643"/>
        <w:rPr>
          <w:rFonts w:eastAsia="楷体_GB2312"/>
          <w:b/>
          <w:bCs/>
          <w:sz w:val="32"/>
          <w:szCs w:val="32"/>
        </w:rPr>
      </w:pPr>
      <w:r>
        <w:rPr>
          <w:rFonts w:hint="eastAsia" w:eastAsia="楷体_GB2312"/>
          <w:b/>
          <w:bCs/>
          <w:sz w:val="32"/>
          <w:szCs w:val="32"/>
          <w:lang w:val="en-US" w:eastAsia="zh-CN"/>
        </w:rPr>
        <w:t>项目产出情况</w:t>
      </w:r>
    </w:p>
    <w:p w14:paraId="3BF57785">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，由6个三级指标构成，权重分为40分，实际得分40分，得分率为100%。具体</w:t>
      </w:r>
      <w:r>
        <w:rPr>
          <w:rFonts w:hint="eastAsia" w:ascii="仿宋_GB2312" w:hAnsi="仿宋_GB2312" w:eastAsia="仿宋_GB2312" w:cs="仿宋_GB2312"/>
          <w:sz w:val="32"/>
          <w:szCs w:val="32"/>
          <w:lang w:val="en-US" w:eastAsia="zh-CN"/>
        </w:rPr>
        <w:t>产出指标完成情况如下：</w:t>
      </w:r>
    </w:p>
    <w:p w14:paraId="4FD6B33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数量指标：</w:t>
      </w:r>
    </w:p>
    <w:p w14:paraId="7DB1D0E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指标1：制度汇编电子版数量指标，指标值为≥5份，实际完成5份，完成率100%，偏差率0%。</w:t>
      </w:r>
    </w:p>
    <w:p w14:paraId="5F85139A">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指标2：制度汇编纸质版数量指标，指标值为≥5份，实际完成5份，完成率100%，偏差率0%。</w:t>
      </w:r>
    </w:p>
    <w:p w14:paraId="2620A58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质量指标：</w:t>
      </w:r>
    </w:p>
    <w:p w14:paraId="5DCBEDA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指标1：内容完整率指标，指标值为=100%，实际完成100%，完成率100%，偏差率0%。</w:t>
      </w:r>
    </w:p>
    <w:p w14:paraId="32C6818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指标2：验收合格率指标，指标值为=100%，实际完成100%，完成率100%，偏差率0%。</w:t>
      </w:r>
    </w:p>
    <w:p w14:paraId="0643B27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时效指标：</w:t>
      </w:r>
    </w:p>
    <w:p w14:paraId="047A6500">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指标1：服务按期完成率指标，指标值为=100%，实际完成100%，完成率100%，偏差率0%。</w:t>
      </w:r>
    </w:p>
    <w:p w14:paraId="711372F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成本指标：</w:t>
      </w:r>
    </w:p>
    <w:p w14:paraId="2EC39ABA">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指标1：项目预算控制率指标，指标值为=100%，实际完成100%，完成率100%，偏差率0%。</w:t>
      </w:r>
    </w:p>
    <w:p w14:paraId="1C77EB85">
      <w:pPr>
        <w:pStyle w:val="12"/>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5C3DE9D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2个三级指标构成，权重分为20分，实际得分20分，得分率为100%。具</w:t>
      </w:r>
      <w:r>
        <w:rPr>
          <w:rFonts w:hint="eastAsia" w:ascii="仿宋_GB2312" w:hAnsi="仿宋_GB2312" w:eastAsia="仿宋_GB2312" w:cs="仿宋_GB2312"/>
          <w:sz w:val="32"/>
          <w:szCs w:val="32"/>
          <w:lang w:val="en-US" w:eastAsia="zh-CN"/>
        </w:rPr>
        <w:t>体效益指标及满意度指标完成情况如下：</w:t>
      </w:r>
    </w:p>
    <w:p w14:paraId="000FF95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1E8BBEB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①社会效益指标方面</w:t>
      </w:r>
    </w:p>
    <w:p w14:paraId="2A086F31">
      <w:pPr>
        <w:shd w:val="clear"/>
        <w:spacing w:line="600" w:lineRule="exact"/>
        <w:ind w:firstLine="640" w:firstLineChars="200"/>
        <w:outlineLvl w:val="0"/>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sz w:val="32"/>
          <w:szCs w:val="32"/>
          <w:highlight w:val="none"/>
          <w:lang w:val="en-US" w:eastAsia="zh-CN"/>
        </w:rPr>
        <w:t>标1：制度汇编使用年限指标，指标值为≧3年，实际完成值为3年，完成率100%，偏差率0%。</w:t>
      </w:r>
    </w:p>
    <w:p w14:paraId="118B49A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4DDACCD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①满意度指标：</w:t>
      </w:r>
    </w:p>
    <w:p w14:paraId="6C14558B">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sz w:val="32"/>
          <w:szCs w:val="32"/>
          <w:highlight w:val="none"/>
          <w:lang w:val="en-US" w:eastAsia="zh-CN"/>
        </w:rPr>
        <w:t>标1：使用人满意度指标，指标值为≧90%，实际完成92%，完成率100%，偏差率0%。</w:t>
      </w:r>
    </w:p>
    <w:p w14:paraId="4CE741B3">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4E07DEC9">
      <w:pPr>
        <w:pStyle w:val="18"/>
        <w:spacing w:line="560" w:lineRule="exact"/>
        <w:ind w:firstLine="640"/>
        <w:rPr>
          <w:rFonts w:eastAsia="方正仿宋_GBK" w:cs="方正仿宋_GBK"/>
          <w:sz w:val="32"/>
          <w:szCs w:val="32"/>
          <w:highlight w:val="none"/>
        </w:rPr>
      </w:pPr>
      <w:r>
        <w:rPr>
          <w:rFonts w:hint="eastAsia" w:eastAsia="方正仿宋_GBK" w:cs="方正仿宋_GBK"/>
          <w:sz w:val="32"/>
          <w:szCs w:val="32"/>
          <w:highlight w:val="none"/>
          <w:lang w:val="en-US" w:eastAsia="zh-CN"/>
        </w:rPr>
        <w:t>信息中心网络安全标准规范制度汇编项目年初预算9万元，全年预算9万元，实际支出8.5万元，预算执行率为94.4%，项目绩效指标总体完成率为100.25%，</w:t>
      </w:r>
      <w:r>
        <w:rPr>
          <w:rFonts w:hint="eastAsia" w:eastAsia="方正仿宋_GBK" w:cs="方正仿宋_GBK"/>
          <w:sz w:val="32"/>
          <w:szCs w:val="32"/>
          <w:highlight w:val="none"/>
          <w:lang w:val="en-US" w:eastAsia="zh-Hans"/>
        </w:rPr>
        <w:t>总体</w:t>
      </w:r>
      <w:r>
        <w:rPr>
          <w:rFonts w:hint="eastAsia" w:eastAsia="方正仿宋_GBK" w:cs="方正仿宋_GBK"/>
          <w:sz w:val="32"/>
          <w:szCs w:val="32"/>
          <w:highlight w:val="none"/>
          <w:lang w:val="en-US" w:eastAsia="zh-CN"/>
        </w:rPr>
        <w:t>偏差率为5.85%,</w:t>
      </w:r>
      <w:r>
        <w:rPr>
          <w:rFonts w:hint="eastAsia" w:eastAsia="方正仿宋_GBK" w:cs="方正仿宋_GBK"/>
          <w:sz w:val="32"/>
          <w:szCs w:val="32"/>
          <w:highlight w:val="none"/>
          <w:lang w:val="en-US" w:eastAsia="zh-Hans"/>
        </w:rPr>
        <w:t>偏差</w:t>
      </w:r>
      <w:r>
        <w:rPr>
          <w:rFonts w:hint="eastAsia" w:eastAsia="方正仿宋_GBK" w:cs="方正仿宋_GBK"/>
          <w:sz w:val="32"/>
          <w:szCs w:val="32"/>
          <w:highlight w:val="none"/>
          <w:lang w:val="en-US" w:eastAsia="zh-CN"/>
        </w:rPr>
        <w:t>原因：信息中心网络安全标准规范制度汇编项目为一次性项目，预算9万元，实际中标金额8.5万元，</w:t>
      </w:r>
      <w:r>
        <w:rPr>
          <w:rFonts w:hint="eastAsia" w:eastAsia="方正仿宋_GBK" w:cs="方正仿宋_GBK"/>
          <w:sz w:val="32"/>
          <w:szCs w:val="32"/>
          <w:highlight w:val="none"/>
          <w:lang w:val="en-US" w:eastAsia="zh-Hans"/>
        </w:rPr>
        <w:t>改</w:t>
      </w:r>
      <w:r>
        <w:rPr>
          <w:rFonts w:hint="eastAsia" w:eastAsia="方正仿宋_GBK" w:cs="方正仿宋_GBK"/>
          <w:sz w:val="32"/>
          <w:szCs w:val="32"/>
          <w:highlight w:val="none"/>
          <w:lang w:eastAsia="zh-Hans"/>
        </w:rPr>
        <w:t>进</w:t>
      </w:r>
      <w:r>
        <w:rPr>
          <w:rFonts w:hint="eastAsia" w:eastAsia="方正仿宋_GBK" w:cs="方正仿宋_GBK"/>
          <w:sz w:val="32"/>
          <w:szCs w:val="32"/>
          <w:highlight w:val="none"/>
        </w:rPr>
        <w:t>措施</w:t>
      </w:r>
      <w:r>
        <w:rPr>
          <w:rFonts w:hint="eastAsia" w:eastAsia="方正仿宋_GBK" w:cs="方正仿宋_GBK"/>
          <w:sz w:val="32"/>
          <w:szCs w:val="32"/>
          <w:highlight w:val="none"/>
          <w:lang w:val="en-US" w:eastAsia="zh-CN"/>
        </w:rPr>
        <w:t>以后制定项目计划时应更加细化，将所有可能发生的情况都计划在内，保证项目正常运行，保证预算编制更加合理</w:t>
      </w:r>
      <w:r>
        <w:rPr>
          <w:rFonts w:hint="eastAsia" w:eastAsia="方正仿宋_GBK" w:cs="方正仿宋_GBK"/>
          <w:sz w:val="32"/>
          <w:szCs w:val="32"/>
          <w:highlight w:val="none"/>
        </w:rPr>
        <w:t>。</w:t>
      </w:r>
    </w:p>
    <w:p w14:paraId="7EF7EE76">
      <w:pPr>
        <w:spacing w:line="560" w:lineRule="exact"/>
        <w:ind w:firstLine="640" w:firstLineChars="200"/>
        <w:rPr>
          <w:rStyle w:val="17"/>
          <w:rFonts w:ascii="Times New Roman" w:hAnsi="Times New Roman" w:cs="Times New Roman"/>
          <w:color w:val="auto"/>
          <w:sz w:val="32"/>
          <w:szCs w:val="32"/>
        </w:rPr>
      </w:pPr>
      <w:r>
        <w:rPr>
          <w:rFonts w:hint="eastAsia" w:eastAsia="黑体"/>
          <w:sz w:val="32"/>
          <w:szCs w:val="32"/>
          <w:lang w:eastAsia="zh-Hans"/>
        </w:rPr>
        <w:t>六</w:t>
      </w:r>
      <w:r>
        <w:rPr>
          <w:rFonts w:eastAsia="黑体"/>
          <w:sz w:val="32"/>
          <w:szCs w:val="32"/>
        </w:rPr>
        <w:t>、主要经验及做法、存在的问题及原因分析</w:t>
      </w:r>
    </w:p>
    <w:p w14:paraId="4E079B67">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616C9832">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033C509">
      <w:pPr>
        <w:pStyle w:val="10"/>
        <w:spacing w:before="0" w:after="0" w:line="560" w:lineRule="exact"/>
        <w:ind w:firstLine="640" w:firstLineChars="200"/>
        <w:jc w:val="left"/>
        <w:rPr>
          <w:rFonts w:ascii="Times New Roman" w:hAnsi="Times New Roman" w:eastAsia="仿宋_GB2312"/>
          <w:b w:val="0"/>
          <w:bCs w:val="0"/>
          <w:kern w:val="2"/>
          <w:sz w:val="32"/>
          <w:szCs w:val="32"/>
        </w:rPr>
      </w:pPr>
      <w:r>
        <w:rPr>
          <w:rFonts w:ascii="Times New Roman" w:hAnsi="Times New Roman" w:eastAsia="仿宋_GB2312"/>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7539A99">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48B02CD6">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743373EE">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566731ED">
      <w:pPr>
        <w:shd w:val="clear"/>
        <w:spacing w:line="600" w:lineRule="exact"/>
        <w:ind w:firstLine="640" w:firstLineChars="200"/>
        <w:outlineLvl w:val="0"/>
        <w:rPr>
          <w:rFonts w:hint="eastAsia"/>
          <w:sz w:val="32"/>
          <w:szCs w:val="32"/>
          <w:lang w:val="en-US" w:eastAsia="zh-CN"/>
        </w:rPr>
      </w:pP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A2DC049">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3DA8A5E3">
      <w:pPr>
        <w:pStyle w:val="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5D35E9C0">
      <w:pPr>
        <w:pStyle w:val="2"/>
        <w:spacing w:after="0" w:line="560" w:lineRule="exact"/>
        <w:ind w:left="0" w:leftChars="0" w:firstLine="640"/>
        <w:rPr>
          <w:rFonts w:ascii="仿宋_GB2312" w:hAnsi="仿宋_GB2312" w:eastAsia="仿宋_GB2312" w:cs="仿宋_GB2312"/>
          <w:sz w:val="32"/>
          <w:szCs w:val="32"/>
        </w:rPr>
      </w:pPr>
    </w:p>
    <w:p w14:paraId="6084AD37">
      <w:pPr>
        <w:pStyle w:val="2"/>
        <w:spacing w:after="0" w:line="560" w:lineRule="exact"/>
        <w:ind w:left="0" w:leftChars="0" w:firstLine="640"/>
        <w:rPr>
          <w:rFonts w:ascii="仿宋_GB2312" w:hAnsi="仿宋_GB2312" w:eastAsia="仿宋_GB2312" w:cs="仿宋_GB2312"/>
          <w:sz w:val="32"/>
          <w:szCs w:val="32"/>
        </w:rPr>
      </w:pPr>
    </w:p>
    <w:p w14:paraId="277B4AE4">
      <w:pPr>
        <w:pStyle w:val="2"/>
        <w:spacing w:after="0" w:line="560" w:lineRule="exact"/>
        <w:ind w:left="0" w:leftChars="0" w:firstLine="0" w:firstLineChars="0"/>
        <w:rPr>
          <w:rFonts w:ascii="仿宋_GB2312" w:hAnsi="仿宋_GB2312" w:eastAsia="仿宋_GB2312" w:cs="仿宋_GB2312"/>
          <w:sz w:val="32"/>
          <w:szCs w:val="32"/>
        </w:rPr>
      </w:pPr>
    </w:p>
    <w:p w14:paraId="363AC4FD">
      <w:pPr>
        <w:pStyle w:val="10"/>
        <w:jc w:val="both"/>
        <w:rPr>
          <w:rFonts w:ascii="Times New Roman" w:hAnsi="Times New Roman" w:eastAsia="黑体"/>
          <w:b w:val="0"/>
          <w:bCs w:val="0"/>
        </w:rPr>
      </w:pPr>
      <w:bookmarkStart w:id="9" w:name="_GoBack"/>
      <w:bookmarkEnd w:id="9"/>
    </w:p>
    <w:p w14:paraId="41FCB625">
      <w:pPr>
        <w:pStyle w:val="10"/>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1C4B8B35">
      <w:pPr>
        <w:spacing w:line="600" w:lineRule="exact"/>
        <w:rPr>
          <w:rFonts w:hint="eastAsia" w:ascii="黑体" w:hAnsi="黑体" w:eastAsia="黑体" w:cs="黑体"/>
        </w:rPr>
      </w:pPr>
      <w:r>
        <w:rPr>
          <w:rFonts w:hint="eastAsia" w:ascii="黑体" w:hAnsi="黑体" w:eastAsia="黑体" w:cs="黑体"/>
          <w:bCs/>
          <w:sz w:val="32"/>
          <w:szCs w:val="32"/>
        </w:rPr>
        <w:t>附件1</w:t>
      </w:r>
    </w:p>
    <w:p w14:paraId="447A0D0C">
      <w:pPr>
        <w:pStyle w:val="18"/>
        <w:ind w:firstLine="562"/>
        <w:jc w:val="center"/>
        <w:rPr>
          <w:sz w:val="28"/>
          <w:szCs w:val="40"/>
        </w:rPr>
      </w:pPr>
      <w:bookmarkStart w:id="7" w:name="_Toc26499_WPSOffice_Level2"/>
      <w:bookmarkStart w:id="8" w:name="_Toc30064_WPSOffice_Level1"/>
      <w:r>
        <w:rPr>
          <w:rFonts w:hint="eastAsia"/>
          <w:b/>
          <w:bCs/>
          <w:sz w:val="28"/>
          <w:szCs w:val="40"/>
          <w:lang w:val="en-US" w:eastAsia="zh-CN"/>
        </w:rPr>
        <w:t>信息中心网络安全标准规范制度汇编</w:t>
      </w:r>
      <w:r>
        <w:rPr>
          <w:rFonts w:hint="eastAsia"/>
          <w:b/>
          <w:bCs/>
          <w:sz w:val="28"/>
          <w:szCs w:val="40"/>
        </w:rPr>
        <w:t>项目绩效评价指标体系及综合评分表</w:t>
      </w:r>
      <w:bookmarkEnd w:id="7"/>
      <w:bookmarkEnd w:id="8"/>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0E5BB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28A1654B">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14:paraId="1B75310E">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2BE4EAE4">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232FFD7C">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14:paraId="6EEEB707">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77948072">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5101EA86">
            <w:pPr>
              <w:widowControl/>
              <w:spacing w:line="0" w:lineRule="atLeast"/>
              <w:jc w:val="center"/>
              <w:rPr>
                <w:b/>
                <w:bCs/>
                <w:color w:val="000000"/>
                <w:kern w:val="0"/>
                <w:sz w:val="22"/>
                <w:szCs w:val="22"/>
              </w:rPr>
            </w:pPr>
            <w:r>
              <w:rPr>
                <w:b/>
                <w:bCs/>
                <w:color w:val="000000"/>
                <w:kern w:val="0"/>
                <w:sz w:val="22"/>
                <w:szCs w:val="22"/>
              </w:rPr>
              <w:t>得分</w:t>
            </w:r>
          </w:p>
        </w:tc>
      </w:tr>
      <w:tr w14:paraId="47EAB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73516449">
            <w:pPr>
              <w:widowControl/>
              <w:spacing w:line="0" w:lineRule="atLeast"/>
              <w:jc w:val="center"/>
              <w:rPr>
                <w:color w:val="000000"/>
                <w:kern w:val="0"/>
                <w:sz w:val="22"/>
                <w:szCs w:val="22"/>
                <w:highlight w:val="none"/>
              </w:rPr>
            </w:pPr>
          </w:p>
          <w:p w14:paraId="360E8993">
            <w:pPr>
              <w:widowControl/>
              <w:spacing w:line="0" w:lineRule="atLeast"/>
              <w:jc w:val="center"/>
              <w:rPr>
                <w:color w:val="000000"/>
                <w:kern w:val="0"/>
                <w:sz w:val="22"/>
                <w:szCs w:val="22"/>
                <w:highlight w:val="none"/>
              </w:rPr>
            </w:pPr>
          </w:p>
          <w:p w14:paraId="3664199E">
            <w:pPr>
              <w:widowControl/>
              <w:spacing w:line="0" w:lineRule="atLeast"/>
              <w:jc w:val="center"/>
              <w:rPr>
                <w:color w:val="000000"/>
                <w:kern w:val="0"/>
                <w:sz w:val="22"/>
                <w:szCs w:val="22"/>
                <w:highlight w:val="none"/>
              </w:rPr>
            </w:pPr>
          </w:p>
          <w:p w14:paraId="5D430031">
            <w:pPr>
              <w:widowControl/>
              <w:spacing w:line="0" w:lineRule="atLeast"/>
              <w:jc w:val="center"/>
              <w:rPr>
                <w:color w:val="000000"/>
                <w:kern w:val="0"/>
                <w:sz w:val="22"/>
                <w:szCs w:val="22"/>
                <w:highlight w:val="none"/>
              </w:rPr>
            </w:pPr>
          </w:p>
          <w:p w14:paraId="162A2DEA">
            <w:pPr>
              <w:widowControl/>
              <w:spacing w:line="0" w:lineRule="atLeast"/>
              <w:jc w:val="center"/>
              <w:rPr>
                <w:color w:val="000000"/>
                <w:kern w:val="0"/>
                <w:sz w:val="22"/>
                <w:szCs w:val="22"/>
                <w:highlight w:val="none"/>
              </w:rPr>
            </w:pPr>
          </w:p>
          <w:p w14:paraId="16029BBA">
            <w:pPr>
              <w:widowControl/>
              <w:spacing w:line="0" w:lineRule="atLeast"/>
              <w:jc w:val="center"/>
              <w:rPr>
                <w:color w:val="000000"/>
                <w:kern w:val="0"/>
                <w:sz w:val="22"/>
                <w:szCs w:val="22"/>
                <w:highlight w:val="none"/>
              </w:rPr>
            </w:pPr>
          </w:p>
          <w:p w14:paraId="4000D738">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14:paraId="7E61AC0B">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14:paraId="1F2AB1E3">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6D0EF1A">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14:paraId="030A6623">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14:paraId="23046F28">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64662015">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30A54A4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BFD9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5584CA4D">
            <w:pPr>
              <w:spacing w:line="0" w:lineRule="atLeast"/>
              <w:jc w:val="center"/>
              <w:rPr>
                <w:color w:val="000000"/>
                <w:kern w:val="0"/>
                <w:sz w:val="22"/>
                <w:szCs w:val="22"/>
                <w:highlight w:val="none"/>
              </w:rPr>
            </w:pPr>
          </w:p>
        </w:tc>
        <w:tc>
          <w:tcPr>
            <w:tcW w:w="764" w:type="dxa"/>
            <w:vMerge w:val="continue"/>
            <w:shd w:val="clear" w:color="auto" w:fill="FFFFFF"/>
            <w:vAlign w:val="center"/>
          </w:tcPr>
          <w:p w14:paraId="0A8C1EDB">
            <w:pPr>
              <w:widowControl/>
              <w:spacing w:line="0" w:lineRule="atLeast"/>
              <w:jc w:val="center"/>
              <w:rPr>
                <w:color w:val="000000"/>
                <w:kern w:val="0"/>
                <w:sz w:val="22"/>
                <w:szCs w:val="22"/>
                <w:highlight w:val="none"/>
              </w:rPr>
            </w:pPr>
          </w:p>
        </w:tc>
        <w:tc>
          <w:tcPr>
            <w:tcW w:w="873" w:type="dxa"/>
            <w:shd w:val="clear" w:color="auto" w:fill="FFFFFF"/>
            <w:vAlign w:val="center"/>
          </w:tcPr>
          <w:p w14:paraId="3BEA8F64">
            <w:pPr>
              <w:widowControl/>
              <w:spacing w:line="0" w:lineRule="atLeast"/>
              <w:jc w:val="center"/>
              <w:rPr>
                <w:color w:val="000000"/>
                <w:kern w:val="0"/>
                <w:sz w:val="22"/>
                <w:szCs w:val="22"/>
                <w:highlight w:val="none"/>
              </w:rPr>
            </w:pPr>
            <w:r>
              <w:rPr>
                <w:color w:val="000000"/>
                <w:kern w:val="0"/>
                <w:sz w:val="22"/>
                <w:szCs w:val="22"/>
                <w:highlight w:val="none"/>
              </w:rPr>
              <w:t>立项程序</w:t>
            </w:r>
          </w:p>
          <w:p w14:paraId="62D2B052">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14:paraId="7714F3AE">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14:paraId="2E172C48">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7DFBC369">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6D9DE79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74BE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38A2F96D">
            <w:pPr>
              <w:spacing w:line="0" w:lineRule="atLeast"/>
              <w:jc w:val="center"/>
              <w:rPr>
                <w:color w:val="000000"/>
                <w:kern w:val="0"/>
                <w:sz w:val="22"/>
                <w:szCs w:val="22"/>
                <w:highlight w:val="none"/>
              </w:rPr>
            </w:pPr>
          </w:p>
        </w:tc>
        <w:tc>
          <w:tcPr>
            <w:tcW w:w="764" w:type="dxa"/>
            <w:vMerge w:val="restart"/>
            <w:shd w:val="clear" w:color="auto" w:fill="FFFFFF"/>
            <w:vAlign w:val="center"/>
          </w:tcPr>
          <w:p w14:paraId="2AA69D87">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14:paraId="439AD78F">
            <w:pPr>
              <w:widowControl/>
              <w:spacing w:line="0" w:lineRule="atLeast"/>
              <w:jc w:val="center"/>
              <w:rPr>
                <w:color w:val="000000"/>
                <w:kern w:val="0"/>
                <w:sz w:val="22"/>
                <w:szCs w:val="22"/>
                <w:highlight w:val="none"/>
              </w:rPr>
            </w:pPr>
            <w:r>
              <w:rPr>
                <w:color w:val="000000"/>
                <w:kern w:val="0"/>
                <w:sz w:val="22"/>
                <w:szCs w:val="22"/>
                <w:highlight w:val="none"/>
              </w:rPr>
              <w:t>绩效目标</w:t>
            </w:r>
          </w:p>
          <w:p w14:paraId="3C429DB5">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14:paraId="07BB1753">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14:paraId="112DAD6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1AFB529C">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380626EF">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548BD43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21B1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0D899EEC">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690D41CC">
            <w:pPr>
              <w:widowControl/>
              <w:spacing w:line="0" w:lineRule="atLeast"/>
              <w:jc w:val="center"/>
              <w:rPr>
                <w:color w:val="000000"/>
                <w:kern w:val="0"/>
                <w:sz w:val="22"/>
                <w:szCs w:val="22"/>
                <w:highlight w:val="none"/>
              </w:rPr>
            </w:pPr>
          </w:p>
        </w:tc>
        <w:tc>
          <w:tcPr>
            <w:tcW w:w="873" w:type="dxa"/>
            <w:shd w:val="clear" w:color="auto" w:fill="FFFFFF"/>
            <w:vAlign w:val="center"/>
          </w:tcPr>
          <w:p w14:paraId="649C0CF3">
            <w:pPr>
              <w:widowControl/>
              <w:spacing w:line="0" w:lineRule="atLeast"/>
              <w:jc w:val="center"/>
              <w:rPr>
                <w:color w:val="000000"/>
                <w:kern w:val="0"/>
                <w:sz w:val="22"/>
                <w:szCs w:val="22"/>
                <w:highlight w:val="none"/>
              </w:rPr>
            </w:pPr>
            <w:r>
              <w:rPr>
                <w:color w:val="000000"/>
                <w:kern w:val="0"/>
                <w:sz w:val="22"/>
                <w:szCs w:val="22"/>
                <w:highlight w:val="none"/>
              </w:rPr>
              <w:t>绩效指标</w:t>
            </w:r>
          </w:p>
          <w:p w14:paraId="1D425397">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14:paraId="50CC0D64">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14:paraId="23A2249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104533AA">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57491CE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903D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3986B675">
            <w:pPr>
              <w:spacing w:line="0" w:lineRule="atLeast"/>
              <w:jc w:val="center"/>
              <w:rPr>
                <w:color w:val="000000"/>
                <w:kern w:val="0"/>
                <w:sz w:val="22"/>
                <w:szCs w:val="22"/>
                <w:highlight w:val="none"/>
              </w:rPr>
            </w:pPr>
          </w:p>
        </w:tc>
        <w:tc>
          <w:tcPr>
            <w:tcW w:w="764" w:type="dxa"/>
            <w:vMerge w:val="restart"/>
            <w:shd w:val="clear" w:color="auto" w:fill="FFFFFF"/>
            <w:vAlign w:val="center"/>
          </w:tcPr>
          <w:p w14:paraId="794DD8B6">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AF46B5C">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17F5FFBB">
            <w:pPr>
              <w:widowControl/>
              <w:spacing w:line="0" w:lineRule="atLeast"/>
              <w:jc w:val="center"/>
              <w:rPr>
                <w:color w:val="000000"/>
                <w:kern w:val="0"/>
                <w:sz w:val="22"/>
                <w:szCs w:val="22"/>
                <w:highlight w:val="none"/>
              </w:rPr>
            </w:pPr>
            <w:r>
              <w:rPr>
                <w:color w:val="000000"/>
                <w:kern w:val="0"/>
                <w:sz w:val="22"/>
                <w:szCs w:val="22"/>
                <w:highlight w:val="none"/>
              </w:rPr>
              <w:t>预算编制</w:t>
            </w:r>
          </w:p>
          <w:p w14:paraId="75D6801F">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14:paraId="2FE47EC3">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74B2DB52">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06087001">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22EFB9B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0254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7C76F7CD">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31E7C38A">
            <w:pPr>
              <w:widowControl/>
              <w:spacing w:line="0" w:lineRule="atLeast"/>
              <w:jc w:val="center"/>
              <w:rPr>
                <w:color w:val="000000"/>
                <w:kern w:val="0"/>
                <w:sz w:val="22"/>
                <w:szCs w:val="22"/>
                <w:highlight w:val="none"/>
              </w:rPr>
            </w:pPr>
          </w:p>
        </w:tc>
        <w:tc>
          <w:tcPr>
            <w:tcW w:w="873" w:type="dxa"/>
            <w:shd w:val="clear" w:color="auto" w:fill="FFFFFF"/>
            <w:vAlign w:val="center"/>
          </w:tcPr>
          <w:p w14:paraId="2F59D5DA">
            <w:pPr>
              <w:widowControl/>
              <w:spacing w:line="0" w:lineRule="atLeast"/>
              <w:jc w:val="center"/>
              <w:rPr>
                <w:color w:val="000000"/>
                <w:kern w:val="0"/>
                <w:sz w:val="22"/>
                <w:szCs w:val="22"/>
                <w:highlight w:val="none"/>
              </w:rPr>
            </w:pPr>
            <w:r>
              <w:rPr>
                <w:color w:val="000000"/>
                <w:kern w:val="0"/>
                <w:sz w:val="22"/>
                <w:szCs w:val="22"/>
                <w:highlight w:val="none"/>
              </w:rPr>
              <w:t>资金分配</w:t>
            </w:r>
          </w:p>
          <w:p w14:paraId="0B17506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14:paraId="656C18D4">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7860AD7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4ADFAFF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02984AD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DA3E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3F1BAA85">
            <w:pPr>
              <w:spacing w:line="0" w:lineRule="atLeast"/>
              <w:jc w:val="center"/>
              <w:rPr>
                <w:color w:val="000000"/>
                <w:kern w:val="0"/>
                <w:sz w:val="22"/>
                <w:szCs w:val="22"/>
                <w:highlight w:val="none"/>
              </w:rPr>
            </w:pPr>
          </w:p>
          <w:p w14:paraId="126C2FD8">
            <w:pPr>
              <w:spacing w:line="0" w:lineRule="atLeast"/>
              <w:jc w:val="center"/>
              <w:rPr>
                <w:color w:val="000000"/>
                <w:kern w:val="0"/>
                <w:sz w:val="22"/>
                <w:szCs w:val="22"/>
                <w:highlight w:val="none"/>
              </w:rPr>
            </w:pPr>
          </w:p>
          <w:p w14:paraId="0343645E">
            <w:pPr>
              <w:spacing w:line="0" w:lineRule="atLeast"/>
              <w:jc w:val="center"/>
              <w:rPr>
                <w:color w:val="000000"/>
                <w:kern w:val="0"/>
                <w:sz w:val="22"/>
                <w:szCs w:val="22"/>
                <w:highlight w:val="none"/>
              </w:rPr>
            </w:pPr>
          </w:p>
          <w:p w14:paraId="6692C420">
            <w:pPr>
              <w:spacing w:line="0" w:lineRule="atLeast"/>
              <w:jc w:val="center"/>
              <w:rPr>
                <w:color w:val="000000"/>
                <w:kern w:val="0"/>
                <w:sz w:val="22"/>
                <w:szCs w:val="22"/>
                <w:highlight w:val="none"/>
              </w:rPr>
            </w:pPr>
          </w:p>
          <w:p w14:paraId="3F6C7C27">
            <w:pPr>
              <w:spacing w:line="0" w:lineRule="atLeast"/>
              <w:jc w:val="center"/>
              <w:rPr>
                <w:color w:val="000000"/>
                <w:kern w:val="0"/>
                <w:sz w:val="22"/>
                <w:szCs w:val="22"/>
                <w:highlight w:val="none"/>
              </w:rPr>
            </w:pPr>
          </w:p>
          <w:p w14:paraId="661F0B0E">
            <w:pPr>
              <w:spacing w:line="0" w:lineRule="atLeast"/>
              <w:jc w:val="center"/>
              <w:rPr>
                <w:color w:val="000000"/>
                <w:kern w:val="0"/>
                <w:sz w:val="22"/>
                <w:szCs w:val="22"/>
                <w:highlight w:val="none"/>
              </w:rPr>
            </w:pPr>
          </w:p>
          <w:p w14:paraId="6F6519B7">
            <w:pPr>
              <w:spacing w:line="0" w:lineRule="atLeast"/>
              <w:jc w:val="center"/>
              <w:rPr>
                <w:color w:val="000000"/>
                <w:kern w:val="0"/>
                <w:sz w:val="22"/>
                <w:szCs w:val="22"/>
                <w:highlight w:val="none"/>
              </w:rPr>
            </w:pPr>
          </w:p>
          <w:p w14:paraId="2EC3D219">
            <w:pPr>
              <w:spacing w:line="0" w:lineRule="atLeast"/>
              <w:jc w:val="center"/>
              <w:rPr>
                <w:color w:val="000000"/>
                <w:kern w:val="0"/>
                <w:sz w:val="22"/>
                <w:szCs w:val="22"/>
                <w:highlight w:val="none"/>
              </w:rPr>
            </w:pPr>
          </w:p>
          <w:p w14:paraId="2E36FE0B">
            <w:pPr>
              <w:spacing w:line="0" w:lineRule="atLeast"/>
              <w:jc w:val="center"/>
              <w:rPr>
                <w:color w:val="000000"/>
                <w:kern w:val="0"/>
                <w:sz w:val="22"/>
                <w:szCs w:val="22"/>
                <w:highlight w:val="none"/>
              </w:rPr>
            </w:pPr>
          </w:p>
          <w:p w14:paraId="74947D3D">
            <w:pPr>
              <w:spacing w:line="0" w:lineRule="atLeast"/>
              <w:jc w:val="center"/>
              <w:rPr>
                <w:color w:val="000000"/>
                <w:kern w:val="0"/>
                <w:sz w:val="22"/>
                <w:szCs w:val="22"/>
                <w:highlight w:val="none"/>
              </w:rPr>
            </w:pPr>
          </w:p>
          <w:p w14:paraId="2F712D17">
            <w:pPr>
              <w:spacing w:line="0" w:lineRule="atLeast"/>
              <w:jc w:val="center"/>
              <w:rPr>
                <w:color w:val="000000"/>
                <w:kern w:val="0"/>
                <w:sz w:val="22"/>
                <w:szCs w:val="22"/>
                <w:highlight w:val="none"/>
              </w:rPr>
            </w:pPr>
          </w:p>
          <w:p w14:paraId="5293C065">
            <w:pPr>
              <w:spacing w:line="0" w:lineRule="atLeast"/>
              <w:jc w:val="center"/>
              <w:rPr>
                <w:color w:val="000000"/>
                <w:kern w:val="0"/>
                <w:sz w:val="22"/>
                <w:szCs w:val="22"/>
                <w:highlight w:val="none"/>
              </w:rPr>
            </w:pPr>
          </w:p>
          <w:p w14:paraId="3A92F40C">
            <w:pPr>
              <w:spacing w:line="0" w:lineRule="atLeast"/>
              <w:jc w:val="center"/>
              <w:rPr>
                <w:color w:val="000000"/>
                <w:kern w:val="0"/>
                <w:sz w:val="22"/>
                <w:szCs w:val="22"/>
                <w:highlight w:val="none"/>
              </w:rPr>
            </w:pPr>
          </w:p>
          <w:p w14:paraId="34924FC1">
            <w:pPr>
              <w:spacing w:line="0" w:lineRule="atLeast"/>
              <w:jc w:val="center"/>
              <w:rPr>
                <w:color w:val="000000"/>
                <w:kern w:val="0"/>
                <w:sz w:val="22"/>
                <w:szCs w:val="22"/>
                <w:highlight w:val="none"/>
              </w:rPr>
            </w:pPr>
          </w:p>
          <w:p w14:paraId="66598EB0">
            <w:pPr>
              <w:spacing w:line="0" w:lineRule="atLeast"/>
              <w:jc w:val="center"/>
              <w:rPr>
                <w:color w:val="000000"/>
                <w:kern w:val="0"/>
                <w:sz w:val="22"/>
                <w:szCs w:val="22"/>
                <w:highlight w:val="none"/>
              </w:rPr>
            </w:pPr>
          </w:p>
          <w:p w14:paraId="7932D0AB">
            <w:pPr>
              <w:spacing w:line="0" w:lineRule="atLeast"/>
              <w:jc w:val="center"/>
              <w:rPr>
                <w:color w:val="000000"/>
                <w:kern w:val="0"/>
                <w:sz w:val="22"/>
                <w:szCs w:val="22"/>
                <w:highlight w:val="none"/>
              </w:rPr>
            </w:pPr>
            <w:r>
              <w:rPr>
                <w:color w:val="000000"/>
                <w:kern w:val="0"/>
                <w:sz w:val="22"/>
                <w:szCs w:val="22"/>
                <w:highlight w:val="none"/>
              </w:rPr>
              <w:t>过程</w:t>
            </w:r>
          </w:p>
          <w:p w14:paraId="77B105DE">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14:paraId="4B9282D8">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15C6B0CC">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14:paraId="6A0F9CCA">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14:paraId="7418E39E">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2ADE7C07">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15B73A2B">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3853806B">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4BA01A0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3DB4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3049C1B2">
            <w:pPr>
              <w:spacing w:line="0" w:lineRule="atLeast"/>
              <w:jc w:val="center"/>
              <w:rPr>
                <w:color w:val="000000"/>
                <w:kern w:val="0"/>
                <w:sz w:val="22"/>
                <w:szCs w:val="22"/>
                <w:highlight w:val="none"/>
              </w:rPr>
            </w:pPr>
          </w:p>
        </w:tc>
        <w:tc>
          <w:tcPr>
            <w:tcW w:w="764" w:type="dxa"/>
            <w:vMerge w:val="continue"/>
            <w:shd w:val="clear" w:color="auto" w:fill="FFFFFF"/>
            <w:vAlign w:val="center"/>
          </w:tcPr>
          <w:p w14:paraId="26A3936E">
            <w:pPr>
              <w:spacing w:line="0" w:lineRule="atLeast"/>
              <w:jc w:val="center"/>
              <w:rPr>
                <w:color w:val="000000"/>
                <w:kern w:val="0"/>
                <w:sz w:val="22"/>
                <w:szCs w:val="22"/>
                <w:highlight w:val="none"/>
              </w:rPr>
            </w:pPr>
          </w:p>
        </w:tc>
        <w:tc>
          <w:tcPr>
            <w:tcW w:w="873" w:type="dxa"/>
            <w:shd w:val="clear" w:color="auto" w:fill="FFFFFF"/>
            <w:vAlign w:val="center"/>
          </w:tcPr>
          <w:p w14:paraId="7997EA05">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14:paraId="793AC797">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14:paraId="313E3B06">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00BAA70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155CC85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3.78</w:t>
            </w:r>
          </w:p>
        </w:tc>
      </w:tr>
      <w:tr w14:paraId="4946A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3FB942A9">
            <w:pPr>
              <w:spacing w:line="0" w:lineRule="atLeast"/>
              <w:jc w:val="center"/>
              <w:rPr>
                <w:color w:val="000000"/>
                <w:kern w:val="0"/>
                <w:sz w:val="22"/>
                <w:szCs w:val="22"/>
                <w:highlight w:val="none"/>
              </w:rPr>
            </w:pPr>
          </w:p>
        </w:tc>
        <w:tc>
          <w:tcPr>
            <w:tcW w:w="764" w:type="dxa"/>
            <w:shd w:val="clear" w:color="auto" w:fill="FFFFFF"/>
            <w:vAlign w:val="center"/>
          </w:tcPr>
          <w:p w14:paraId="4B7E1BC7">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41DDCA0E">
            <w:pPr>
              <w:widowControl/>
              <w:spacing w:line="0" w:lineRule="atLeast"/>
              <w:jc w:val="center"/>
              <w:rPr>
                <w:color w:val="000000"/>
                <w:kern w:val="0"/>
                <w:sz w:val="22"/>
                <w:szCs w:val="22"/>
                <w:highlight w:val="none"/>
              </w:rPr>
            </w:pPr>
            <w:r>
              <w:rPr>
                <w:color w:val="000000"/>
                <w:kern w:val="0"/>
                <w:sz w:val="22"/>
                <w:szCs w:val="22"/>
                <w:highlight w:val="none"/>
              </w:rPr>
              <w:t>资金使用</w:t>
            </w:r>
          </w:p>
          <w:p w14:paraId="477488E4">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14:paraId="6080E197">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14:paraId="4A62C54F">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0522E042">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0D6FDAB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4F1B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025A7696">
            <w:pPr>
              <w:spacing w:line="0" w:lineRule="atLeast"/>
              <w:jc w:val="center"/>
              <w:rPr>
                <w:color w:val="000000"/>
                <w:kern w:val="0"/>
                <w:sz w:val="22"/>
                <w:szCs w:val="22"/>
                <w:highlight w:val="none"/>
              </w:rPr>
            </w:pPr>
          </w:p>
        </w:tc>
        <w:tc>
          <w:tcPr>
            <w:tcW w:w="764" w:type="dxa"/>
            <w:vMerge w:val="restart"/>
            <w:shd w:val="clear" w:color="auto" w:fill="FFFFFF"/>
            <w:vAlign w:val="center"/>
          </w:tcPr>
          <w:p w14:paraId="7330082B">
            <w:pPr>
              <w:widowControl/>
              <w:spacing w:line="0" w:lineRule="atLeast"/>
              <w:jc w:val="center"/>
              <w:rPr>
                <w:color w:val="000000"/>
                <w:kern w:val="0"/>
                <w:sz w:val="22"/>
                <w:szCs w:val="22"/>
                <w:highlight w:val="none"/>
              </w:rPr>
            </w:pPr>
            <w:r>
              <w:rPr>
                <w:color w:val="000000"/>
                <w:kern w:val="0"/>
                <w:sz w:val="22"/>
                <w:szCs w:val="22"/>
                <w:highlight w:val="none"/>
              </w:rPr>
              <w:t>组织实施</w:t>
            </w:r>
          </w:p>
          <w:p w14:paraId="3E25F4F8">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241D05B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48218F79">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14:paraId="4051CB92">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14:paraId="0FE4F89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1481197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3A0296D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A61F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518A3853">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7EDFD802">
            <w:pPr>
              <w:widowControl/>
              <w:spacing w:line="0" w:lineRule="atLeast"/>
              <w:jc w:val="center"/>
              <w:rPr>
                <w:color w:val="000000"/>
                <w:kern w:val="0"/>
                <w:sz w:val="22"/>
                <w:szCs w:val="22"/>
                <w:highlight w:val="none"/>
              </w:rPr>
            </w:pPr>
          </w:p>
        </w:tc>
        <w:tc>
          <w:tcPr>
            <w:tcW w:w="873" w:type="dxa"/>
            <w:shd w:val="clear" w:color="auto" w:fill="FFFFFF"/>
            <w:vAlign w:val="center"/>
          </w:tcPr>
          <w:p w14:paraId="36670852">
            <w:pPr>
              <w:widowControl/>
              <w:spacing w:line="0" w:lineRule="atLeast"/>
              <w:jc w:val="center"/>
              <w:rPr>
                <w:color w:val="000000"/>
                <w:kern w:val="0"/>
                <w:sz w:val="22"/>
                <w:szCs w:val="22"/>
                <w:highlight w:val="none"/>
              </w:rPr>
            </w:pPr>
            <w:r>
              <w:rPr>
                <w:color w:val="000000"/>
                <w:kern w:val="0"/>
                <w:sz w:val="22"/>
                <w:szCs w:val="22"/>
                <w:highlight w:val="none"/>
              </w:rPr>
              <w:t>制度执行</w:t>
            </w:r>
          </w:p>
          <w:p w14:paraId="666BC60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14:paraId="09944A23">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14:paraId="65B400BF">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3A25F60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1140774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BCB4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3B425AF2">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14:paraId="6971E098">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14:paraId="17AA8456">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14:paraId="40B9F915">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14:paraId="7FDCD841">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200A3E1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35B6609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35D03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200DE59D">
            <w:pPr>
              <w:widowControl/>
              <w:spacing w:line="0" w:lineRule="atLeast"/>
              <w:jc w:val="center"/>
              <w:rPr>
                <w:color w:val="000000"/>
                <w:kern w:val="0"/>
                <w:sz w:val="22"/>
                <w:szCs w:val="22"/>
                <w:highlight w:val="none"/>
              </w:rPr>
            </w:pPr>
          </w:p>
        </w:tc>
        <w:tc>
          <w:tcPr>
            <w:tcW w:w="764" w:type="dxa"/>
            <w:shd w:val="clear" w:color="auto" w:fill="FFFFFF"/>
            <w:vAlign w:val="center"/>
          </w:tcPr>
          <w:p w14:paraId="0BA707A2">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14:paraId="3A7C5E96">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14:paraId="2974B2BC">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14:paraId="7E55EA14">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65DF4AB5">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4B30874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29C5C94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693BC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6E4C36F6">
            <w:pPr>
              <w:spacing w:line="0" w:lineRule="atLeast"/>
              <w:jc w:val="center"/>
              <w:rPr>
                <w:color w:val="000000"/>
                <w:kern w:val="0"/>
                <w:sz w:val="22"/>
                <w:szCs w:val="22"/>
                <w:highlight w:val="none"/>
              </w:rPr>
            </w:pPr>
          </w:p>
        </w:tc>
        <w:tc>
          <w:tcPr>
            <w:tcW w:w="764" w:type="dxa"/>
            <w:shd w:val="clear" w:color="auto" w:fill="FFFFFF"/>
            <w:vAlign w:val="center"/>
          </w:tcPr>
          <w:p w14:paraId="75171313">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14:paraId="7923ECDC">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14:paraId="393726DA">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14:paraId="050C9590">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45DF98D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2E0B39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776F1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38D5FF09">
            <w:pPr>
              <w:widowControl/>
              <w:spacing w:line="0" w:lineRule="atLeast"/>
              <w:jc w:val="center"/>
              <w:rPr>
                <w:color w:val="000000"/>
                <w:kern w:val="0"/>
                <w:sz w:val="22"/>
                <w:szCs w:val="22"/>
                <w:highlight w:val="none"/>
              </w:rPr>
            </w:pPr>
          </w:p>
        </w:tc>
        <w:tc>
          <w:tcPr>
            <w:tcW w:w="764" w:type="dxa"/>
            <w:shd w:val="clear" w:color="auto" w:fill="FFFFFF"/>
            <w:vAlign w:val="center"/>
          </w:tcPr>
          <w:p w14:paraId="6086E25F">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14:paraId="0DBE318A">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14:paraId="610C7CBE">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14:paraId="5C684554">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7EDB487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7A8F3A6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26E2C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7E8F5E11">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14:paraId="608BE9FC">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14:paraId="0730C48E">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14:paraId="00C41979">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14:paraId="14FB2FF2">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254E1AE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7F62129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619C1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584E3992">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42A1DC80">
            <w:pPr>
              <w:widowControl/>
              <w:spacing w:line="0" w:lineRule="atLeast"/>
              <w:jc w:val="center"/>
              <w:rPr>
                <w:color w:val="000000"/>
                <w:kern w:val="0"/>
                <w:sz w:val="22"/>
                <w:szCs w:val="22"/>
                <w:highlight w:val="none"/>
              </w:rPr>
            </w:pPr>
          </w:p>
        </w:tc>
        <w:tc>
          <w:tcPr>
            <w:tcW w:w="873" w:type="dxa"/>
            <w:shd w:val="clear" w:color="auto" w:fill="FFFFFF"/>
            <w:vAlign w:val="center"/>
          </w:tcPr>
          <w:p w14:paraId="0B97EBF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14:paraId="1B7D7A54">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14:paraId="1A615082">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2F6DA32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390FF0E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bl>
    <w:p w14:paraId="5ED60951"/>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C84C9CF">
        <w:pPr>
          <w:pStyle w:val="8"/>
          <w:jc w:val="center"/>
        </w:pPr>
        <w:r>
          <w:fldChar w:fldCharType="begin"/>
        </w:r>
        <w:r>
          <w:instrText xml:space="preserve">PAGE   \* MERGEFORMAT</w:instrText>
        </w:r>
        <w:r>
          <w:fldChar w:fldCharType="separate"/>
        </w:r>
        <w:r>
          <w:rPr>
            <w:lang w:val="zh-CN"/>
          </w:rPr>
          <w:t>13</w:t>
        </w:r>
        <w:r>
          <w:fldChar w:fldCharType="end"/>
        </w:r>
      </w:p>
    </w:sdtContent>
  </w:sdt>
  <w:p w14:paraId="011BD40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4517794"/>
    <w:rsid w:val="07397B77"/>
    <w:rsid w:val="0BF80F3C"/>
    <w:rsid w:val="0C043593"/>
    <w:rsid w:val="13471461"/>
    <w:rsid w:val="13B90F01"/>
    <w:rsid w:val="148D6BB3"/>
    <w:rsid w:val="181066D2"/>
    <w:rsid w:val="1C671E73"/>
    <w:rsid w:val="1D30751F"/>
    <w:rsid w:val="21C1020A"/>
    <w:rsid w:val="22506EAD"/>
    <w:rsid w:val="25EB6089"/>
    <w:rsid w:val="2EF23398"/>
    <w:rsid w:val="2F4F2DFB"/>
    <w:rsid w:val="32E32064"/>
    <w:rsid w:val="38CA40DD"/>
    <w:rsid w:val="395F2B56"/>
    <w:rsid w:val="3BECE841"/>
    <w:rsid w:val="3E71176A"/>
    <w:rsid w:val="3F1038B0"/>
    <w:rsid w:val="3FCD1E82"/>
    <w:rsid w:val="3FF7797D"/>
    <w:rsid w:val="40545958"/>
    <w:rsid w:val="4644144F"/>
    <w:rsid w:val="468E3747"/>
    <w:rsid w:val="4DDE7EDF"/>
    <w:rsid w:val="4FCE7902"/>
    <w:rsid w:val="529A5988"/>
    <w:rsid w:val="535E421F"/>
    <w:rsid w:val="5667057F"/>
    <w:rsid w:val="575E405D"/>
    <w:rsid w:val="5A455653"/>
    <w:rsid w:val="5B60710C"/>
    <w:rsid w:val="5BFF6039"/>
    <w:rsid w:val="5D76A616"/>
    <w:rsid w:val="5D7F20B9"/>
    <w:rsid w:val="5DAC7D0E"/>
    <w:rsid w:val="5ECD3760"/>
    <w:rsid w:val="5F98B5AF"/>
    <w:rsid w:val="5FFE8511"/>
    <w:rsid w:val="5FFEACE2"/>
    <w:rsid w:val="614A2CDD"/>
    <w:rsid w:val="617C07ED"/>
    <w:rsid w:val="643EE26D"/>
    <w:rsid w:val="673F6282"/>
    <w:rsid w:val="6F5C41AC"/>
    <w:rsid w:val="6FAF6C78"/>
    <w:rsid w:val="7317C656"/>
    <w:rsid w:val="734ED73F"/>
    <w:rsid w:val="74EE481B"/>
    <w:rsid w:val="77FD8BE9"/>
    <w:rsid w:val="78A12E9B"/>
    <w:rsid w:val="78F857D7"/>
    <w:rsid w:val="79A9BD3F"/>
    <w:rsid w:val="7BCB4704"/>
    <w:rsid w:val="7BFFFDD0"/>
    <w:rsid w:val="7C336E5F"/>
    <w:rsid w:val="7D7A5F86"/>
    <w:rsid w:val="7D8221C1"/>
    <w:rsid w:val="7F37BB4E"/>
    <w:rsid w:val="7FE5352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text"/>
    <w:basedOn w:val="1"/>
    <w:link w:val="21"/>
    <w:qFormat/>
    <w:uiPriority w:val="0"/>
    <w:pPr>
      <w:jc w:val="left"/>
    </w:pPr>
  </w:style>
  <w:style w:type="paragraph" w:styleId="6">
    <w:name w:val="Body Text"/>
    <w:basedOn w:val="1"/>
    <w:qFormat/>
    <w:uiPriority w:val="0"/>
    <w:pPr>
      <w:spacing w:after="120"/>
    </w:p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5"/>
    <w:next w:val="5"/>
    <w:link w:val="22"/>
    <w:qFormat/>
    <w:uiPriority w:val="0"/>
    <w:rPr>
      <w:b/>
      <w:bCs/>
    </w:rPr>
  </w:style>
  <w:style w:type="paragraph" w:styleId="12">
    <w:name w:val="Body Text First Indent"/>
    <w:basedOn w:val="6"/>
    <w:qFormat/>
    <w:uiPriority w:val="0"/>
    <w:pPr>
      <w:spacing w:after="0"/>
      <w:ind w:firstLine="20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5"/>
    <w:qFormat/>
    <w:uiPriority w:val="0"/>
    <w:rPr>
      <w:rFonts w:ascii="Times New Roman" w:hAnsi="Times New Roman" w:eastAsia="宋体" w:cs="Times New Roman"/>
      <w:kern w:val="2"/>
      <w:sz w:val="21"/>
      <w:szCs w:val="24"/>
    </w:rPr>
  </w:style>
  <w:style w:type="character" w:customStyle="1" w:styleId="22">
    <w:name w:val="批注主题 字符"/>
    <w:basedOn w:val="21"/>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9395</Words>
  <Characters>9706</Characters>
  <Lines>58</Lines>
  <Paragraphs>16</Paragraphs>
  <TotalTime>0</TotalTime>
  <ScaleCrop>false</ScaleCrop>
  <LinksUpToDate>false</LinksUpToDate>
  <CharactersWithSpaces>9720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dcterms:modified xsi:type="dcterms:W3CDTF">2024-08-19T05:56:58Z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