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85DE3B">
      <w:pPr>
        <w:spacing w:line="540" w:lineRule="exact"/>
        <w:jc w:val="center"/>
        <w:rPr>
          <w:rFonts w:eastAsia="华文中宋"/>
          <w:b/>
          <w:kern w:val="0"/>
          <w:sz w:val="52"/>
          <w:szCs w:val="52"/>
        </w:rPr>
      </w:pPr>
    </w:p>
    <w:p w14:paraId="00D31049">
      <w:pPr>
        <w:spacing w:line="540" w:lineRule="exact"/>
        <w:rPr>
          <w:rFonts w:eastAsia="华文中宋"/>
          <w:b/>
          <w:kern w:val="0"/>
          <w:sz w:val="52"/>
          <w:szCs w:val="52"/>
        </w:rPr>
      </w:pPr>
    </w:p>
    <w:p w14:paraId="48C3E26B">
      <w:pPr>
        <w:spacing w:line="540" w:lineRule="exact"/>
        <w:jc w:val="center"/>
        <w:rPr>
          <w:rFonts w:eastAsia="华文中宋"/>
          <w:b/>
          <w:kern w:val="0"/>
          <w:sz w:val="52"/>
          <w:szCs w:val="52"/>
        </w:rPr>
      </w:pPr>
    </w:p>
    <w:p w14:paraId="35D143F7">
      <w:pPr>
        <w:spacing w:line="540" w:lineRule="exact"/>
        <w:jc w:val="center"/>
        <w:rPr>
          <w:rFonts w:eastAsia="华文中宋"/>
          <w:b/>
          <w:kern w:val="0"/>
          <w:sz w:val="52"/>
          <w:szCs w:val="52"/>
        </w:rPr>
      </w:pPr>
    </w:p>
    <w:p w14:paraId="44161377">
      <w:pPr>
        <w:spacing w:line="540" w:lineRule="exact"/>
        <w:jc w:val="center"/>
        <w:rPr>
          <w:rFonts w:eastAsia="方正小标宋_GBK"/>
          <w:kern w:val="0"/>
          <w:sz w:val="48"/>
          <w:szCs w:val="48"/>
        </w:rPr>
      </w:pPr>
      <w:r>
        <w:rPr>
          <w:rFonts w:hint="eastAsia" w:eastAsia="方正小标宋_GBK"/>
          <w:kern w:val="0"/>
          <w:sz w:val="48"/>
          <w:szCs w:val="48"/>
        </w:rPr>
        <w:t>工信厅电子政务建设运维和企业信息化工作经费</w:t>
      </w:r>
      <w:r>
        <w:rPr>
          <w:rFonts w:eastAsia="方正小标宋_GBK"/>
          <w:kern w:val="0"/>
          <w:sz w:val="48"/>
          <w:szCs w:val="48"/>
        </w:rPr>
        <w:t>项目支出</w:t>
      </w:r>
    </w:p>
    <w:p w14:paraId="53C48DB6">
      <w:pPr>
        <w:spacing w:line="540" w:lineRule="exact"/>
        <w:jc w:val="center"/>
        <w:rPr>
          <w:rFonts w:eastAsia="方正小标宋_GBK"/>
          <w:kern w:val="0"/>
          <w:sz w:val="48"/>
          <w:szCs w:val="48"/>
        </w:rPr>
      </w:pPr>
      <w:r>
        <w:rPr>
          <w:rFonts w:eastAsia="方正小标宋_GBK"/>
          <w:kern w:val="0"/>
          <w:sz w:val="48"/>
          <w:szCs w:val="48"/>
        </w:rPr>
        <w:t>绩效评价报告</w:t>
      </w:r>
    </w:p>
    <w:p w14:paraId="4E5B5505">
      <w:pPr>
        <w:spacing w:line="540" w:lineRule="exact"/>
        <w:jc w:val="center"/>
        <w:rPr>
          <w:rFonts w:eastAsia="华文中宋"/>
          <w:b/>
          <w:kern w:val="0"/>
          <w:sz w:val="52"/>
          <w:szCs w:val="52"/>
        </w:rPr>
      </w:pPr>
    </w:p>
    <w:p w14:paraId="66E10EDE">
      <w:pPr>
        <w:spacing w:line="540" w:lineRule="exact"/>
        <w:jc w:val="center"/>
        <w:rPr>
          <w:rFonts w:eastAsia="仿宋_GB2312"/>
          <w:kern w:val="0"/>
          <w:sz w:val="36"/>
          <w:szCs w:val="36"/>
        </w:rPr>
      </w:pPr>
      <w:r>
        <w:rPr>
          <w:rFonts w:eastAsia="仿宋_GB2312"/>
          <w:kern w:val="0"/>
          <w:sz w:val="36"/>
          <w:szCs w:val="36"/>
        </w:rPr>
        <w:t>（202</w:t>
      </w:r>
      <w:r>
        <w:rPr>
          <w:rFonts w:hint="eastAsia" w:eastAsia="仿宋_GB2312"/>
          <w:kern w:val="0"/>
          <w:sz w:val="36"/>
          <w:szCs w:val="36"/>
          <w:lang w:val="en-US" w:eastAsia="zh-CN"/>
        </w:rPr>
        <w:t>3</w:t>
      </w:r>
      <w:r>
        <w:rPr>
          <w:rFonts w:eastAsia="仿宋_GB2312"/>
          <w:kern w:val="0"/>
          <w:sz w:val="36"/>
          <w:szCs w:val="36"/>
        </w:rPr>
        <w:t>年度）</w:t>
      </w:r>
    </w:p>
    <w:p w14:paraId="0A9AE593">
      <w:pPr>
        <w:spacing w:line="540" w:lineRule="exact"/>
        <w:jc w:val="center"/>
        <w:rPr>
          <w:rFonts w:eastAsia="仿宋_GB2312"/>
          <w:kern w:val="0"/>
          <w:sz w:val="30"/>
          <w:szCs w:val="30"/>
        </w:rPr>
      </w:pPr>
    </w:p>
    <w:p w14:paraId="534AFB01">
      <w:pPr>
        <w:pStyle w:val="2"/>
        <w:jc w:val="both"/>
      </w:pPr>
    </w:p>
    <w:p w14:paraId="4E4E96CD">
      <w:pPr>
        <w:spacing w:line="540" w:lineRule="exact"/>
        <w:jc w:val="center"/>
        <w:rPr>
          <w:rFonts w:eastAsia="仿宋_GB2312"/>
          <w:kern w:val="0"/>
          <w:sz w:val="30"/>
          <w:szCs w:val="30"/>
        </w:rPr>
      </w:pPr>
    </w:p>
    <w:p w14:paraId="1066CF62">
      <w:pPr>
        <w:spacing w:line="540" w:lineRule="exact"/>
        <w:rPr>
          <w:rFonts w:eastAsia="仿宋_GB2312"/>
          <w:kern w:val="0"/>
          <w:sz w:val="30"/>
          <w:szCs w:val="30"/>
        </w:rPr>
      </w:pPr>
    </w:p>
    <w:p w14:paraId="1B5060D3">
      <w:pPr>
        <w:spacing w:line="700" w:lineRule="exact"/>
        <w:ind w:left="3236" w:leftChars="684" w:hanging="1800" w:hangingChars="500"/>
        <w:jc w:val="left"/>
        <w:rPr>
          <w:rFonts w:eastAsia="仿宋_GB2312"/>
          <w:kern w:val="0"/>
          <w:sz w:val="36"/>
          <w:szCs w:val="36"/>
        </w:rPr>
      </w:pPr>
      <w:r>
        <w:rPr>
          <w:rFonts w:eastAsia="仿宋_GB2312"/>
          <w:kern w:val="0"/>
          <w:sz w:val="36"/>
          <w:szCs w:val="36"/>
        </w:rPr>
        <w:t>项目名称：</w:t>
      </w:r>
      <w:r>
        <w:rPr>
          <w:rFonts w:hint="eastAsia" w:eastAsia="仿宋_GB2312"/>
          <w:kern w:val="0"/>
          <w:sz w:val="36"/>
          <w:szCs w:val="36"/>
        </w:rPr>
        <w:t>工信厅电子政务建设运维和企业信息化工作经费</w:t>
      </w:r>
    </w:p>
    <w:p w14:paraId="6CB6D8A1">
      <w:pPr>
        <w:spacing w:line="700" w:lineRule="exact"/>
        <w:ind w:left="4676" w:leftChars="684" w:hanging="3240" w:hangingChars="900"/>
        <w:jc w:val="left"/>
        <w:rPr>
          <w:rFonts w:eastAsia="仿宋_GB2312"/>
          <w:kern w:val="0"/>
          <w:sz w:val="36"/>
          <w:szCs w:val="36"/>
        </w:rPr>
      </w:pPr>
      <w:r>
        <w:rPr>
          <w:rFonts w:eastAsia="仿宋_GB2312"/>
          <w:kern w:val="0"/>
          <w:sz w:val="36"/>
          <w:szCs w:val="36"/>
        </w:rPr>
        <w:t>实施单位（公章）：</w:t>
      </w:r>
      <w:r>
        <w:rPr>
          <w:rFonts w:hint="eastAsia" w:eastAsia="仿宋_GB2312"/>
          <w:kern w:val="0"/>
          <w:sz w:val="36"/>
          <w:szCs w:val="36"/>
          <w:lang w:val="en-US" w:eastAsia="zh-CN"/>
        </w:rPr>
        <w:t>新疆维吾尔自治区工业和信息化厅信息中心</w:t>
      </w:r>
    </w:p>
    <w:p w14:paraId="6B735885">
      <w:pPr>
        <w:spacing w:line="700" w:lineRule="exact"/>
        <w:ind w:left="4676" w:leftChars="684" w:hanging="3240" w:hangingChars="900"/>
        <w:jc w:val="left"/>
        <w:rPr>
          <w:rFonts w:eastAsia="仿宋_GB2312"/>
          <w:kern w:val="0"/>
          <w:sz w:val="36"/>
          <w:szCs w:val="36"/>
        </w:rPr>
      </w:pPr>
      <w:r>
        <w:rPr>
          <w:rFonts w:eastAsia="仿宋_GB2312"/>
          <w:kern w:val="0"/>
          <w:sz w:val="36"/>
          <w:szCs w:val="36"/>
        </w:rPr>
        <w:t>主管部门（公章）：</w:t>
      </w:r>
      <w:r>
        <w:rPr>
          <w:rFonts w:hint="eastAsia" w:eastAsia="仿宋_GB2312"/>
          <w:kern w:val="0"/>
          <w:sz w:val="36"/>
          <w:szCs w:val="36"/>
          <w:lang w:val="en-US" w:eastAsia="zh-CN"/>
        </w:rPr>
        <w:t>新疆维吾尔自治区工业和信息化厅</w:t>
      </w:r>
    </w:p>
    <w:p w14:paraId="77BF5ABC">
      <w:pPr>
        <w:spacing w:line="700" w:lineRule="exact"/>
        <w:ind w:firstLine="1440" w:firstLineChars="400"/>
        <w:jc w:val="left"/>
        <w:rPr>
          <w:rFonts w:eastAsia="仿宋_GB2312"/>
          <w:kern w:val="0"/>
          <w:sz w:val="36"/>
          <w:szCs w:val="36"/>
        </w:rPr>
      </w:pPr>
      <w:r>
        <w:rPr>
          <w:rFonts w:eastAsia="仿宋_GB2312"/>
          <w:kern w:val="0"/>
          <w:sz w:val="36"/>
          <w:szCs w:val="36"/>
        </w:rPr>
        <w:t>项目负责人（签章）：</w:t>
      </w:r>
      <w:r>
        <w:rPr>
          <w:rFonts w:hint="eastAsia" w:eastAsia="仿宋_GB2312"/>
          <w:kern w:val="0"/>
          <w:sz w:val="36"/>
          <w:szCs w:val="36"/>
          <w:lang w:eastAsia="zh-CN"/>
        </w:rPr>
        <w:t>黄晓峰</w:t>
      </w:r>
    </w:p>
    <w:p w14:paraId="53469BFF">
      <w:pPr>
        <w:spacing w:line="700" w:lineRule="exact"/>
        <w:ind w:firstLine="1440" w:firstLineChars="4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lang w:val="en-US" w:eastAsia="zh-CN"/>
        </w:rPr>
        <w:t>2024</w:t>
      </w:r>
      <w:r>
        <w:rPr>
          <w:rFonts w:eastAsia="仿宋_GB2312"/>
          <w:kern w:val="0"/>
          <w:sz w:val="36"/>
          <w:szCs w:val="36"/>
        </w:rPr>
        <w:t>年</w:t>
      </w:r>
      <w:r>
        <w:rPr>
          <w:rFonts w:hint="eastAsia" w:eastAsia="仿宋_GB2312"/>
          <w:kern w:val="0"/>
          <w:sz w:val="36"/>
          <w:szCs w:val="36"/>
          <w:lang w:val="en-US" w:eastAsia="zh-CN"/>
        </w:rPr>
        <w:t>3</w:t>
      </w:r>
      <w:r>
        <w:rPr>
          <w:rFonts w:eastAsia="仿宋_GB2312"/>
          <w:kern w:val="0"/>
          <w:sz w:val="36"/>
          <w:szCs w:val="36"/>
        </w:rPr>
        <w:t>月</w:t>
      </w:r>
      <w:r>
        <w:rPr>
          <w:rFonts w:hint="eastAsia" w:eastAsia="仿宋_GB2312"/>
          <w:kern w:val="0"/>
          <w:sz w:val="36"/>
          <w:szCs w:val="36"/>
          <w:lang w:val="en-US" w:eastAsia="zh-CN"/>
        </w:rPr>
        <w:t>20</w:t>
      </w:r>
      <w:r>
        <w:rPr>
          <w:rFonts w:eastAsia="仿宋_GB2312"/>
          <w:kern w:val="0"/>
          <w:sz w:val="36"/>
          <w:szCs w:val="36"/>
        </w:rPr>
        <w:t>日</w:t>
      </w:r>
    </w:p>
    <w:p w14:paraId="4DA39E5D">
      <w:pPr>
        <w:spacing w:line="540" w:lineRule="exact"/>
        <w:jc w:val="center"/>
        <w:rPr>
          <w:rFonts w:eastAsia="仿宋_GB2312"/>
          <w:kern w:val="0"/>
          <w:sz w:val="30"/>
          <w:szCs w:val="30"/>
        </w:rPr>
      </w:pPr>
    </w:p>
    <w:p w14:paraId="0AA7AA2F">
      <w:pPr>
        <w:spacing w:line="560" w:lineRule="exact"/>
        <w:rPr>
          <w:rFonts w:eastAsia="黑体"/>
          <w:bCs/>
          <w:sz w:val="32"/>
          <w:szCs w:val="32"/>
        </w:rPr>
        <w:sectPr>
          <w:footerReference r:id="rId3" w:type="default"/>
          <w:pgSz w:w="11906" w:h="16838"/>
          <w:pgMar w:top="1440" w:right="1558" w:bottom="1440" w:left="1800" w:header="851" w:footer="992" w:gutter="0"/>
          <w:cols w:space="425" w:num="1"/>
          <w:docGrid w:type="lines" w:linePitch="312" w:charSpace="0"/>
        </w:sectPr>
      </w:pPr>
    </w:p>
    <w:p w14:paraId="44E18AB6">
      <w:pPr>
        <w:spacing w:line="560" w:lineRule="exact"/>
        <w:ind w:firstLine="640" w:firstLineChars="200"/>
        <w:rPr>
          <w:rFonts w:eastAsia="黑体"/>
          <w:bCs/>
          <w:sz w:val="32"/>
          <w:szCs w:val="32"/>
        </w:rPr>
      </w:pPr>
      <w:r>
        <w:rPr>
          <w:rFonts w:eastAsia="黑体"/>
          <w:bCs/>
          <w:sz w:val="32"/>
          <w:szCs w:val="32"/>
        </w:rPr>
        <w:t>一、基本情况</w:t>
      </w:r>
    </w:p>
    <w:p w14:paraId="2B19E121">
      <w:pPr>
        <w:spacing w:line="560" w:lineRule="exact"/>
        <w:ind w:firstLine="643" w:firstLineChars="200"/>
        <w:rPr>
          <w:rFonts w:eastAsia="楷体_GB2312"/>
          <w:b/>
          <w:bCs/>
          <w:sz w:val="32"/>
          <w:szCs w:val="32"/>
        </w:rPr>
      </w:pPr>
      <w:r>
        <w:rPr>
          <w:rFonts w:eastAsia="楷体_GB2312"/>
          <w:b/>
          <w:bCs/>
          <w:sz w:val="32"/>
          <w:szCs w:val="32"/>
        </w:rPr>
        <w:t>（一）项目概况</w:t>
      </w:r>
    </w:p>
    <w:p w14:paraId="301E63D1">
      <w:pPr>
        <w:spacing w:line="560" w:lineRule="exact"/>
        <w:ind w:firstLine="643" w:firstLineChars="200"/>
        <w:rPr>
          <w:rFonts w:eastAsia="仿宋_GB2312"/>
          <w:b/>
          <w:bCs/>
          <w:sz w:val="32"/>
          <w:szCs w:val="32"/>
        </w:rPr>
      </w:pPr>
      <w:r>
        <w:rPr>
          <w:rFonts w:eastAsia="仿宋_GB2312"/>
          <w:b/>
          <w:bCs/>
          <w:sz w:val="32"/>
          <w:szCs w:val="32"/>
        </w:rPr>
        <w:t>1、项目背景</w:t>
      </w:r>
    </w:p>
    <w:p w14:paraId="7538219D">
      <w:pPr>
        <w:spacing w:line="560" w:lineRule="exact"/>
        <w:ind w:firstLine="640" w:firstLineChars="200"/>
        <w:rPr>
          <w:rFonts w:hint="eastAsia" w:eastAsia="仿宋_GB2312"/>
          <w:sz w:val="32"/>
          <w:szCs w:val="32"/>
          <w:lang w:eastAsia="zh-CN"/>
        </w:rPr>
      </w:pPr>
      <w:r>
        <w:rPr>
          <w:rFonts w:hint="eastAsia" w:eastAsia="仿宋_GB2312"/>
          <w:sz w:val="32"/>
          <w:szCs w:val="32"/>
          <w:lang w:eastAsia="zh-CN"/>
        </w:rPr>
        <w:t>按照自治区关于电子政务工作的规定及要求，为提升自治区工信厅电子政务工作效率和水平，实现在安全稳定的网络环境下向社会提供优质全方位的服务，设立工信厅网站运行维护费和企业信息化工作经费。</w:t>
      </w:r>
    </w:p>
    <w:p w14:paraId="44026455">
      <w:pPr>
        <w:pStyle w:val="2"/>
        <w:numPr>
          <w:ilvl w:val="0"/>
          <w:numId w:val="1"/>
        </w:numPr>
        <w:spacing w:before="0" w:after="0" w:line="560" w:lineRule="exact"/>
        <w:ind w:firstLine="643" w:firstLineChars="200"/>
        <w:jc w:val="both"/>
        <w:rPr>
          <w:rFonts w:ascii="Times New Roman" w:hAnsi="Times New Roman" w:eastAsia="仿宋_GB2312"/>
          <w:kern w:val="2"/>
          <w:sz w:val="32"/>
          <w:szCs w:val="32"/>
        </w:rPr>
      </w:pPr>
      <w:r>
        <w:rPr>
          <w:rFonts w:ascii="Times New Roman" w:hAnsi="Times New Roman" w:eastAsia="仿宋_GB2312"/>
          <w:kern w:val="2"/>
          <w:sz w:val="32"/>
          <w:szCs w:val="32"/>
        </w:rPr>
        <w:t>项目主要内容：</w:t>
      </w:r>
    </w:p>
    <w:p w14:paraId="4E05BDAD">
      <w:pPr>
        <w:spacing w:line="560" w:lineRule="exact"/>
        <w:ind w:firstLine="640" w:firstLineChars="200"/>
        <w:rPr>
          <w:rFonts w:hint="eastAsia" w:eastAsia="黑体"/>
          <w:sz w:val="32"/>
          <w:szCs w:val="32"/>
          <w:highlight w:val="yellow"/>
          <w:lang w:eastAsia="zh-CN"/>
        </w:rPr>
      </w:pPr>
      <w:r>
        <w:rPr>
          <w:rFonts w:hint="eastAsia" w:ascii="仿宋_GB2312" w:hAnsi="仿宋_GB2312" w:eastAsia="仿宋_GB2312" w:cs="仿宋_GB2312"/>
          <w:sz w:val="32"/>
          <w:szCs w:val="32"/>
          <w:highlight w:val="none"/>
          <w:lang w:val="en-US" w:eastAsia="zh-CN"/>
        </w:rPr>
        <w:t>项目主要内容：</w:t>
      </w:r>
      <w:r>
        <w:rPr>
          <w:rFonts w:hint="eastAsia" w:eastAsia="仿宋_GB2312"/>
          <w:color w:val="000000" w:themeColor="text1"/>
          <w:sz w:val="32"/>
          <w:szCs w:val="32"/>
          <w:highlight w:val="none"/>
          <w14:textFill>
            <w14:solidFill>
              <w14:schemeClr w14:val="tx1"/>
            </w14:solidFill>
          </w14:textFill>
        </w:rPr>
        <w:t>根据202</w:t>
      </w:r>
      <w:r>
        <w:rPr>
          <w:rFonts w:hint="eastAsia"/>
          <w:color w:val="000000" w:themeColor="text1"/>
          <w:sz w:val="32"/>
          <w:szCs w:val="32"/>
          <w:highlight w:val="none"/>
          <w:lang w:val="en-US" w:eastAsia="zh-CN"/>
          <w14:textFill>
            <w14:solidFill>
              <w14:schemeClr w14:val="tx1"/>
            </w14:solidFill>
          </w14:textFill>
        </w:rPr>
        <w:t>3</w:t>
      </w:r>
      <w:r>
        <w:rPr>
          <w:rFonts w:hint="eastAsia" w:eastAsia="仿宋_GB2312"/>
          <w:color w:val="000000" w:themeColor="text1"/>
          <w:sz w:val="32"/>
          <w:szCs w:val="32"/>
          <w:highlight w:val="none"/>
          <w14:textFill>
            <w14:solidFill>
              <w14:schemeClr w14:val="tx1"/>
            </w14:solidFill>
          </w14:textFill>
        </w:rPr>
        <w:t>年自治区工信厅电子政务工作要求，结合信息中心工作计划，项目主要完成：做好我厅电子政务内外网以及各业务系统的正常运转、保障我厅网络安全运行、做好门户网站的日常运行维护、保障中心机房正常运转。</w:t>
      </w:r>
    </w:p>
    <w:p w14:paraId="5F94E4BA">
      <w:pPr>
        <w:spacing w:line="560" w:lineRule="exact"/>
        <w:ind w:firstLine="640" w:firstLineChars="200"/>
        <w:rPr>
          <w:sz w:val="32"/>
          <w:szCs w:val="32"/>
        </w:rPr>
      </w:pPr>
      <w:r>
        <w:rPr>
          <w:rFonts w:eastAsia="仿宋_GB2312"/>
          <w:sz w:val="32"/>
          <w:szCs w:val="32"/>
        </w:rPr>
        <w:t>项目实施情况：</w:t>
      </w:r>
      <w:r>
        <w:rPr>
          <w:rFonts w:eastAsia="仿宋_GB2312"/>
          <w:color w:val="000000" w:themeColor="text1"/>
          <w:sz w:val="32"/>
          <w:szCs w:val="32"/>
          <w:highlight w:val="none"/>
          <w14:textFill>
            <w14:solidFill>
              <w14:schemeClr w14:val="tx1"/>
            </w14:solidFill>
          </w14:textFill>
        </w:rPr>
        <w:t>项目目前已经完成实际设立的目标，项目在实施过程中严格按照目标设立的各阶段任务进行开展工作，在前期过程中严格把质量关，建立安全防护机制，保证项目实施各阶段安全顺利进行。</w:t>
      </w:r>
    </w:p>
    <w:p w14:paraId="4893092B">
      <w:pPr>
        <w:spacing w:line="560" w:lineRule="exact"/>
        <w:ind w:firstLine="643" w:firstLineChars="200"/>
        <w:rPr>
          <w:rFonts w:eastAsia="仿宋_GB2312"/>
          <w:b/>
          <w:bCs/>
          <w:sz w:val="32"/>
          <w:szCs w:val="32"/>
        </w:rPr>
      </w:pPr>
      <w:r>
        <w:rPr>
          <w:rFonts w:eastAsia="仿宋_GB2312"/>
          <w:b/>
          <w:bCs/>
          <w:sz w:val="32"/>
          <w:szCs w:val="32"/>
        </w:rPr>
        <w:t>3、资金投入和使用情况</w:t>
      </w:r>
    </w:p>
    <w:p w14:paraId="5BA4D617">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（1）资金投入情况</w:t>
      </w:r>
    </w:p>
    <w:p w14:paraId="39ABA1E4">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该项目年初预算数65万元，全年预算数65万元，实际总投入64.4万元，该项目资金已全部落实到位，资金来源为财政拨款。</w:t>
      </w:r>
    </w:p>
    <w:p w14:paraId="4068C79D">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（2）资金使用情况</w:t>
      </w:r>
    </w:p>
    <w:p w14:paraId="5BC3B853">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该项目年初预算数65万元，全年预算数65万元，全年执行数64.4万元，预算执行率为99.08%，主要用于：支付项目实施进程中的各项费用。</w:t>
      </w:r>
    </w:p>
    <w:p w14:paraId="6DBA483B">
      <w:pPr>
        <w:spacing w:line="560" w:lineRule="exact"/>
        <w:ind w:firstLine="643" w:firstLineChars="200"/>
        <w:rPr>
          <w:rFonts w:eastAsia="楷体_GB2312"/>
          <w:b/>
          <w:bCs/>
          <w:sz w:val="32"/>
          <w:szCs w:val="32"/>
        </w:rPr>
      </w:pPr>
      <w:r>
        <w:rPr>
          <w:rFonts w:eastAsia="楷体_GB2312"/>
          <w:b/>
          <w:bCs/>
          <w:sz w:val="32"/>
          <w:szCs w:val="32"/>
        </w:rPr>
        <w:t>（二）项目绩效目标</w:t>
      </w:r>
    </w:p>
    <w:p w14:paraId="71AE29CC">
      <w:pPr>
        <w:spacing w:line="560" w:lineRule="exact"/>
        <w:ind w:firstLine="640" w:firstLineChars="200"/>
        <w:rPr>
          <w:rFonts w:eastAsia="仿宋_GB2312"/>
          <w:sz w:val="32"/>
          <w:szCs w:val="32"/>
        </w:rPr>
      </w:pPr>
      <w:r>
        <w:rPr>
          <w:rFonts w:eastAsia="仿宋_GB2312"/>
          <w:sz w:val="32"/>
          <w:szCs w:val="32"/>
        </w:rPr>
        <w:t>1、总体目标</w:t>
      </w:r>
    </w:p>
    <w:p w14:paraId="1505976C">
      <w:pPr>
        <w:spacing w:line="560" w:lineRule="exact"/>
        <w:ind w:firstLine="640" w:firstLineChars="200"/>
        <w:rPr>
          <w:rFonts w:hint="eastAsia" w:eastAsia="仿宋_GB2312"/>
          <w:sz w:val="32"/>
          <w:szCs w:val="32"/>
          <w:lang w:eastAsia="zh-CN"/>
        </w:rPr>
      </w:pPr>
      <w:r>
        <w:rPr>
          <w:rFonts w:hint="eastAsia" w:eastAsia="仿宋_GB2312"/>
          <w:sz w:val="32"/>
          <w:szCs w:val="32"/>
        </w:rPr>
        <w:t>做好我厅内外网以及各业务系统的运行维护和安全防护，确保安全稳定运行；做好新疆工信厅门户网站的日常运行维护工作，确保我厅在国家和自治区的网站日常监测和绩效评估中达标。充分发挥新疆工信厅门户网站的服务功能，更好地向社会、企业、公众提供政务服务，促进我区工业和信息化工作高质量发展。</w:t>
      </w:r>
    </w:p>
    <w:p w14:paraId="5654C4E3">
      <w:pPr>
        <w:spacing w:line="560" w:lineRule="exact"/>
        <w:ind w:firstLine="640" w:firstLineChars="200"/>
        <w:rPr>
          <w:rFonts w:hint="eastAsia" w:ascii="仿宋_GB2312" w:hAnsi="仿宋_GB2312" w:eastAsia="仿宋_GB2312" w:cs="仿宋_GB2312"/>
          <w:color w:val="FF0000"/>
          <w:sz w:val="32"/>
          <w:szCs w:val="32"/>
          <w:highlight w:val="none"/>
          <w:lang w:val="en-US" w:eastAsia="zh-CN"/>
        </w:rPr>
      </w:pPr>
      <w:r>
        <w:rPr>
          <w:rFonts w:eastAsia="仿宋_GB2312"/>
          <w:sz w:val="32"/>
          <w:szCs w:val="32"/>
        </w:rPr>
        <w:t>2、阶段性目标</w:t>
      </w:r>
    </w:p>
    <w:p w14:paraId="50711E90">
      <w:pPr>
        <w:spacing w:line="560" w:lineRule="exact"/>
        <w:ind w:firstLine="640" w:firstLineChars="200"/>
        <w:rPr>
          <w:rFonts w:hint="eastAsia" w:eastAsia="仿宋_GB2312"/>
          <w:sz w:val="32"/>
          <w:szCs w:val="32"/>
        </w:rPr>
      </w:pPr>
      <w:r>
        <w:rPr>
          <w:rFonts w:hint="eastAsia" w:eastAsia="仿宋_GB2312"/>
          <w:sz w:val="32"/>
          <w:szCs w:val="32"/>
        </w:rPr>
        <w:t>（1）前期准备：通过制定项目实施方案，经项目负责人审核通过后，有序开展后续工作。</w:t>
      </w:r>
    </w:p>
    <w:p w14:paraId="7E03E74D">
      <w:pPr>
        <w:spacing w:line="560" w:lineRule="exact"/>
        <w:ind w:firstLine="640" w:firstLineChars="200"/>
        <w:rPr>
          <w:rFonts w:hint="eastAsia" w:eastAsia="仿宋_GB2312"/>
          <w:sz w:val="32"/>
          <w:szCs w:val="32"/>
          <w:lang w:eastAsia="zh-CN"/>
        </w:rPr>
      </w:pPr>
      <w:r>
        <w:rPr>
          <w:rFonts w:hint="eastAsia" w:eastAsia="仿宋_GB2312"/>
          <w:sz w:val="32"/>
          <w:szCs w:val="32"/>
        </w:rPr>
        <w:t>（2）组织实施：资金一到位，立即根据项目要求实施项目。项目责任人按照项目实施方案要求逐一进行项目部署安排，提高项目质量及效率性。</w:t>
      </w:r>
    </w:p>
    <w:p w14:paraId="3FD2D71F">
      <w:pPr>
        <w:spacing w:line="560" w:lineRule="exact"/>
        <w:ind w:firstLine="640" w:firstLineChars="200"/>
        <w:rPr>
          <w:rFonts w:eastAsia="黑体"/>
          <w:sz w:val="32"/>
          <w:szCs w:val="32"/>
        </w:rPr>
      </w:pPr>
      <w:r>
        <w:rPr>
          <w:rFonts w:eastAsia="黑体"/>
          <w:sz w:val="32"/>
          <w:szCs w:val="32"/>
        </w:rPr>
        <w:t>二、绩效评价工作开展情况</w:t>
      </w:r>
    </w:p>
    <w:p w14:paraId="5C128A6B">
      <w:pPr>
        <w:spacing w:line="560" w:lineRule="exact"/>
        <w:ind w:firstLine="643" w:firstLineChars="200"/>
        <w:rPr>
          <w:rFonts w:eastAsia="楷体_GB2312"/>
          <w:b/>
          <w:bCs/>
          <w:sz w:val="32"/>
          <w:szCs w:val="32"/>
        </w:rPr>
      </w:pPr>
      <w:r>
        <w:rPr>
          <w:rFonts w:eastAsia="楷体_GB2312"/>
          <w:b/>
          <w:bCs/>
          <w:sz w:val="32"/>
          <w:szCs w:val="32"/>
        </w:rPr>
        <w:t>（一）绩效评价目的、对象和范围</w:t>
      </w:r>
    </w:p>
    <w:p w14:paraId="245B4167">
      <w:pPr>
        <w:pStyle w:val="2"/>
        <w:widowControl w:val="0"/>
        <w:spacing w:before="0" w:after="0" w:line="560" w:lineRule="exact"/>
        <w:ind w:firstLine="640" w:firstLineChars="200"/>
        <w:jc w:val="both"/>
        <w:outlineLvl w:val="9"/>
        <w:rPr>
          <w:rFonts w:ascii="Times New Roman" w:hAnsi="Times New Roman" w:eastAsia="仿宋_GB2312"/>
          <w:b w:val="0"/>
          <w:bCs w:val="0"/>
          <w:sz w:val="32"/>
          <w:szCs w:val="32"/>
        </w:rPr>
      </w:pPr>
      <w:r>
        <w:rPr>
          <w:rFonts w:ascii="Times New Roman" w:hAnsi="Times New Roman" w:eastAsia="仿宋_GB2312"/>
          <w:b w:val="0"/>
          <w:bCs w:val="0"/>
          <w:sz w:val="32"/>
          <w:szCs w:val="32"/>
        </w:rPr>
        <w:t>1、绩效评价的目的</w:t>
      </w:r>
    </w:p>
    <w:p w14:paraId="3636A506">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05AB02CE">
      <w:pPr>
        <w:numPr>
          <w:ilvl w:val="0"/>
          <w:numId w:val="2"/>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14:paraId="2D449D56">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14:paraId="0C55B08D">
      <w:pPr>
        <w:pStyle w:val="18"/>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14:paraId="70026A22">
      <w:pPr>
        <w:pStyle w:val="2"/>
        <w:widowControl w:val="0"/>
        <w:spacing w:before="0" w:after="0" w:line="560" w:lineRule="exact"/>
        <w:ind w:firstLine="640" w:firstLineChars="200"/>
        <w:jc w:val="both"/>
        <w:outlineLvl w:val="9"/>
        <w:rPr>
          <w:rFonts w:ascii="Times New Roman" w:hAnsi="Times New Roman" w:eastAsia="仿宋_GB2312"/>
          <w:b w:val="0"/>
          <w:bCs w:val="0"/>
          <w:sz w:val="32"/>
          <w:szCs w:val="32"/>
        </w:rPr>
      </w:pPr>
      <w:r>
        <w:rPr>
          <w:rFonts w:ascii="Times New Roman" w:hAnsi="Times New Roman" w:eastAsia="仿宋_GB2312"/>
          <w:b w:val="0"/>
          <w:bCs w:val="0"/>
          <w:sz w:val="32"/>
          <w:szCs w:val="32"/>
        </w:rPr>
        <w:t>2、绩效评价的对象</w:t>
      </w:r>
    </w:p>
    <w:p w14:paraId="6FAD8CF4">
      <w:pPr>
        <w:spacing w:line="560" w:lineRule="exact"/>
        <w:ind w:firstLine="640" w:firstLineChars="200"/>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工信厅电子政务建设运维和企业信息化工作经费项目所包含的全部项目内容。</w:t>
      </w:r>
    </w:p>
    <w:p w14:paraId="0772876D">
      <w:pPr>
        <w:pStyle w:val="2"/>
        <w:widowControl w:val="0"/>
        <w:spacing w:before="0" w:after="0" w:line="560" w:lineRule="exact"/>
        <w:ind w:firstLine="640" w:firstLineChars="200"/>
        <w:jc w:val="both"/>
        <w:outlineLvl w:val="9"/>
        <w:rPr>
          <w:rFonts w:ascii="Times New Roman" w:hAnsi="Times New Roman" w:eastAsia="仿宋_GB2312"/>
          <w:b w:val="0"/>
          <w:bCs w:val="0"/>
          <w:sz w:val="32"/>
          <w:szCs w:val="32"/>
        </w:rPr>
      </w:pPr>
      <w:r>
        <w:rPr>
          <w:rFonts w:ascii="Times New Roman" w:hAnsi="Times New Roman" w:eastAsia="仿宋_GB2312"/>
          <w:b w:val="0"/>
          <w:bCs w:val="0"/>
          <w:sz w:val="32"/>
          <w:szCs w:val="32"/>
        </w:rPr>
        <w:t>3、绩效评价的范围</w:t>
      </w:r>
    </w:p>
    <w:p w14:paraId="0C19DC7A">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本次评价从项目决策（包括绩效目标、决策过程）、项目管理（包括项目资金、项目实施）、项目产出（包括项目产出数量、产出质量、产出时效和产出成本）项目效益四个维度对</w:t>
      </w:r>
      <w:r>
        <w:rPr>
          <w:rFonts w:hint="eastAsia" w:ascii="Times New Roman" w:hAnsi="Times New Roman" w:eastAsia="仿宋_GB2312" w:cs="Times New Roman"/>
          <w:kern w:val="0"/>
          <w:sz w:val="32"/>
          <w:szCs w:val="32"/>
          <w:lang w:val="en-US" w:eastAsia="zh-CN" w:bidi="ar-SA"/>
        </w:rPr>
        <w:t>工信厅电子政务建设运维和企业信息化工作经费</w:t>
      </w:r>
      <w:r>
        <w:rPr>
          <w:rFonts w:hint="eastAsia" w:ascii="仿宋_GB2312" w:hAnsi="仿宋_GB2312" w:eastAsia="仿宋_GB2312" w:cs="仿宋_GB2312"/>
          <w:sz w:val="32"/>
          <w:szCs w:val="32"/>
          <w:highlight w:val="none"/>
        </w:rPr>
        <w:t>项目进</w:t>
      </w:r>
      <w:r>
        <w:rPr>
          <w:rFonts w:hint="eastAsia" w:ascii="仿宋_GB2312" w:hAnsi="仿宋_GB2312" w:eastAsia="仿宋_GB2312" w:cs="仿宋_GB2312"/>
          <w:sz w:val="32"/>
          <w:szCs w:val="32"/>
        </w:rPr>
        <w:t>行评价，评价核心为专项资金的支出完成情况和效果。</w:t>
      </w:r>
    </w:p>
    <w:p w14:paraId="7A250A8D">
      <w:pPr>
        <w:spacing w:line="560" w:lineRule="exact"/>
        <w:ind w:firstLine="643" w:firstLineChars="200"/>
        <w:rPr>
          <w:sz w:val="32"/>
          <w:szCs w:val="32"/>
        </w:rPr>
      </w:pPr>
      <w:r>
        <w:rPr>
          <w:rFonts w:eastAsia="楷体_GB2312"/>
          <w:b/>
          <w:bCs/>
          <w:sz w:val="32"/>
          <w:szCs w:val="32"/>
        </w:rPr>
        <w:t>（二）绩效评价原则、评价指标体系（详情见表1）、评价方法、评价标准。</w:t>
      </w:r>
    </w:p>
    <w:p w14:paraId="1027488A">
      <w:pPr>
        <w:pStyle w:val="2"/>
        <w:widowControl w:val="0"/>
        <w:spacing w:before="0" w:after="0" w:line="560" w:lineRule="exact"/>
        <w:ind w:firstLine="640" w:firstLineChars="200"/>
        <w:jc w:val="both"/>
        <w:outlineLvl w:val="9"/>
        <w:rPr>
          <w:rFonts w:ascii="Times New Roman" w:hAnsi="Times New Roman" w:eastAsia="仿宋_GB2312"/>
          <w:b w:val="0"/>
          <w:bCs w:val="0"/>
          <w:sz w:val="32"/>
          <w:szCs w:val="32"/>
        </w:rPr>
      </w:pPr>
      <w:r>
        <w:rPr>
          <w:rFonts w:ascii="Times New Roman" w:hAnsi="Times New Roman" w:eastAsia="仿宋_GB2312"/>
          <w:b w:val="0"/>
          <w:bCs w:val="0"/>
          <w:sz w:val="32"/>
          <w:szCs w:val="32"/>
        </w:rPr>
        <w:t>1、绩效评价原则</w:t>
      </w:r>
    </w:p>
    <w:p w14:paraId="5DBD9960">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14:paraId="3BCDA4E5">
      <w:pPr>
        <w:pStyle w:val="2"/>
        <w:spacing w:before="0" w:after="0" w:line="560" w:lineRule="exact"/>
        <w:ind w:firstLine="640" w:firstLineChars="200"/>
        <w:jc w:val="both"/>
        <w:outlineLvl w:val="9"/>
        <w:rPr>
          <w:rFonts w:ascii="Times New Roman" w:hAnsi="Times New Roman" w:eastAsia="仿宋_GB2312"/>
          <w:b w:val="0"/>
          <w:bCs w:val="0"/>
          <w:sz w:val="32"/>
          <w:szCs w:val="32"/>
        </w:rPr>
      </w:pPr>
      <w:r>
        <w:rPr>
          <w:rFonts w:ascii="Times New Roman" w:hAnsi="Times New Roman" w:eastAsia="仿宋_GB2312"/>
          <w:b w:val="0"/>
          <w:bCs w:val="0"/>
          <w:sz w:val="32"/>
          <w:szCs w:val="32"/>
        </w:rPr>
        <w:t>（1）科学公正。绩效评价应当运用科学合理的方法，按照规范的程序，对项目绩效进行客观、公正的反映。</w:t>
      </w:r>
    </w:p>
    <w:p w14:paraId="6B3988D4">
      <w:pPr>
        <w:pStyle w:val="2"/>
        <w:spacing w:before="0" w:after="0" w:line="560" w:lineRule="exact"/>
        <w:ind w:firstLine="640" w:firstLineChars="200"/>
        <w:jc w:val="both"/>
        <w:outlineLvl w:val="9"/>
        <w:rPr>
          <w:rFonts w:ascii="Times New Roman" w:hAnsi="Times New Roman" w:eastAsia="仿宋_GB2312"/>
          <w:b w:val="0"/>
          <w:bCs w:val="0"/>
          <w:sz w:val="32"/>
          <w:szCs w:val="32"/>
        </w:rPr>
      </w:pPr>
      <w:r>
        <w:rPr>
          <w:rFonts w:ascii="Times New Roman" w:hAnsi="Times New Roman" w:eastAsia="仿宋_GB2312"/>
          <w:b w:val="0"/>
          <w:bCs w:val="0"/>
          <w:sz w:val="32"/>
          <w:szCs w:val="32"/>
        </w:rPr>
        <w:t>（2）统筹兼顾。单位自评、部门评价和财政评价应职责明确，各有侧重，相互衔接。单位自评应由项目单位自主实施，即“谁支出、谁自评”。部门评价和财政评价应在单位自评的基础上开展。</w:t>
      </w:r>
    </w:p>
    <w:p w14:paraId="63FB1466">
      <w:pPr>
        <w:pStyle w:val="2"/>
        <w:spacing w:before="0" w:after="0" w:line="560" w:lineRule="exact"/>
        <w:ind w:firstLine="640" w:firstLineChars="200"/>
        <w:jc w:val="both"/>
        <w:outlineLvl w:val="9"/>
        <w:rPr>
          <w:rFonts w:ascii="Times New Roman" w:hAnsi="Times New Roman" w:eastAsia="仿宋_GB2312"/>
          <w:b w:val="0"/>
          <w:bCs w:val="0"/>
          <w:sz w:val="32"/>
          <w:szCs w:val="32"/>
        </w:rPr>
      </w:pPr>
      <w:r>
        <w:rPr>
          <w:rFonts w:ascii="Times New Roman" w:hAnsi="Times New Roman" w:eastAsia="仿宋_GB2312"/>
          <w:b w:val="0"/>
          <w:bCs w:val="0"/>
          <w:sz w:val="32"/>
          <w:szCs w:val="32"/>
        </w:rPr>
        <w:t>（3）激励约束。绩效评价结果应与预算安排、政策调整、改进管理实质性挂钩，体现奖优罚劣和激励相容导向，有效要安排、低效要压减、无效要问责。</w:t>
      </w:r>
    </w:p>
    <w:p w14:paraId="434CF5DC">
      <w:pPr>
        <w:pStyle w:val="2"/>
        <w:spacing w:before="0" w:after="0" w:line="560" w:lineRule="exact"/>
        <w:ind w:firstLine="640" w:firstLineChars="200"/>
        <w:jc w:val="both"/>
        <w:outlineLvl w:val="9"/>
        <w:rPr>
          <w:rFonts w:ascii="Times New Roman" w:hAnsi="Times New Roman" w:eastAsia="仿宋_GB2312"/>
          <w:b w:val="0"/>
          <w:bCs w:val="0"/>
          <w:sz w:val="32"/>
          <w:szCs w:val="32"/>
        </w:rPr>
      </w:pPr>
      <w:r>
        <w:rPr>
          <w:rFonts w:ascii="Times New Roman" w:hAnsi="Times New Roman" w:eastAsia="仿宋_GB2312"/>
          <w:b w:val="0"/>
          <w:bCs w:val="0"/>
          <w:sz w:val="32"/>
          <w:szCs w:val="32"/>
        </w:rPr>
        <w:t>（4）公开透明。绩效评价结果应依法依规公开，并自觉接受社会监督。</w:t>
      </w:r>
    </w:p>
    <w:p w14:paraId="06BA1646">
      <w:pPr>
        <w:pStyle w:val="2"/>
        <w:widowControl w:val="0"/>
        <w:spacing w:before="0" w:after="0" w:line="560" w:lineRule="exact"/>
        <w:ind w:firstLine="640" w:firstLineChars="200"/>
        <w:jc w:val="both"/>
        <w:outlineLvl w:val="9"/>
        <w:rPr>
          <w:rFonts w:ascii="Times New Roman" w:hAnsi="Times New Roman" w:eastAsia="仿宋_GB2312"/>
          <w:b w:val="0"/>
          <w:bCs w:val="0"/>
          <w:sz w:val="32"/>
          <w:szCs w:val="32"/>
        </w:rPr>
      </w:pPr>
      <w:r>
        <w:rPr>
          <w:rFonts w:ascii="Times New Roman" w:hAnsi="Times New Roman" w:eastAsia="仿宋_GB2312"/>
          <w:b w:val="0"/>
          <w:bCs w:val="0"/>
          <w:sz w:val="32"/>
          <w:szCs w:val="32"/>
        </w:rPr>
        <w:t>2、评价指标体系</w:t>
      </w:r>
    </w:p>
    <w:p w14:paraId="7D1726A0">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18785DF9">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14:paraId="3F730CF3">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7FF89243">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14:paraId="5D654285">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5FF931D4">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14:paraId="7A321BE2">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307B2416">
      <w:pPr>
        <w:pStyle w:val="2"/>
        <w:spacing w:before="0" w:after="0" w:line="560" w:lineRule="exact"/>
        <w:ind w:firstLine="708" w:firstLineChars="200"/>
        <w:jc w:val="both"/>
        <w:rPr>
          <w:rFonts w:ascii="Times New Roman" w:hAnsi="Times New Roman" w:eastAsia="仿宋_GB2312"/>
          <w:b w:val="0"/>
          <w:bCs w:val="0"/>
          <w:color w:val="000000"/>
          <w:spacing w:val="17"/>
          <w:kern w:val="2"/>
          <w:sz w:val="32"/>
          <w:szCs w:val="32"/>
        </w:rPr>
      </w:pPr>
      <w:r>
        <w:rPr>
          <w:rFonts w:ascii="Times New Roman" w:hAnsi="Times New Roman" w:eastAsia="仿宋_GB2312"/>
          <w:b w:val="0"/>
          <w:bCs w:val="0"/>
          <w:color w:val="000000"/>
          <w:spacing w:val="17"/>
          <w:kern w:val="2"/>
          <w:sz w:val="32"/>
          <w:szCs w:val="32"/>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78571CA7">
      <w:pPr>
        <w:pStyle w:val="2"/>
        <w:widowControl w:val="0"/>
        <w:spacing w:before="0" w:after="0" w:line="560" w:lineRule="exact"/>
        <w:ind w:firstLine="708" w:firstLineChars="200"/>
        <w:jc w:val="both"/>
        <w:outlineLvl w:val="9"/>
        <w:rPr>
          <w:rFonts w:ascii="Times New Roman" w:hAnsi="Times New Roman" w:eastAsia="仿宋_GB2312"/>
          <w:b w:val="0"/>
          <w:bCs w:val="0"/>
          <w:color w:val="000000"/>
          <w:spacing w:val="17"/>
          <w:sz w:val="32"/>
          <w:szCs w:val="32"/>
        </w:rPr>
      </w:pPr>
      <w:r>
        <w:rPr>
          <w:rFonts w:ascii="Times New Roman" w:hAnsi="Times New Roman" w:eastAsia="仿宋_GB2312"/>
          <w:b w:val="0"/>
          <w:bCs w:val="0"/>
          <w:color w:val="000000"/>
          <w:spacing w:val="17"/>
          <w:sz w:val="32"/>
          <w:szCs w:val="32"/>
        </w:rPr>
        <w:t>具体评价指标体系详情见附件1</w:t>
      </w:r>
    </w:p>
    <w:p w14:paraId="02AFB02C">
      <w:pPr>
        <w:pStyle w:val="2"/>
        <w:widowControl w:val="0"/>
        <w:spacing w:before="0" w:after="0" w:line="560" w:lineRule="exact"/>
        <w:ind w:firstLine="640" w:firstLineChars="200"/>
        <w:jc w:val="both"/>
        <w:outlineLvl w:val="9"/>
        <w:rPr>
          <w:rFonts w:ascii="Times New Roman" w:hAnsi="Times New Roman" w:eastAsia="仿宋_GB2312"/>
          <w:b w:val="0"/>
          <w:bCs w:val="0"/>
          <w:sz w:val="32"/>
          <w:szCs w:val="32"/>
        </w:rPr>
      </w:pPr>
      <w:r>
        <w:rPr>
          <w:rFonts w:ascii="Times New Roman" w:hAnsi="Times New Roman" w:eastAsia="仿宋_GB2312"/>
          <w:b w:val="0"/>
          <w:bCs w:val="0"/>
          <w:sz w:val="32"/>
          <w:szCs w:val="32"/>
        </w:rPr>
        <w:t>3、绩效评价方法</w:t>
      </w:r>
    </w:p>
    <w:p w14:paraId="16BB33F2">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绩效评价从项目决策、项目过程、项目产出、项目效益四个维度进行评价。评价对象为项目目标实施情况，评价核心为资金的支出完成情况和项目的产出效益。</w:t>
      </w:r>
    </w:p>
    <w:p w14:paraId="140911DE">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74463630">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14:paraId="4D664F68">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14:paraId="7F3CF514">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14:paraId="28015ADB">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14:paraId="67BA73F4">
      <w:pPr>
        <w:pStyle w:val="2"/>
        <w:widowControl w:val="0"/>
        <w:spacing w:before="0" w:after="0" w:line="560" w:lineRule="exact"/>
        <w:ind w:firstLine="640" w:firstLineChars="200"/>
        <w:jc w:val="both"/>
        <w:outlineLvl w:val="9"/>
        <w:rPr>
          <w:rFonts w:ascii="Times New Roman" w:hAnsi="Times New Roman" w:eastAsia="仿宋_GB2312"/>
          <w:b w:val="0"/>
          <w:bCs w:val="0"/>
          <w:sz w:val="32"/>
          <w:szCs w:val="32"/>
        </w:rPr>
      </w:pPr>
      <w:r>
        <w:rPr>
          <w:rFonts w:ascii="Times New Roman" w:hAnsi="Times New Roman" w:eastAsia="仿宋_GB2312"/>
          <w:b w:val="0"/>
          <w:bCs w:val="0"/>
          <w:sz w:val="32"/>
          <w:szCs w:val="32"/>
        </w:rPr>
        <w:t>4、评价标准</w:t>
      </w:r>
    </w:p>
    <w:p w14:paraId="501E0979">
      <w:pPr>
        <w:spacing w:line="560" w:lineRule="exact"/>
        <w:ind w:firstLine="708" w:firstLineChars="200"/>
        <w:rPr>
          <w:rFonts w:hint="eastAsia" w:eastAsia="仿宋_GB2312"/>
          <w:color w:val="000000"/>
          <w:spacing w:val="17"/>
          <w:sz w:val="32"/>
          <w:szCs w:val="32"/>
        </w:rPr>
      </w:pPr>
      <w:r>
        <w:rPr>
          <w:rFonts w:hint="eastAsia" w:eastAsia="仿宋_GB2312"/>
          <w:color w:val="000000"/>
          <w:spacing w:val="17"/>
          <w:sz w:val="32"/>
          <w:szCs w:val="32"/>
        </w:rPr>
        <w:t>绩效评价标准通常包括计划标准、行业标准、历史标准等，用于对绩效指标完成情况进行比较、分析、评价。本次评价主要采用了计划标准</w:t>
      </w:r>
      <w:r>
        <w:rPr>
          <w:rFonts w:hint="eastAsia" w:eastAsia="仿宋_GB2312"/>
          <w:color w:val="000000"/>
          <w:spacing w:val="17"/>
          <w:sz w:val="32"/>
          <w:szCs w:val="32"/>
          <w:lang w:eastAsia="zh-CN"/>
        </w:rPr>
        <w:t>，历史标准</w:t>
      </w:r>
      <w:r>
        <w:rPr>
          <w:rFonts w:hint="eastAsia" w:eastAsia="仿宋_GB2312"/>
          <w:color w:val="000000"/>
          <w:spacing w:val="17"/>
          <w:sz w:val="32"/>
          <w:szCs w:val="32"/>
        </w:rPr>
        <w:t>和行业标准。</w:t>
      </w:r>
    </w:p>
    <w:p w14:paraId="145EFE26">
      <w:pPr>
        <w:spacing w:line="560" w:lineRule="exact"/>
        <w:ind w:firstLine="708" w:firstLineChars="200"/>
        <w:rPr>
          <w:rFonts w:eastAsia="仿宋_GB2312"/>
          <w:color w:val="000000"/>
          <w:spacing w:val="17"/>
          <w:sz w:val="32"/>
          <w:szCs w:val="32"/>
        </w:rPr>
      </w:pPr>
      <w:bookmarkStart w:id="0" w:name="_Toc31464"/>
      <w:bookmarkStart w:id="1" w:name="_Toc17882"/>
      <w:r>
        <w:rPr>
          <w:rFonts w:hint="eastAsia" w:eastAsia="仿宋_GB2312"/>
          <w:color w:val="000000"/>
          <w:spacing w:val="17"/>
          <w:sz w:val="32"/>
          <w:szCs w:val="32"/>
        </w:rPr>
        <w:t>计划标准：指以预先制定的目标、计划、预算、定额等作为评价标准。</w:t>
      </w:r>
      <w:bookmarkEnd w:id="0"/>
      <w:bookmarkEnd w:id="1"/>
    </w:p>
    <w:p w14:paraId="24C52AE3">
      <w:pPr>
        <w:spacing w:line="560" w:lineRule="exact"/>
        <w:ind w:firstLine="708" w:firstLineChars="200"/>
        <w:rPr>
          <w:rFonts w:eastAsia="仿宋_GB2312"/>
          <w:color w:val="000000"/>
          <w:spacing w:val="17"/>
          <w:sz w:val="32"/>
          <w:szCs w:val="32"/>
        </w:rPr>
      </w:pPr>
      <w:bookmarkStart w:id="2" w:name="_Toc5633"/>
      <w:bookmarkStart w:id="3" w:name="_Toc2318"/>
      <w:r>
        <w:rPr>
          <w:rFonts w:hint="eastAsia" w:eastAsia="仿宋_GB2312"/>
          <w:color w:val="000000"/>
          <w:spacing w:val="17"/>
          <w:sz w:val="32"/>
          <w:szCs w:val="32"/>
        </w:rPr>
        <w:t>行业标准：指参照国家公布的行业指标数据制定的评价标准。</w:t>
      </w:r>
      <w:bookmarkEnd w:id="2"/>
      <w:bookmarkEnd w:id="3"/>
    </w:p>
    <w:p w14:paraId="32244D98">
      <w:pPr>
        <w:spacing w:line="560" w:lineRule="exact"/>
        <w:ind w:firstLine="708" w:firstLineChars="200"/>
        <w:rPr>
          <w:rFonts w:eastAsia="仿宋_GB2312"/>
          <w:color w:val="000000"/>
          <w:spacing w:val="17"/>
          <w:sz w:val="32"/>
          <w:szCs w:val="32"/>
        </w:rPr>
      </w:pPr>
      <w:bookmarkStart w:id="4" w:name="_Toc430"/>
      <w:bookmarkStart w:id="5" w:name="_Toc16028"/>
      <w:r>
        <w:rPr>
          <w:rFonts w:hint="eastAsia" w:eastAsia="仿宋_GB2312"/>
          <w:color w:val="000000"/>
          <w:spacing w:val="17"/>
          <w:sz w:val="32"/>
          <w:szCs w:val="32"/>
        </w:rPr>
        <w:t>历史标准：指参照历史数据制定的评价标准，为体现绩效改进的原则，在可实现的条件下应当确定相对较高的评价标准。</w:t>
      </w:r>
      <w:bookmarkEnd w:id="4"/>
      <w:bookmarkEnd w:id="5"/>
    </w:p>
    <w:p w14:paraId="00D94521">
      <w:pPr>
        <w:pStyle w:val="2"/>
        <w:numPr>
          <w:ilvl w:val="0"/>
          <w:numId w:val="3"/>
        </w:numPr>
        <w:spacing w:before="0" w:after="0" w:line="560" w:lineRule="exact"/>
        <w:ind w:firstLine="711" w:firstLineChars="200"/>
        <w:jc w:val="both"/>
        <w:rPr>
          <w:rFonts w:ascii="楷体" w:hAnsi="楷体" w:eastAsia="楷体" w:cs="楷体"/>
          <w:color w:val="000000"/>
          <w:spacing w:val="17"/>
          <w:sz w:val="32"/>
          <w:szCs w:val="32"/>
        </w:rPr>
      </w:pPr>
      <w:r>
        <w:rPr>
          <w:rFonts w:hint="eastAsia" w:ascii="楷体" w:hAnsi="楷体" w:eastAsia="楷体" w:cs="楷体"/>
          <w:color w:val="000000"/>
          <w:spacing w:val="17"/>
          <w:sz w:val="32"/>
          <w:szCs w:val="32"/>
        </w:rPr>
        <w:t>绩效评价工作过程</w:t>
      </w:r>
    </w:p>
    <w:p w14:paraId="7452881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lang w:val="en-US" w:eastAsia="zh-CN"/>
        </w:rPr>
        <w:t>1.</w:t>
      </w:r>
      <w:r>
        <w:rPr>
          <w:rFonts w:hint="eastAsia" w:eastAsia="仿宋_GB2312"/>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14:paraId="50F07D6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lang w:val="en-US" w:eastAsia="zh-CN"/>
        </w:rPr>
        <w:t>2.</w:t>
      </w:r>
      <w:r>
        <w:rPr>
          <w:rFonts w:hint="eastAsia" w:eastAsia="仿宋_GB2312"/>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14:paraId="0BE11E6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r>
        <w:rPr>
          <w:rFonts w:hint="eastAsia" w:eastAsia="仿宋_GB2312"/>
          <w:bCs/>
          <w:sz w:val="32"/>
          <w:szCs w:val="32"/>
          <w:lang w:val="en-US" w:eastAsia="zh-CN"/>
        </w:rPr>
        <w:t>3.</w:t>
      </w: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14:paraId="193B6CAD">
      <w:pPr>
        <w:numPr>
          <w:ilvl w:val="0"/>
          <w:numId w:val="4"/>
        </w:numPr>
        <w:spacing w:line="560" w:lineRule="exact"/>
        <w:ind w:firstLine="640" w:firstLineChars="200"/>
        <w:rPr>
          <w:rFonts w:eastAsia="黑体"/>
          <w:sz w:val="32"/>
          <w:szCs w:val="32"/>
        </w:rPr>
      </w:pPr>
      <w:r>
        <w:rPr>
          <w:rFonts w:eastAsia="黑体"/>
          <w:sz w:val="32"/>
          <w:szCs w:val="32"/>
        </w:rPr>
        <w:t>综合评价情况及评价结论（附相关评分表）</w:t>
      </w:r>
    </w:p>
    <w:p w14:paraId="36F8CCF8">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sz w:val="32"/>
          <w:szCs w:val="32"/>
          <w:lang w:val="en-US" w:eastAsia="zh-CN"/>
        </w:rPr>
      </w:pPr>
      <w:r>
        <w:rPr>
          <w:rFonts w:hint="eastAsia" w:ascii="Times New Roman" w:hAnsi="Times New Roman" w:eastAsia="楷体_GB2312"/>
          <w:sz w:val="32"/>
          <w:szCs w:val="32"/>
          <w:lang w:eastAsia="zh-CN"/>
        </w:rPr>
        <w:t>（</w:t>
      </w:r>
      <w:r>
        <w:rPr>
          <w:rFonts w:hint="eastAsia" w:ascii="Times New Roman" w:hAnsi="Times New Roman" w:eastAsia="楷体_GB2312"/>
          <w:sz w:val="32"/>
          <w:szCs w:val="32"/>
          <w:lang w:val="en-US" w:eastAsia="zh-CN"/>
        </w:rPr>
        <w:t>一</w:t>
      </w:r>
      <w:r>
        <w:rPr>
          <w:rFonts w:hint="eastAsia" w:ascii="Times New Roman" w:hAnsi="Times New Roman" w:eastAsia="楷体_GB2312"/>
          <w:sz w:val="32"/>
          <w:szCs w:val="32"/>
          <w:lang w:eastAsia="zh-CN"/>
        </w:rPr>
        <w:t>）</w:t>
      </w:r>
      <w:r>
        <w:rPr>
          <w:rFonts w:hint="eastAsia" w:ascii="Times New Roman" w:hAnsi="Times New Roman" w:eastAsia="楷体_GB2312"/>
          <w:sz w:val="32"/>
          <w:szCs w:val="32"/>
          <w:lang w:val="en-US" w:eastAsia="zh-CN"/>
        </w:rPr>
        <w:t>评价情况</w:t>
      </w:r>
    </w:p>
    <w:p w14:paraId="00E6CE03">
      <w:pPr>
        <w:shd w:val="clear"/>
        <w:spacing w:line="600" w:lineRule="exact"/>
        <w:ind w:firstLine="640" w:firstLineChars="200"/>
        <w:outlineLvl w:val="0"/>
        <w:rPr>
          <w:rFonts w:hint="default"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14:paraId="6B694178">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cs="Times New Roman"/>
          <w:sz w:val="32"/>
          <w:szCs w:val="32"/>
          <w:lang w:val="en-US" w:eastAsia="zh-CN"/>
        </w:rPr>
      </w:pPr>
      <w:r>
        <w:rPr>
          <w:rFonts w:hint="eastAsia" w:ascii="Times New Roman" w:hAnsi="Times New Roman" w:eastAsia="楷体_GB2312" w:cs="Times New Roman"/>
          <w:sz w:val="32"/>
          <w:szCs w:val="32"/>
          <w:lang w:eastAsia="zh-CN"/>
        </w:rPr>
        <w:t>（</w:t>
      </w:r>
      <w:r>
        <w:rPr>
          <w:rFonts w:hint="eastAsia" w:ascii="Times New Roman" w:hAnsi="Times New Roman" w:eastAsia="楷体_GB2312" w:cs="Times New Roman"/>
          <w:sz w:val="32"/>
          <w:szCs w:val="32"/>
          <w:lang w:val="en-US" w:eastAsia="zh-CN"/>
        </w:rPr>
        <w:t>二</w:t>
      </w:r>
      <w:r>
        <w:rPr>
          <w:rFonts w:hint="eastAsia" w:ascii="Times New Roman" w:hAnsi="Times New Roman" w:eastAsia="楷体_GB2312" w:cs="Times New Roman"/>
          <w:sz w:val="32"/>
          <w:szCs w:val="32"/>
          <w:lang w:eastAsia="zh-CN"/>
        </w:rPr>
        <w:t>）</w:t>
      </w:r>
      <w:r>
        <w:rPr>
          <w:rFonts w:hint="eastAsia" w:ascii="Times New Roman" w:hAnsi="Times New Roman" w:eastAsia="楷体_GB2312" w:cs="Times New Roman"/>
          <w:sz w:val="32"/>
          <w:szCs w:val="32"/>
          <w:lang w:val="en-US" w:eastAsia="zh-CN"/>
        </w:rPr>
        <w:t>评价结论</w:t>
      </w:r>
    </w:p>
    <w:p w14:paraId="3BFA0CAC">
      <w:pPr>
        <w:pStyle w:val="2"/>
        <w:widowControl w:val="0"/>
        <w:spacing w:before="0" w:after="0" w:line="560" w:lineRule="exact"/>
        <w:ind w:firstLine="640" w:firstLineChars="200"/>
        <w:jc w:val="both"/>
        <w:outlineLvl w:val="9"/>
        <w:rPr>
          <w:rFonts w:hint="eastAsia" w:ascii="Times New Roman" w:hAnsi="Times New Roman" w:eastAsia="仿宋_GB2312"/>
          <w:b w:val="0"/>
          <w:bCs w:val="0"/>
          <w:sz w:val="32"/>
          <w:szCs w:val="32"/>
          <w:lang w:eastAsia="zh-CN"/>
        </w:rPr>
      </w:pPr>
      <w:r>
        <w:rPr>
          <w:rFonts w:hint="eastAsia" w:ascii="Times New Roman" w:hAnsi="Times New Roman" w:eastAsia="仿宋_GB2312"/>
          <w:b w:val="0"/>
          <w:bCs w:val="0"/>
          <w:sz w:val="32"/>
          <w:szCs w:val="32"/>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b w:val="0"/>
          <w:bCs w:val="0"/>
          <w:sz w:val="32"/>
          <w:szCs w:val="32"/>
          <w:lang w:val="en-US" w:eastAsia="zh-CN"/>
        </w:rPr>
        <w:t>99.96</w:t>
      </w:r>
      <w:r>
        <w:rPr>
          <w:rFonts w:hint="eastAsia" w:ascii="Times New Roman" w:hAnsi="Times New Roman" w:eastAsia="仿宋_GB2312"/>
          <w:b w:val="0"/>
          <w:bCs w:val="0"/>
          <w:sz w:val="32"/>
          <w:szCs w:val="32"/>
        </w:rPr>
        <w:t>分，属于“优”。其中，项目决策类指标权重为20分，得分为</w:t>
      </w:r>
      <w:r>
        <w:rPr>
          <w:rFonts w:hint="eastAsia" w:ascii="Times New Roman" w:hAnsi="Times New Roman" w:eastAsia="仿宋_GB2312"/>
          <w:b w:val="0"/>
          <w:bCs w:val="0"/>
          <w:sz w:val="32"/>
          <w:szCs w:val="32"/>
          <w:lang w:val="en-US" w:eastAsia="zh-CN"/>
        </w:rPr>
        <w:t>20</w:t>
      </w:r>
      <w:r>
        <w:rPr>
          <w:rFonts w:hint="eastAsia" w:ascii="Times New Roman" w:hAnsi="Times New Roman" w:eastAsia="仿宋_GB2312"/>
          <w:b w:val="0"/>
          <w:bCs w:val="0"/>
          <w:sz w:val="32"/>
          <w:szCs w:val="32"/>
        </w:rPr>
        <w:t>分，得分率为</w:t>
      </w:r>
      <w:r>
        <w:rPr>
          <w:rFonts w:hint="eastAsia" w:ascii="Times New Roman" w:hAnsi="Times New Roman" w:eastAsia="仿宋_GB2312"/>
          <w:b w:val="0"/>
          <w:bCs w:val="0"/>
          <w:sz w:val="32"/>
          <w:szCs w:val="32"/>
          <w:lang w:val="en-US" w:eastAsia="zh-CN"/>
        </w:rPr>
        <w:t>100</w:t>
      </w:r>
      <w:r>
        <w:rPr>
          <w:rFonts w:hint="eastAsia" w:ascii="Times New Roman" w:hAnsi="Times New Roman" w:eastAsia="仿宋_GB2312"/>
          <w:b w:val="0"/>
          <w:bCs w:val="0"/>
          <w:sz w:val="32"/>
          <w:szCs w:val="32"/>
        </w:rPr>
        <w:t>%。项目过程类指标权重为20分，得分为</w:t>
      </w:r>
      <w:r>
        <w:rPr>
          <w:rFonts w:hint="eastAsia" w:ascii="Times New Roman" w:hAnsi="Times New Roman" w:eastAsia="仿宋_GB2312"/>
          <w:b w:val="0"/>
          <w:bCs w:val="0"/>
          <w:sz w:val="32"/>
          <w:szCs w:val="32"/>
          <w:lang w:val="en-US" w:eastAsia="zh-CN"/>
        </w:rPr>
        <w:t>19.96</w:t>
      </w:r>
      <w:r>
        <w:rPr>
          <w:rFonts w:hint="eastAsia" w:ascii="Times New Roman" w:hAnsi="Times New Roman" w:eastAsia="仿宋_GB2312"/>
          <w:b w:val="0"/>
          <w:bCs w:val="0"/>
          <w:sz w:val="32"/>
          <w:szCs w:val="32"/>
        </w:rPr>
        <w:t>分，得分率为</w:t>
      </w:r>
      <w:r>
        <w:rPr>
          <w:rFonts w:hint="eastAsia" w:ascii="Times New Roman" w:hAnsi="Times New Roman" w:eastAsia="仿宋_GB2312"/>
          <w:b w:val="0"/>
          <w:bCs w:val="0"/>
          <w:sz w:val="32"/>
          <w:szCs w:val="32"/>
          <w:lang w:val="en-US" w:eastAsia="zh-CN"/>
        </w:rPr>
        <w:t>99.8</w:t>
      </w:r>
      <w:r>
        <w:rPr>
          <w:rFonts w:hint="eastAsia" w:ascii="Times New Roman" w:hAnsi="Times New Roman" w:eastAsia="仿宋_GB2312"/>
          <w:b w:val="0"/>
          <w:bCs w:val="0"/>
          <w:sz w:val="32"/>
          <w:szCs w:val="32"/>
        </w:rPr>
        <w:t>%。项目产出类指标权重为40分，得分为</w:t>
      </w:r>
      <w:r>
        <w:rPr>
          <w:rFonts w:hint="eastAsia" w:ascii="Times New Roman" w:hAnsi="Times New Roman" w:eastAsia="仿宋_GB2312"/>
          <w:b w:val="0"/>
          <w:bCs w:val="0"/>
          <w:sz w:val="32"/>
          <w:szCs w:val="32"/>
          <w:lang w:val="en-US" w:eastAsia="zh-CN"/>
        </w:rPr>
        <w:t>40</w:t>
      </w:r>
      <w:r>
        <w:rPr>
          <w:rFonts w:hint="eastAsia" w:ascii="Times New Roman" w:hAnsi="Times New Roman" w:eastAsia="仿宋_GB2312"/>
          <w:b w:val="0"/>
          <w:bCs w:val="0"/>
          <w:sz w:val="32"/>
          <w:szCs w:val="32"/>
        </w:rPr>
        <w:t>分，得分率为</w:t>
      </w:r>
      <w:r>
        <w:rPr>
          <w:rFonts w:hint="eastAsia" w:ascii="Times New Roman" w:hAnsi="Times New Roman" w:eastAsia="仿宋_GB2312"/>
          <w:b w:val="0"/>
          <w:bCs w:val="0"/>
          <w:sz w:val="32"/>
          <w:szCs w:val="32"/>
          <w:lang w:val="en-US" w:eastAsia="zh-CN"/>
        </w:rPr>
        <w:t>100</w:t>
      </w:r>
      <w:r>
        <w:rPr>
          <w:rFonts w:hint="eastAsia" w:ascii="Times New Roman" w:hAnsi="Times New Roman" w:eastAsia="仿宋_GB2312"/>
          <w:b w:val="0"/>
          <w:bCs w:val="0"/>
          <w:sz w:val="32"/>
          <w:szCs w:val="32"/>
        </w:rPr>
        <w:t>%。项目效益类指标权重为20分，得分为</w:t>
      </w:r>
      <w:r>
        <w:rPr>
          <w:rFonts w:hint="eastAsia" w:ascii="Times New Roman" w:hAnsi="Times New Roman" w:eastAsia="仿宋_GB2312"/>
          <w:b w:val="0"/>
          <w:bCs w:val="0"/>
          <w:sz w:val="32"/>
          <w:szCs w:val="32"/>
          <w:lang w:val="en-US" w:eastAsia="zh-CN"/>
        </w:rPr>
        <w:t>20</w:t>
      </w:r>
      <w:r>
        <w:rPr>
          <w:rFonts w:hint="eastAsia" w:ascii="Times New Roman" w:hAnsi="Times New Roman" w:eastAsia="仿宋_GB2312"/>
          <w:b w:val="0"/>
          <w:bCs w:val="0"/>
          <w:sz w:val="32"/>
          <w:szCs w:val="32"/>
        </w:rPr>
        <w:t>分，得分率为</w:t>
      </w:r>
      <w:r>
        <w:rPr>
          <w:rFonts w:hint="eastAsia" w:ascii="Times New Roman" w:hAnsi="Times New Roman" w:eastAsia="仿宋_GB2312"/>
          <w:b w:val="0"/>
          <w:bCs w:val="0"/>
          <w:sz w:val="32"/>
          <w:szCs w:val="32"/>
          <w:lang w:val="en-US" w:eastAsia="zh-CN"/>
        </w:rPr>
        <w:t>100</w:t>
      </w:r>
      <w:r>
        <w:rPr>
          <w:rFonts w:hint="eastAsia" w:ascii="Times New Roman" w:hAnsi="Times New Roman" w:eastAsia="仿宋_GB2312"/>
          <w:b w:val="0"/>
          <w:bCs w:val="0"/>
          <w:sz w:val="32"/>
          <w:szCs w:val="32"/>
        </w:rPr>
        <w:t>%。具体打分情况详见：附件1综合评分表</w:t>
      </w:r>
      <w:r>
        <w:rPr>
          <w:rFonts w:hint="eastAsia" w:ascii="Times New Roman" w:hAnsi="Times New Roman" w:eastAsia="仿宋_GB2312"/>
          <w:b w:val="0"/>
          <w:bCs w:val="0"/>
          <w:sz w:val="32"/>
          <w:szCs w:val="32"/>
          <w:lang w:eastAsia="zh-CN"/>
        </w:rPr>
        <w:t>。</w:t>
      </w:r>
    </w:p>
    <w:p w14:paraId="7E4033A2">
      <w:pPr>
        <w:pStyle w:val="2"/>
        <w:keepNext w:val="0"/>
        <w:keepLines w:val="0"/>
        <w:pageBreakBefore w:val="0"/>
        <w:widowControl/>
        <w:kinsoku/>
        <w:wordWrap/>
        <w:overflowPunct/>
        <w:topLinePunct w:val="0"/>
        <w:autoSpaceDE/>
        <w:autoSpaceDN/>
        <w:bidi w:val="0"/>
        <w:adjustRightInd/>
        <w:snapToGrid/>
        <w:spacing w:before="0" w:after="0"/>
        <w:textAlignment w:val="auto"/>
        <w:rPr>
          <w:rFonts w:ascii="Times New Roman" w:hAnsi="Times New Roman" w:eastAsia="仿宋_GB2312"/>
          <w:sz w:val="32"/>
          <w:szCs w:val="32"/>
        </w:rPr>
      </w:pPr>
      <w:r>
        <w:rPr>
          <w:rFonts w:ascii="Times New Roman" w:hAnsi="Times New Roman" w:eastAsia="仿宋_GB2312"/>
          <w:sz w:val="32"/>
          <w:szCs w:val="32"/>
        </w:rPr>
        <w:t>表1综合评分表</w:t>
      </w:r>
    </w:p>
    <w:tbl>
      <w:tblPr>
        <w:tblStyle w:val="13"/>
        <w:tblW w:w="7583" w:type="dxa"/>
        <w:jc w:val="center"/>
        <w:tblLayout w:type="fixed"/>
        <w:tblCellMar>
          <w:top w:w="0" w:type="dxa"/>
          <w:left w:w="108" w:type="dxa"/>
          <w:bottom w:w="0" w:type="dxa"/>
          <w:right w:w="108" w:type="dxa"/>
        </w:tblCellMar>
      </w:tblPr>
      <w:tblGrid>
        <w:gridCol w:w="3137"/>
        <w:gridCol w:w="2168"/>
        <w:gridCol w:w="2278"/>
      </w:tblGrid>
      <w:tr w14:paraId="756F80F1">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4A0C1225">
            <w:pPr>
              <w:jc w:val="center"/>
              <w:rPr>
                <w:b/>
                <w:bCs/>
                <w:color w:val="000000"/>
                <w:sz w:val="22"/>
                <w:szCs w:val="22"/>
              </w:rPr>
            </w:pPr>
            <w:r>
              <w:rPr>
                <w:rFonts w:hint="eastAsia"/>
                <w:b/>
                <w:bCs/>
                <w:color w:val="000000"/>
                <w:sz w:val="22"/>
                <w:szCs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114734B">
            <w:pPr>
              <w:jc w:val="center"/>
              <w:rPr>
                <w:b/>
                <w:bCs/>
                <w:color w:val="000000"/>
                <w:sz w:val="22"/>
                <w:szCs w:val="22"/>
              </w:rPr>
            </w:pPr>
            <w:r>
              <w:rPr>
                <w:rFonts w:hint="eastAsia"/>
                <w:b/>
                <w:bCs/>
                <w:color w:val="000000"/>
                <w:sz w:val="22"/>
                <w:szCs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E707098">
            <w:pPr>
              <w:jc w:val="center"/>
              <w:rPr>
                <w:b/>
                <w:bCs/>
                <w:color w:val="000000"/>
                <w:sz w:val="22"/>
                <w:szCs w:val="22"/>
              </w:rPr>
            </w:pPr>
            <w:r>
              <w:rPr>
                <w:rFonts w:hint="eastAsia"/>
                <w:b/>
                <w:bCs/>
                <w:color w:val="000000"/>
                <w:sz w:val="22"/>
                <w:szCs w:val="22"/>
              </w:rPr>
              <w:t>得分</w:t>
            </w:r>
          </w:p>
        </w:tc>
      </w:tr>
      <w:tr w14:paraId="14105B7E">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4C5835B">
            <w:pPr>
              <w:jc w:val="center"/>
              <w:rPr>
                <w:color w:val="000000"/>
                <w:sz w:val="22"/>
                <w:szCs w:val="22"/>
              </w:rPr>
            </w:pPr>
            <w:r>
              <w:rPr>
                <w:rFonts w:hint="eastAsia"/>
                <w:color w:val="000000"/>
                <w:sz w:val="22"/>
                <w:szCs w:val="22"/>
              </w:rPr>
              <w:t>项目决策</w:t>
            </w:r>
          </w:p>
        </w:tc>
        <w:tc>
          <w:tcPr>
            <w:tcW w:w="2168" w:type="dxa"/>
            <w:tcBorders>
              <w:top w:val="nil"/>
              <w:left w:val="nil"/>
              <w:bottom w:val="single" w:color="auto" w:sz="4" w:space="0"/>
              <w:right w:val="single" w:color="auto" w:sz="4" w:space="0"/>
            </w:tcBorders>
            <w:shd w:val="clear" w:color="auto" w:fill="auto"/>
            <w:vAlign w:val="center"/>
          </w:tcPr>
          <w:p w14:paraId="39363DF9">
            <w:pPr>
              <w:jc w:val="center"/>
              <w:rPr>
                <w:rFonts w:hint="default" w:eastAsia="宋体"/>
                <w:color w:val="000000"/>
                <w:sz w:val="22"/>
                <w:szCs w:val="22"/>
                <w:lang w:val="en-US" w:eastAsia="zh-CN"/>
              </w:rPr>
            </w:pPr>
            <w:r>
              <w:rPr>
                <w:rFonts w:hint="eastAsia"/>
                <w:color w:val="000000"/>
                <w:sz w:val="22"/>
                <w:szCs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7D564161">
            <w:pPr>
              <w:jc w:val="center"/>
              <w:rPr>
                <w:rFonts w:hint="eastAsia" w:eastAsia="宋体"/>
                <w:color w:val="000000"/>
                <w:sz w:val="22"/>
                <w:szCs w:val="22"/>
                <w:lang w:val="en-US" w:eastAsia="zh-CN"/>
              </w:rPr>
            </w:pPr>
            <w:r>
              <w:rPr>
                <w:rFonts w:hint="eastAsia"/>
                <w:color w:val="000000"/>
                <w:sz w:val="22"/>
                <w:szCs w:val="22"/>
                <w:lang w:val="en-US" w:eastAsia="zh-CN"/>
              </w:rPr>
              <w:t>20</w:t>
            </w:r>
          </w:p>
        </w:tc>
      </w:tr>
      <w:tr w14:paraId="2F95BE65">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3543FCE0">
            <w:pPr>
              <w:jc w:val="center"/>
              <w:rPr>
                <w:color w:val="000000"/>
                <w:sz w:val="22"/>
                <w:szCs w:val="22"/>
              </w:rPr>
            </w:pPr>
            <w:r>
              <w:rPr>
                <w:rFonts w:hint="eastAsia"/>
                <w:color w:val="000000"/>
                <w:sz w:val="22"/>
                <w:szCs w:val="22"/>
              </w:rPr>
              <w:t>项目过程</w:t>
            </w:r>
          </w:p>
        </w:tc>
        <w:tc>
          <w:tcPr>
            <w:tcW w:w="2168" w:type="dxa"/>
            <w:tcBorders>
              <w:top w:val="nil"/>
              <w:left w:val="nil"/>
              <w:bottom w:val="single" w:color="auto" w:sz="4" w:space="0"/>
              <w:right w:val="single" w:color="auto" w:sz="4" w:space="0"/>
            </w:tcBorders>
            <w:shd w:val="clear" w:color="auto" w:fill="auto"/>
            <w:vAlign w:val="center"/>
          </w:tcPr>
          <w:p w14:paraId="49E9171B">
            <w:pPr>
              <w:jc w:val="center"/>
              <w:rPr>
                <w:rFonts w:hint="default" w:eastAsia="宋体"/>
                <w:color w:val="000000"/>
                <w:sz w:val="22"/>
                <w:szCs w:val="22"/>
                <w:lang w:val="en-US" w:eastAsia="zh-CN"/>
              </w:rPr>
            </w:pPr>
            <w:r>
              <w:rPr>
                <w:rFonts w:hint="eastAsia"/>
                <w:color w:val="000000"/>
                <w:sz w:val="22"/>
                <w:szCs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7A67BD80">
            <w:pPr>
              <w:jc w:val="center"/>
              <w:rPr>
                <w:rFonts w:hint="eastAsia" w:eastAsia="宋体"/>
                <w:color w:val="000000"/>
                <w:sz w:val="22"/>
                <w:szCs w:val="22"/>
                <w:lang w:val="en-US" w:eastAsia="zh-CN"/>
              </w:rPr>
            </w:pPr>
            <w:r>
              <w:rPr>
                <w:rFonts w:hint="eastAsia"/>
                <w:color w:val="000000"/>
                <w:sz w:val="22"/>
                <w:szCs w:val="22"/>
                <w:lang w:val="en-US" w:eastAsia="zh-CN"/>
              </w:rPr>
              <w:t>19.96</w:t>
            </w:r>
          </w:p>
        </w:tc>
      </w:tr>
      <w:tr w14:paraId="028C3083">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6089EDA8">
            <w:pPr>
              <w:jc w:val="center"/>
              <w:rPr>
                <w:color w:val="000000"/>
                <w:sz w:val="22"/>
                <w:szCs w:val="22"/>
              </w:rPr>
            </w:pPr>
            <w:r>
              <w:rPr>
                <w:rFonts w:hint="eastAsia"/>
                <w:color w:val="000000"/>
                <w:sz w:val="22"/>
                <w:szCs w:val="22"/>
              </w:rPr>
              <w:t>项目产出</w:t>
            </w:r>
          </w:p>
        </w:tc>
        <w:tc>
          <w:tcPr>
            <w:tcW w:w="2168" w:type="dxa"/>
            <w:tcBorders>
              <w:top w:val="nil"/>
              <w:left w:val="nil"/>
              <w:bottom w:val="single" w:color="auto" w:sz="4" w:space="0"/>
              <w:right w:val="single" w:color="auto" w:sz="4" w:space="0"/>
            </w:tcBorders>
            <w:shd w:val="clear" w:color="auto" w:fill="auto"/>
            <w:vAlign w:val="center"/>
          </w:tcPr>
          <w:p w14:paraId="1ECB4023">
            <w:pPr>
              <w:jc w:val="center"/>
              <w:rPr>
                <w:rFonts w:hint="default" w:eastAsia="宋体"/>
                <w:color w:val="000000"/>
                <w:sz w:val="22"/>
                <w:szCs w:val="22"/>
                <w:lang w:val="en-US" w:eastAsia="zh-CN"/>
              </w:rPr>
            </w:pPr>
            <w:r>
              <w:rPr>
                <w:rFonts w:hint="eastAsia"/>
                <w:color w:val="000000"/>
                <w:sz w:val="22"/>
                <w:szCs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35B0F328">
            <w:pPr>
              <w:jc w:val="center"/>
              <w:rPr>
                <w:rFonts w:hint="eastAsia" w:eastAsia="宋体"/>
                <w:color w:val="000000"/>
                <w:sz w:val="22"/>
                <w:szCs w:val="22"/>
                <w:lang w:val="en-US" w:eastAsia="zh-CN"/>
              </w:rPr>
            </w:pPr>
            <w:r>
              <w:rPr>
                <w:rFonts w:hint="eastAsia"/>
                <w:color w:val="000000"/>
                <w:sz w:val="22"/>
                <w:szCs w:val="22"/>
                <w:lang w:val="en-US" w:eastAsia="zh-CN"/>
              </w:rPr>
              <w:t>40</w:t>
            </w:r>
          </w:p>
        </w:tc>
      </w:tr>
      <w:tr w14:paraId="1D165A3D">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4883835">
            <w:pPr>
              <w:jc w:val="center"/>
              <w:rPr>
                <w:color w:val="000000"/>
                <w:sz w:val="22"/>
                <w:szCs w:val="22"/>
              </w:rPr>
            </w:pPr>
            <w:r>
              <w:rPr>
                <w:rFonts w:hint="eastAsia"/>
                <w:color w:val="000000"/>
                <w:sz w:val="22"/>
                <w:szCs w:val="22"/>
              </w:rPr>
              <w:t>项目效益</w:t>
            </w:r>
          </w:p>
        </w:tc>
        <w:tc>
          <w:tcPr>
            <w:tcW w:w="2168" w:type="dxa"/>
            <w:tcBorders>
              <w:top w:val="nil"/>
              <w:left w:val="nil"/>
              <w:bottom w:val="single" w:color="auto" w:sz="4" w:space="0"/>
              <w:right w:val="single" w:color="auto" w:sz="4" w:space="0"/>
            </w:tcBorders>
            <w:shd w:val="clear" w:color="auto" w:fill="auto"/>
            <w:vAlign w:val="center"/>
          </w:tcPr>
          <w:p w14:paraId="1CF90B8C">
            <w:pPr>
              <w:jc w:val="center"/>
              <w:rPr>
                <w:rFonts w:hint="default" w:eastAsia="宋体"/>
                <w:color w:val="000000"/>
                <w:sz w:val="22"/>
                <w:szCs w:val="22"/>
                <w:lang w:val="en-US" w:eastAsia="zh-CN"/>
              </w:rPr>
            </w:pPr>
            <w:r>
              <w:rPr>
                <w:rFonts w:hint="eastAsia"/>
                <w:color w:val="000000"/>
                <w:sz w:val="22"/>
                <w:szCs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1CCA5F24">
            <w:pPr>
              <w:jc w:val="center"/>
              <w:rPr>
                <w:rFonts w:hint="eastAsia" w:eastAsia="宋体"/>
                <w:color w:val="000000"/>
                <w:sz w:val="22"/>
                <w:szCs w:val="22"/>
                <w:lang w:val="en-US" w:eastAsia="zh-CN"/>
              </w:rPr>
            </w:pPr>
            <w:r>
              <w:rPr>
                <w:rFonts w:hint="eastAsia"/>
                <w:color w:val="000000"/>
                <w:sz w:val="22"/>
                <w:szCs w:val="22"/>
                <w:lang w:val="en-US" w:eastAsia="zh-CN"/>
              </w:rPr>
              <w:t>20</w:t>
            </w:r>
          </w:p>
        </w:tc>
      </w:tr>
      <w:tr w14:paraId="744875C9">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3774D602">
            <w:pPr>
              <w:jc w:val="center"/>
              <w:rPr>
                <w:rFonts w:cs="宋体"/>
                <w:b/>
                <w:bCs/>
                <w:color w:val="000000"/>
                <w:sz w:val="22"/>
                <w:szCs w:val="22"/>
              </w:rPr>
            </w:pPr>
            <w:r>
              <w:rPr>
                <w:rFonts w:hint="eastAsia" w:cs="宋体"/>
                <w:b/>
                <w:bCs/>
                <w:color w:val="000000"/>
                <w:sz w:val="22"/>
                <w:szCs w:val="22"/>
              </w:rPr>
              <w:t>合计</w:t>
            </w:r>
          </w:p>
        </w:tc>
        <w:tc>
          <w:tcPr>
            <w:tcW w:w="2168" w:type="dxa"/>
            <w:tcBorders>
              <w:top w:val="nil"/>
              <w:left w:val="nil"/>
              <w:bottom w:val="single" w:color="auto" w:sz="4" w:space="0"/>
              <w:right w:val="single" w:color="auto" w:sz="4" w:space="0"/>
            </w:tcBorders>
            <w:shd w:val="clear" w:color="auto" w:fill="auto"/>
            <w:vAlign w:val="center"/>
          </w:tcPr>
          <w:p w14:paraId="6BD8319F">
            <w:pPr>
              <w:jc w:val="center"/>
              <w:rPr>
                <w:rFonts w:hint="default" w:eastAsia="宋体"/>
                <w:b/>
                <w:bCs/>
                <w:color w:val="000000"/>
                <w:sz w:val="22"/>
                <w:szCs w:val="22"/>
                <w:lang w:val="en-US" w:eastAsia="zh-CN"/>
              </w:rPr>
            </w:pPr>
            <w:r>
              <w:rPr>
                <w:rFonts w:hint="eastAsia"/>
                <w:b/>
                <w:bCs/>
                <w:color w:val="000000"/>
                <w:sz w:val="22"/>
                <w:szCs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6F61C51F">
            <w:pPr>
              <w:jc w:val="center"/>
              <w:rPr>
                <w:rFonts w:hint="eastAsia" w:eastAsia="宋体"/>
                <w:b/>
                <w:bCs/>
                <w:color w:val="000000"/>
                <w:sz w:val="22"/>
                <w:szCs w:val="22"/>
                <w:lang w:val="en-US" w:eastAsia="zh-CN"/>
              </w:rPr>
            </w:pPr>
            <w:r>
              <w:rPr>
                <w:rFonts w:hint="eastAsia"/>
                <w:b/>
                <w:bCs/>
                <w:color w:val="000000"/>
                <w:sz w:val="22"/>
                <w:szCs w:val="22"/>
                <w:lang w:val="en-US" w:eastAsia="zh-CN"/>
              </w:rPr>
              <w:t>99.96</w:t>
            </w:r>
          </w:p>
        </w:tc>
      </w:tr>
    </w:tbl>
    <w:p w14:paraId="06F201C5">
      <w:pPr>
        <w:spacing w:line="560" w:lineRule="exact"/>
        <w:ind w:firstLine="640" w:firstLineChars="200"/>
        <w:rPr>
          <w:rFonts w:eastAsia="黑体"/>
          <w:sz w:val="32"/>
          <w:szCs w:val="32"/>
        </w:rPr>
      </w:pPr>
      <w:r>
        <w:rPr>
          <w:rFonts w:eastAsia="黑体"/>
          <w:sz w:val="32"/>
          <w:szCs w:val="32"/>
        </w:rPr>
        <w:t>四、绩效评价指标分析</w:t>
      </w:r>
    </w:p>
    <w:p w14:paraId="2E8152C2">
      <w:pPr>
        <w:pStyle w:val="2"/>
        <w:spacing w:before="0" w:after="0" w:line="560" w:lineRule="exact"/>
        <w:ind w:firstLine="643" w:firstLineChars="200"/>
        <w:jc w:val="both"/>
        <w:rPr>
          <w:rFonts w:ascii="Times New Roman" w:hAnsi="Times New Roman" w:eastAsia="楷体_GB2312"/>
          <w:sz w:val="32"/>
          <w:szCs w:val="32"/>
        </w:rPr>
      </w:pPr>
      <w:r>
        <w:rPr>
          <w:rFonts w:ascii="Times New Roman" w:hAnsi="Times New Roman" w:eastAsia="楷体_GB2312"/>
          <w:sz w:val="32"/>
          <w:szCs w:val="32"/>
        </w:rPr>
        <w:t>（一）项目决策情况</w:t>
      </w:r>
    </w:p>
    <w:p w14:paraId="07B2E3F3">
      <w:pPr>
        <w:shd w:val="clear"/>
        <w:spacing w:line="600" w:lineRule="exact"/>
        <w:ind w:firstLine="640" w:firstLineChars="200"/>
        <w:outlineLvl w:val="0"/>
        <w:rPr>
          <w:rFonts w:hint="eastAsia" w:ascii="仿宋_GB2312" w:hAnsi="仿宋_GB2312" w:eastAsia="仿宋_GB2312" w:cs="仿宋_GB2312"/>
          <w:sz w:val="32"/>
          <w:szCs w:val="32"/>
          <w:highlight w:val="yellow"/>
          <w:lang w:val="en-US" w:eastAsia="zh-CN"/>
        </w:rPr>
      </w:pPr>
      <w:r>
        <w:rPr>
          <w:rFonts w:hint="eastAsia" w:ascii="仿宋_GB2312" w:hAnsi="仿宋_GB2312" w:eastAsia="仿宋_GB2312" w:cs="仿宋_GB2312"/>
          <w:sz w:val="32"/>
          <w:szCs w:val="32"/>
          <w:highlight w:val="none"/>
          <w:lang w:val="en-US" w:eastAsia="zh-CN"/>
        </w:rPr>
        <w:t>项目决策类指标包括项目立项、绩效目标和资金投入三方面的内容，由6个三级指标构成，权重分值为20分，实际得分20分，得分率为100%。</w:t>
      </w:r>
    </w:p>
    <w:p w14:paraId="4180AABD">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1.项目立项</w:t>
      </w:r>
    </w:p>
    <w:p w14:paraId="6FBC0B5A">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14:paraId="0D98027E">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76361083">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（2）立项程序规范性</w:t>
      </w:r>
    </w:p>
    <w:p w14:paraId="0C3B333C">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46055DF4">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2.绩效目标</w:t>
      </w:r>
    </w:p>
    <w:p w14:paraId="6B29CC4C">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14:paraId="3B004303">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7BFAFC05">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（2）绩效指标明确性</w:t>
      </w:r>
    </w:p>
    <w:p w14:paraId="55FAD1B4">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310D3CA9">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3.资金投入</w:t>
      </w:r>
    </w:p>
    <w:p w14:paraId="57FFA7E1">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14:paraId="59313720">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14:paraId="70D87A32">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14:paraId="7A227EB9">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14:paraId="5F1BE841">
      <w:pPr>
        <w:pStyle w:val="2"/>
        <w:numPr>
          <w:ilvl w:val="0"/>
          <w:numId w:val="5"/>
        </w:numPr>
        <w:spacing w:before="0" w:after="0" w:line="560" w:lineRule="exact"/>
        <w:ind w:firstLine="643" w:firstLineChars="200"/>
        <w:jc w:val="both"/>
        <w:rPr>
          <w:rFonts w:ascii="楷体" w:hAnsi="楷体" w:eastAsia="楷体" w:cs="楷体"/>
          <w:sz w:val="32"/>
          <w:szCs w:val="32"/>
        </w:rPr>
      </w:pPr>
      <w:r>
        <w:rPr>
          <w:rFonts w:hint="eastAsia" w:ascii="楷体" w:hAnsi="楷体" w:eastAsia="楷体" w:cs="楷体"/>
          <w:sz w:val="32"/>
          <w:szCs w:val="32"/>
        </w:rPr>
        <w:t>项目过程情况</w:t>
      </w:r>
    </w:p>
    <w:p w14:paraId="2B1171EE">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5个三</w:t>
      </w:r>
      <w:r>
        <w:rPr>
          <w:rFonts w:hint="eastAsia" w:ascii="仿宋_GB2312" w:hAnsi="仿宋_GB2312" w:eastAsia="仿宋_GB2312" w:cs="仿宋_GB2312"/>
          <w:sz w:val="32"/>
          <w:szCs w:val="32"/>
          <w:lang w:val="en-US" w:eastAsia="zh-CN"/>
        </w:rPr>
        <w:t>级指标构</w:t>
      </w:r>
      <w:r>
        <w:rPr>
          <w:rFonts w:hint="eastAsia" w:ascii="仿宋_GB2312" w:hAnsi="仿宋_GB2312" w:eastAsia="仿宋_GB2312" w:cs="仿宋_GB2312"/>
          <w:sz w:val="32"/>
          <w:szCs w:val="32"/>
          <w:highlight w:val="none"/>
          <w:lang w:val="en-US" w:eastAsia="zh-CN"/>
        </w:rPr>
        <w:t>成，权重分值为20分，实际得分19.96分，得分率为99.8%。</w:t>
      </w:r>
    </w:p>
    <w:p w14:paraId="45457166">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14:paraId="6F4FEB7B">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14:paraId="5B2C3879">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14:paraId="0B18C40F">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本项</w:t>
      </w:r>
      <w:r>
        <w:rPr>
          <w:rFonts w:hint="eastAsia" w:ascii="仿宋_GB2312" w:hAnsi="仿宋_GB2312" w:eastAsia="仿宋_GB2312" w:cs="仿宋_GB2312"/>
          <w:sz w:val="32"/>
          <w:szCs w:val="32"/>
          <w:highlight w:val="none"/>
          <w:lang w:val="en-US" w:eastAsia="zh-CN"/>
        </w:rPr>
        <w:t>目总投资65万元，财政资金及时足额到位，到位率100%，预算资金按计划进度执行。</w:t>
      </w:r>
    </w:p>
    <w:p w14:paraId="57F3DF45">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（2）预算执行率</w:t>
      </w:r>
    </w:p>
    <w:p w14:paraId="239137C5">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预算编制较为详细，项目资金支出总体能够按照预算执行，预算资金支出64.4万元，预算执行率为99.08%。</w:t>
      </w:r>
    </w:p>
    <w:p w14:paraId="36008E78">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14:paraId="1B0252E9">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2BA2387C">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14:paraId="43B19B27">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14:paraId="17C4FC83">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6BED84DD">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14:paraId="79753016">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14:paraId="0B36B39E">
      <w:pPr>
        <w:pStyle w:val="11"/>
        <w:numPr>
          <w:ilvl w:val="0"/>
          <w:numId w:val="5"/>
        </w:numPr>
        <w:spacing w:line="560" w:lineRule="exact"/>
        <w:ind w:firstLine="643"/>
        <w:rPr>
          <w:rFonts w:eastAsia="楷体_GB2312"/>
          <w:b/>
          <w:bCs/>
          <w:sz w:val="32"/>
          <w:szCs w:val="32"/>
        </w:rPr>
      </w:pPr>
      <w:r>
        <w:rPr>
          <w:rFonts w:eastAsia="楷体_GB2312"/>
          <w:b/>
          <w:bCs/>
          <w:sz w:val="32"/>
          <w:szCs w:val="32"/>
        </w:rPr>
        <w:t>项目产出</w:t>
      </w:r>
      <w:r>
        <w:rPr>
          <w:rFonts w:hint="eastAsia" w:eastAsia="楷体_GB2312"/>
          <w:b/>
          <w:bCs/>
          <w:sz w:val="32"/>
          <w:szCs w:val="32"/>
          <w:lang w:val="en-US" w:eastAsia="zh-CN"/>
        </w:rPr>
        <w:t>情况</w:t>
      </w:r>
    </w:p>
    <w:p w14:paraId="5D01F888">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w:t>
      </w:r>
      <w:r>
        <w:rPr>
          <w:rFonts w:hint="eastAsia" w:ascii="仿宋_GB2312" w:hAnsi="仿宋_GB2312" w:eastAsia="仿宋_GB2312" w:cs="仿宋_GB2312"/>
          <w:sz w:val="32"/>
          <w:szCs w:val="32"/>
          <w:highlight w:val="none"/>
          <w:lang w:val="en-US" w:eastAsia="zh-CN"/>
        </w:rPr>
        <w:t>成本四方面的内容，由5个三级指标构成，权重分为40分，实际得分40分，得分率为100%。具体</w:t>
      </w:r>
      <w:r>
        <w:rPr>
          <w:rFonts w:hint="eastAsia" w:ascii="仿宋_GB2312" w:hAnsi="仿宋_GB2312" w:eastAsia="仿宋_GB2312" w:cs="仿宋_GB2312"/>
          <w:sz w:val="32"/>
          <w:szCs w:val="32"/>
          <w:lang w:val="en-US" w:eastAsia="zh-CN"/>
        </w:rPr>
        <w:t>产出指标完成情况如下：</w:t>
      </w:r>
    </w:p>
    <w:p w14:paraId="0174C1DA">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14:paraId="0A222114">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信息系统维护数量指标，指标值为</w:t>
      </w:r>
      <w:r>
        <w:rPr>
          <w:rFonts w:hint="eastAsia" w:ascii="宋体" w:hAnsi="宋体" w:eastAsia="宋体" w:cs="宋体"/>
          <w:b w:val="0"/>
          <w:bCs w:val="0"/>
          <w:color w:val="000000" w:themeColor="text1"/>
          <w:kern w:val="2"/>
          <w:sz w:val="32"/>
          <w:szCs w:val="32"/>
          <w:highlight w:val="none"/>
          <w:lang w:val="en-US" w:eastAsia="zh-CN" w:bidi="ar-SA"/>
          <w14:textFill>
            <w14:solidFill>
              <w14:schemeClr w14:val="tx1"/>
            </w14:solidFill>
          </w14:textFill>
        </w:rPr>
        <w:t>≧</w:t>
      </w:r>
      <w:r>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36个，实际完成36个，完成率100%，偏差率0%。</w:t>
      </w:r>
    </w:p>
    <w:p w14:paraId="6C12AE28">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14:paraId="714E2CFC">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系统故障率指标，指标值为</w:t>
      </w:r>
      <w:r>
        <w:rPr>
          <w:rFonts w:hint="eastAsia" w:ascii="宋体" w:hAnsi="宋体" w:eastAsia="宋体" w:cs="宋体"/>
          <w:b w:val="0"/>
          <w:bCs w:val="0"/>
          <w:color w:val="000000" w:themeColor="text1"/>
          <w:kern w:val="2"/>
          <w:sz w:val="32"/>
          <w:szCs w:val="32"/>
          <w:highlight w:val="none"/>
          <w:lang w:val="en-US" w:eastAsia="zh-CN" w:bidi="ar-SA"/>
          <w14:textFill>
            <w14:solidFill>
              <w14:schemeClr w14:val="tx1"/>
            </w14:solidFill>
          </w14:textFill>
        </w:rPr>
        <w:t>≦</w:t>
      </w:r>
      <w:r>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10%，实际完成5.5%，完成率100%，偏差率0%。</w:t>
      </w:r>
    </w:p>
    <w:p w14:paraId="1A277144">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14:paraId="46530DBE">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系统故障修复处理指标，指标值为</w:t>
      </w:r>
      <w:r>
        <w:rPr>
          <w:rFonts w:hint="eastAsia" w:ascii="宋体" w:hAnsi="宋体" w:eastAsia="宋体" w:cs="宋体"/>
          <w:b w:val="0"/>
          <w:bCs w:val="0"/>
          <w:color w:val="000000" w:themeColor="text1"/>
          <w:kern w:val="2"/>
          <w:sz w:val="32"/>
          <w:szCs w:val="32"/>
          <w:highlight w:val="none"/>
          <w:lang w:val="en-US" w:eastAsia="zh-CN" w:bidi="ar-SA"/>
          <w14:textFill>
            <w14:solidFill>
              <w14:schemeClr w14:val="tx1"/>
            </w14:solidFill>
          </w14:textFill>
        </w:rPr>
        <w:t>≦</w:t>
      </w:r>
      <w:r>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1天，实际完成0.17天，完成率100%，偏差率0%。</w:t>
      </w:r>
    </w:p>
    <w:p w14:paraId="34A0F11A">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指标2：</w:t>
      </w:r>
      <w:r>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系统运行维护响应时间指标，指标值为≤10小时，实际完成2小时，完成率100%，偏差率0%。</w:t>
      </w:r>
    </w:p>
    <w:p w14:paraId="0E226CA1">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4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④</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成本指标：</w:t>
      </w:r>
    </w:p>
    <w:p w14:paraId="05A7DAAA">
      <w:pPr>
        <w:pStyle w:val="11"/>
        <w:numPr>
          <w:ilvl w:val="0"/>
          <w:numId w:val="0"/>
        </w:numPr>
        <w:spacing w:line="560" w:lineRule="exact"/>
        <w:ind w:firstLine="640" w:firstLineChars="200"/>
        <w:rPr>
          <w:rFonts w:hint="eastAsia" w:ascii="Times New Roman" w:hAnsi="Times New Roman" w:eastAsia="楷体_GB2312" w:cs="Times New Roman"/>
          <w:b/>
          <w:bCs/>
          <w:sz w:val="32"/>
          <w:szCs w:val="32"/>
          <w:lang w:val="en-US" w:eastAsia="zh-CN"/>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年度维护成本增长率指标，指标值为≤10%，实际完成0%，完成率100%，偏差率0%。</w:t>
      </w:r>
    </w:p>
    <w:p w14:paraId="62BE45D6">
      <w:pPr>
        <w:pStyle w:val="11"/>
        <w:numPr>
          <w:ilvl w:val="0"/>
          <w:numId w:val="5"/>
        </w:numPr>
        <w:spacing w:line="560" w:lineRule="exact"/>
        <w:ind w:firstLine="643"/>
        <w:rPr>
          <w:rFonts w:hint="eastAsia" w:ascii="Times New Roman" w:hAnsi="Times New Roman" w:eastAsia="楷体_GB2312" w:cs="Times New Roman"/>
          <w:b/>
          <w:bCs/>
          <w:sz w:val="32"/>
          <w:szCs w:val="32"/>
          <w:lang w:val="en-US" w:eastAsia="zh-CN"/>
        </w:rPr>
      </w:pPr>
      <w:r>
        <w:rPr>
          <w:rFonts w:hint="eastAsia" w:ascii="Times New Roman" w:hAnsi="Times New Roman" w:eastAsia="楷体_GB2312" w:cs="Times New Roman"/>
          <w:b/>
          <w:bCs/>
          <w:sz w:val="32"/>
          <w:szCs w:val="32"/>
          <w:lang w:val="en-US" w:eastAsia="zh-CN"/>
        </w:rPr>
        <w:t>项目效益情况</w:t>
      </w:r>
    </w:p>
    <w:p w14:paraId="0DE8E62A">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项目效益类指标包括项目实施效益和满意度两方面的内容，由2个三级指标构成，权重分为20分，实际得分20分，得分率为100%。具体</w:t>
      </w:r>
      <w:r>
        <w:rPr>
          <w:rFonts w:hint="eastAsia" w:ascii="仿宋_GB2312" w:hAnsi="仿宋_GB2312" w:eastAsia="仿宋_GB2312" w:cs="仿宋_GB2312"/>
          <w:sz w:val="32"/>
          <w:szCs w:val="32"/>
          <w:lang w:val="en-US" w:eastAsia="zh-CN"/>
        </w:rPr>
        <w:t>效益指标及满意度指标完成情况如下：</w:t>
      </w:r>
    </w:p>
    <w:p w14:paraId="5F3D2579">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14:paraId="2335B2EF">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社会效益指标：</w:t>
      </w:r>
    </w:p>
    <w:p w14:paraId="5A1AB4E8">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sz w:val="32"/>
          <w:szCs w:val="32"/>
          <w:highlight w:val="none"/>
          <w:lang w:val="en-US" w:eastAsia="zh-CN"/>
        </w:rPr>
        <w:t>系统安全稳定运行时间指标，指标值为≧1年，实际完成值为1年，完成率100%，偏差率0%。</w:t>
      </w:r>
    </w:p>
    <w:p w14:paraId="52BC3A46">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14:paraId="74A2892D">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①满意度指标：</w:t>
      </w:r>
    </w:p>
    <w:p w14:paraId="4D348365">
      <w:pPr>
        <w:pStyle w:val="12"/>
        <w:ind w:left="0" w:leftChars="0" w:firstLine="640" w:firstLineChars="200"/>
        <w:rPr>
          <w:rFonts w:hint="default"/>
          <w:sz w:val="32"/>
          <w:szCs w:val="32"/>
          <w:lang w:val="en-US" w:eastAsia="zh-CN"/>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kern w:val="2"/>
          <w:sz w:val="32"/>
          <w:szCs w:val="32"/>
          <w:highlight w:val="none"/>
          <w:lang w:val="en-US" w:eastAsia="zh-CN" w:bidi="ar-SA"/>
        </w:rPr>
        <w:t>1：使用人满意度指标，指标值为≧90%，实际完成97.5%，完成率100%，偏差率0%。</w:t>
      </w:r>
    </w:p>
    <w:p w14:paraId="43120AC1">
      <w:pPr>
        <w:spacing w:line="560" w:lineRule="exact"/>
        <w:ind w:firstLine="640" w:firstLineChars="200"/>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14:paraId="0B71C0C5">
      <w:pPr>
        <w:pStyle w:val="18"/>
        <w:spacing w:line="56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工信厅电子政务运行维护和企业信息化工作经费项目年初预算65万元，全年预算65万元，实际支出64.4万元，预算执行率为99.08%，项目绩效指标总体完成率为101.14%，</w:t>
      </w:r>
      <w:r>
        <w:rPr>
          <w:rFonts w:hint="eastAsia" w:ascii="仿宋_GB2312" w:hAnsi="仿宋_GB2312" w:eastAsia="仿宋_GB2312" w:cs="仿宋_GB2312"/>
          <w:kern w:val="2"/>
          <w:sz w:val="32"/>
          <w:szCs w:val="32"/>
          <w:highlight w:val="none"/>
          <w:lang w:val="en-US" w:eastAsia="zh-Hans" w:bidi="ar-SA"/>
        </w:rPr>
        <w:t>总体</w:t>
      </w:r>
      <w:r>
        <w:rPr>
          <w:rFonts w:hint="eastAsia" w:ascii="仿宋_GB2312" w:hAnsi="仿宋_GB2312" w:eastAsia="仿宋_GB2312" w:cs="仿宋_GB2312"/>
          <w:kern w:val="2"/>
          <w:sz w:val="32"/>
          <w:szCs w:val="32"/>
          <w:highlight w:val="none"/>
          <w:lang w:val="en-US" w:eastAsia="zh-CN" w:bidi="ar-SA"/>
        </w:rPr>
        <w:t>偏差率为2.06%,</w:t>
      </w:r>
      <w:r>
        <w:rPr>
          <w:rFonts w:hint="eastAsia" w:ascii="仿宋_GB2312" w:hAnsi="仿宋_GB2312" w:eastAsia="仿宋_GB2312" w:cs="仿宋_GB2312"/>
          <w:kern w:val="2"/>
          <w:sz w:val="32"/>
          <w:szCs w:val="32"/>
          <w:highlight w:val="none"/>
          <w:lang w:val="en-US" w:eastAsia="zh-Hans" w:bidi="ar-SA"/>
        </w:rPr>
        <w:t>偏差</w:t>
      </w:r>
      <w:r>
        <w:rPr>
          <w:rFonts w:hint="eastAsia" w:ascii="仿宋_GB2312" w:hAnsi="仿宋_GB2312" w:eastAsia="仿宋_GB2312" w:cs="仿宋_GB2312"/>
          <w:kern w:val="2"/>
          <w:sz w:val="32"/>
          <w:szCs w:val="32"/>
          <w:highlight w:val="none"/>
          <w:lang w:val="en-US" w:eastAsia="zh-CN" w:bidi="ar-SA"/>
        </w:rPr>
        <w:t>原因项目执行过程中实际中标金额会和年初计划数产生部分差异，</w:t>
      </w:r>
      <w:r>
        <w:rPr>
          <w:rFonts w:hint="eastAsia" w:ascii="仿宋_GB2312" w:hAnsi="仿宋_GB2312" w:eastAsia="仿宋_GB2312" w:cs="仿宋_GB2312"/>
          <w:kern w:val="2"/>
          <w:sz w:val="32"/>
          <w:szCs w:val="32"/>
          <w:highlight w:val="none"/>
          <w:lang w:val="en-US" w:eastAsia="zh-Hans" w:bidi="ar-SA"/>
        </w:rPr>
        <w:t>改进</w:t>
      </w:r>
      <w:r>
        <w:rPr>
          <w:rFonts w:hint="eastAsia" w:ascii="仿宋_GB2312" w:hAnsi="仿宋_GB2312" w:eastAsia="仿宋_GB2312" w:cs="仿宋_GB2312"/>
          <w:kern w:val="2"/>
          <w:sz w:val="32"/>
          <w:szCs w:val="32"/>
          <w:highlight w:val="none"/>
          <w:lang w:val="en-US" w:eastAsia="zh-CN" w:bidi="ar-SA"/>
        </w:rPr>
        <w:t>措施：今后制定项目计划时应更加细化，将所有可能发生的情况都计划在内，保证项目正常运行，保证预算编制更加合理。</w:t>
      </w:r>
    </w:p>
    <w:p w14:paraId="2B68DD4E">
      <w:pPr>
        <w:spacing w:line="560" w:lineRule="exact"/>
        <w:ind w:firstLine="640" w:firstLineChars="200"/>
        <w:rPr>
          <w:rStyle w:val="17"/>
          <w:rFonts w:ascii="Times New Roman" w:hAnsi="Times New Roman" w:cs="Times New Roman"/>
          <w:color w:val="auto"/>
          <w:sz w:val="32"/>
          <w:szCs w:val="32"/>
        </w:rPr>
      </w:pPr>
      <w:r>
        <w:rPr>
          <w:rFonts w:hint="eastAsia" w:eastAsia="黑体"/>
          <w:sz w:val="32"/>
          <w:szCs w:val="32"/>
          <w:lang w:eastAsia="zh-Hans"/>
        </w:rPr>
        <w:t>六</w:t>
      </w:r>
      <w:r>
        <w:rPr>
          <w:rFonts w:eastAsia="黑体"/>
          <w:sz w:val="32"/>
          <w:szCs w:val="32"/>
        </w:rPr>
        <w:t>、主要经验及做法、存在的问题及原因分析</w:t>
      </w:r>
    </w:p>
    <w:p w14:paraId="1A9F8CF5">
      <w:pPr>
        <w:spacing w:line="560" w:lineRule="exact"/>
        <w:ind w:firstLine="627" w:firstLineChars="200"/>
        <w:rPr>
          <w:rFonts w:eastAsia="楷体"/>
          <w:b/>
          <w:spacing w:val="-4"/>
          <w:sz w:val="32"/>
          <w:szCs w:val="32"/>
        </w:rPr>
      </w:pPr>
      <w:r>
        <w:rPr>
          <w:rFonts w:eastAsia="楷体"/>
          <w:b/>
          <w:spacing w:val="-4"/>
          <w:sz w:val="32"/>
          <w:szCs w:val="32"/>
        </w:rPr>
        <w:t>（一）主要经验及做法</w:t>
      </w:r>
    </w:p>
    <w:p w14:paraId="4CC93860">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180FFA9A">
      <w:pPr>
        <w:pStyle w:val="2"/>
        <w:spacing w:before="0" w:after="0" w:line="560" w:lineRule="exact"/>
        <w:ind w:firstLine="640" w:firstLineChars="200"/>
        <w:jc w:val="left"/>
        <w:rPr>
          <w:rFonts w:ascii="Times New Roman" w:hAnsi="Times New Roman" w:eastAsia="仿宋_GB2312"/>
          <w:b w:val="0"/>
          <w:bCs w:val="0"/>
          <w:kern w:val="2"/>
          <w:sz w:val="32"/>
          <w:szCs w:val="32"/>
        </w:rPr>
      </w:pPr>
      <w:r>
        <w:rPr>
          <w:rFonts w:ascii="Times New Roman" w:hAnsi="Times New Roman" w:eastAsia="仿宋_GB2312"/>
          <w:b w:val="0"/>
          <w:bCs w:val="0"/>
          <w:kern w:val="2"/>
          <w:sz w:val="32"/>
          <w:szCs w:val="3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7BB331D3">
      <w:pPr>
        <w:keepNext/>
        <w:keepLines/>
        <w:numPr>
          <w:ilvl w:val="0"/>
          <w:numId w:val="6"/>
        </w:numPr>
        <w:spacing w:line="560" w:lineRule="exact"/>
        <w:ind w:firstLine="643" w:firstLineChars="200"/>
        <w:rPr>
          <w:rFonts w:eastAsia="楷体_GB2312"/>
          <w:b/>
          <w:bCs/>
          <w:sz w:val="32"/>
          <w:szCs w:val="32"/>
        </w:rPr>
      </w:pPr>
      <w:r>
        <w:rPr>
          <w:rFonts w:eastAsia="楷体_GB2312"/>
          <w:b/>
          <w:bCs/>
          <w:sz w:val="32"/>
          <w:szCs w:val="32"/>
        </w:rPr>
        <w:t>存在的问题及原因分析</w:t>
      </w:r>
    </w:p>
    <w:p w14:paraId="668787B5">
      <w:pPr>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无。</w:t>
      </w:r>
    </w:p>
    <w:p w14:paraId="3DC4ED08">
      <w:pPr>
        <w:spacing w:line="560" w:lineRule="exact"/>
        <w:ind w:firstLine="640" w:firstLineChars="200"/>
        <w:rPr>
          <w:rFonts w:eastAsia="黑体"/>
          <w:sz w:val="32"/>
          <w:szCs w:val="32"/>
        </w:rPr>
      </w:pPr>
      <w:r>
        <w:rPr>
          <w:rFonts w:hint="eastAsia" w:eastAsia="黑体"/>
          <w:sz w:val="32"/>
          <w:szCs w:val="32"/>
          <w:lang w:eastAsia="zh-Hans"/>
        </w:rPr>
        <w:t>七、</w:t>
      </w:r>
      <w:r>
        <w:rPr>
          <w:rFonts w:eastAsia="黑体"/>
          <w:sz w:val="32"/>
          <w:szCs w:val="32"/>
        </w:rPr>
        <w:t>有关建议</w:t>
      </w:r>
    </w:p>
    <w:p w14:paraId="651C0271">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164EF5A9">
      <w:pPr>
        <w:spacing w:line="560" w:lineRule="exact"/>
        <w:ind w:firstLine="640" w:firstLineChars="200"/>
        <w:rPr>
          <w:rFonts w:eastAsia="黑体"/>
          <w:sz w:val="32"/>
          <w:szCs w:val="32"/>
        </w:rPr>
      </w:pPr>
      <w:r>
        <w:rPr>
          <w:rFonts w:hint="eastAsia" w:eastAsia="黑体"/>
          <w:sz w:val="32"/>
          <w:szCs w:val="32"/>
          <w:lang w:eastAsia="zh-Hans"/>
        </w:rPr>
        <w:t>八、</w:t>
      </w:r>
      <w:r>
        <w:rPr>
          <w:rFonts w:eastAsia="黑体"/>
          <w:sz w:val="32"/>
          <w:szCs w:val="32"/>
        </w:rPr>
        <w:t>其他需要说</w:t>
      </w:r>
      <w:bookmarkStart w:id="6" w:name="page8"/>
      <w:bookmarkEnd w:id="6"/>
      <w:r>
        <w:rPr>
          <w:rFonts w:eastAsia="黑体"/>
          <w:sz w:val="32"/>
          <w:szCs w:val="32"/>
        </w:rPr>
        <w:t>明的问题</w:t>
      </w:r>
    </w:p>
    <w:p w14:paraId="03F4CC6A">
      <w:pPr>
        <w:pStyle w:val="2"/>
        <w:ind w:firstLine="640" w:firstLineChars="200"/>
        <w:jc w:val="both"/>
        <w:rPr>
          <w:rFonts w:hint="eastAsia" w:ascii="仿宋_GB2312" w:hAnsi="仿宋_GB2312" w:eastAsia="仿宋_GB2312" w:cs="仿宋_GB2312"/>
          <w:b w:val="0"/>
          <w:bCs w:val="0"/>
          <w:kern w:val="2"/>
          <w:sz w:val="32"/>
          <w:szCs w:val="32"/>
          <w:highlight w:val="none"/>
          <w:lang w:val="en-US" w:eastAsia="zh-CN" w:bidi="ar-SA"/>
        </w:rPr>
        <w:sectPr>
          <w:pgSz w:w="11906" w:h="16838"/>
          <w:pgMar w:top="1440" w:right="1558" w:bottom="1440" w:left="1800" w:header="851" w:footer="992" w:gutter="0"/>
          <w:cols w:space="425" w:num="1"/>
          <w:docGrid w:type="lines" w:linePitch="312" w:charSpace="0"/>
        </w:sectPr>
      </w:pPr>
      <w:bookmarkStart w:id="9" w:name="_GoBack"/>
      <w:bookmarkEnd w:id="9"/>
      <w:r>
        <w:rPr>
          <w:rFonts w:hint="eastAsia" w:ascii="仿宋_GB2312" w:hAnsi="仿宋_GB2312" w:eastAsia="仿宋_GB2312" w:cs="仿宋_GB2312"/>
          <w:b w:val="0"/>
          <w:bCs w:val="0"/>
          <w:kern w:val="2"/>
          <w:sz w:val="32"/>
          <w:szCs w:val="32"/>
          <w:highlight w:val="none"/>
          <w:lang w:val="en-US" w:eastAsia="zh-Hans" w:bidi="ar-SA"/>
        </w:rPr>
        <w:t>本项目无其他需说明的问题。</w:t>
      </w:r>
    </w:p>
    <w:p w14:paraId="3AB9FA94">
      <w:pPr>
        <w:spacing w:line="600" w:lineRule="exact"/>
        <w:rPr>
          <w:rFonts w:hint="eastAsia" w:ascii="黑体" w:hAnsi="黑体" w:eastAsia="黑体" w:cs="黑体"/>
        </w:rPr>
      </w:pPr>
      <w:r>
        <w:rPr>
          <w:rFonts w:hint="eastAsia" w:ascii="黑体" w:hAnsi="黑体" w:eastAsia="黑体" w:cs="黑体"/>
          <w:bCs/>
          <w:sz w:val="32"/>
          <w:szCs w:val="32"/>
        </w:rPr>
        <w:t>附件1</w:t>
      </w:r>
    </w:p>
    <w:p w14:paraId="4F3EDFDB">
      <w:pPr>
        <w:pStyle w:val="18"/>
        <w:ind w:firstLine="562"/>
        <w:jc w:val="center"/>
        <w:rPr>
          <w:sz w:val="28"/>
          <w:szCs w:val="40"/>
        </w:rPr>
      </w:pPr>
      <w:bookmarkStart w:id="7" w:name="_Toc26499_WPSOffice_Level2"/>
      <w:bookmarkStart w:id="8" w:name="_Toc30064_WPSOffice_Level1"/>
      <w:r>
        <w:rPr>
          <w:rFonts w:hint="eastAsia" w:eastAsia="宋体"/>
          <w:b/>
          <w:bCs/>
          <w:sz w:val="28"/>
          <w:szCs w:val="40"/>
          <w:lang w:val="en-US" w:eastAsia="zh-CN"/>
        </w:rPr>
        <w:t>工信厅电子政务运行维护和企业信息化工作经费</w:t>
      </w:r>
      <w:r>
        <w:rPr>
          <w:rFonts w:hint="eastAsia" w:eastAsia="宋体"/>
          <w:b/>
          <w:bCs/>
          <w:sz w:val="28"/>
          <w:szCs w:val="40"/>
        </w:rPr>
        <w:t>项目绩效</w:t>
      </w:r>
      <w:r>
        <w:rPr>
          <w:rFonts w:hint="eastAsia"/>
          <w:b/>
          <w:bCs/>
          <w:sz w:val="28"/>
          <w:szCs w:val="40"/>
        </w:rPr>
        <w:t>评价指标体系及综合评分表</w:t>
      </w:r>
      <w:bookmarkEnd w:id="7"/>
      <w:bookmarkEnd w:id="8"/>
    </w:p>
    <w:tbl>
      <w:tblPr>
        <w:tblStyle w:val="13"/>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14:paraId="6ECF69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14:paraId="1503933D">
            <w:pPr>
              <w:widowControl/>
              <w:spacing w:line="0" w:lineRule="atLeast"/>
              <w:jc w:val="center"/>
              <w:rPr>
                <w:b/>
                <w:bCs/>
                <w:color w:val="000000"/>
                <w:kern w:val="0"/>
                <w:sz w:val="22"/>
                <w:szCs w:val="22"/>
              </w:rPr>
            </w:pPr>
            <w:r>
              <w:rPr>
                <w:b/>
                <w:bCs/>
                <w:color w:val="000000"/>
                <w:kern w:val="0"/>
                <w:sz w:val="22"/>
                <w:szCs w:val="22"/>
              </w:rPr>
              <w:t>一级指标</w:t>
            </w:r>
          </w:p>
        </w:tc>
        <w:tc>
          <w:tcPr>
            <w:tcW w:w="764" w:type="dxa"/>
            <w:shd w:val="clear" w:color="auto" w:fill="FFFFFF"/>
            <w:vAlign w:val="center"/>
          </w:tcPr>
          <w:p w14:paraId="236591A3">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14:paraId="132BFFBD">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14:paraId="507202B2">
            <w:pPr>
              <w:widowControl/>
              <w:spacing w:line="0" w:lineRule="atLeast"/>
              <w:jc w:val="center"/>
              <w:rPr>
                <w:b/>
                <w:bCs/>
                <w:color w:val="000000"/>
                <w:kern w:val="0"/>
                <w:sz w:val="22"/>
                <w:szCs w:val="22"/>
              </w:rPr>
            </w:pPr>
            <w:r>
              <w:rPr>
                <w:b/>
                <w:bCs/>
                <w:color w:val="000000"/>
                <w:kern w:val="0"/>
                <w:sz w:val="22"/>
                <w:szCs w:val="22"/>
              </w:rPr>
              <w:t>指标解释</w:t>
            </w:r>
          </w:p>
        </w:tc>
        <w:tc>
          <w:tcPr>
            <w:tcW w:w="5198" w:type="dxa"/>
            <w:shd w:val="clear" w:color="auto" w:fill="FFFFFF"/>
            <w:vAlign w:val="center"/>
          </w:tcPr>
          <w:p w14:paraId="7B557E20">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14:paraId="56E7A8FA">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14:paraId="1412F551">
            <w:pPr>
              <w:widowControl/>
              <w:spacing w:line="0" w:lineRule="atLeast"/>
              <w:jc w:val="center"/>
              <w:rPr>
                <w:b/>
                <w:bCs/>
                <w:color w:val="000000"/>
                <w:kern w:val="0"/>
                <w:sz w:val="22"/>
                <w:szCs w:val="22"/>
              </w:rPr>
            </w:pPr>
            <w:r>
              <w:rPr>
                <w:b/>
                <w:bCs/>
                <w:color w:val="000000"/>
                <w:kern w:val="0"/>
                <w:sz w:val="22"/>
                <w:szCs w:val="22"/>
              </w:rPr>
              <w:t>得分</w:t>
            </w:r>
          </w:p>
        </w:tc>
      </w:tr>
      <w:tr w14:paraId="263C1C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14:paraId="028315BC">
            <w:pPr>
              <w:widowControl/>
              <w:spacing w:line="0" w:lineRule="atLeast"/>
              <w:jc w:val="center"/>
              <w:rPr>
                <w:color w:val="000000"/>
                <w:kern w:val="0"/>
                <w:sz w:val="22"/>
                <w:szCs w:val="22"/>
              </w:rPr>
            </w:pPr>
          </w:p>
          <w:p w14:paraId="662A1755">
            <w:pPr>
              <w:widowControl/>
              <w:spacing w:line="0" w:lineRule="atLeast"/>
              <w:jc w:val="center"/>
              <w:rPr>
                <w:color w:val="000000"/>
                <w:kern w:val="0"/>
                <w:sz w:val="22"/>
                <w:szCs w:val="22"/>
              </w:rPr>
            </w:pPr>
          </w:p>
          <w:p w14:paraId="67C5703A">
            <w:pPr>
              <w:widowControl/>
              <w:spacing w:line="0" w:lineRule="atLeast"/>
              <w:jc w:val="center"/>
              <w:rPr>
                <w:color w:val="000000"/>
                <w:kern w:val="0"/>
                <w:sz w:val="22"/>
                <w:szCs w:val="22"/>
              </w:rPr>
            </w:pPr>
          </w:p>
          <w:p w14:paraId="4329CF7D">
            <w:pPr>
              <w:widowControl/>
              <w:spacing w:line="0" w:lineRule="atLeast"/>
              <w:jc w:val="center"/>
              <w:rPr>
                <w:color w:val="000000"/>
                <w:kern w:val="0"/>
                <w:sz w:val="22"/>
                <w:szCs w:val="22"/>
              </w:rPr>
            </w:pPr>
          </w:p>
          <w:p w14:paraId="0BFDA22B">
            <w:pPr>
              <w:widowControl/>
              <w:spacing w:line="0" w:lineRule="atLeast"/>
              <w:jc w:val="center"/>
              <w:rPr>
                <w:color w:val="000000"/>
                <w:kern w:val="0"/>
                <w:sz w:val="22"/>
                <w:szCs w:val="22"/>
              </w:rPr>
            </w:pPr>
          </w:p>
          <w:p w14:paraId="7F8E5716">
            <w:pPr>
              <w:widowControl/>
              <w:spacing w:line="0" w:lineRule="atLeast"/>
              <w:jc w:val="center"/>
              <w:rPr>
                <w:color w:val="000000"/>
                <w:kern w:val="0"/>
                <w:sz w:val="22"/>
                <w:szCs w:val="22"/>
              </w:rPr>
            </w:pPr>
          </w:p>
          <w:p w14:paraId="0758FBDD">
            <w:pPr>
              <w:widowControl/>
              <w:spacing w:line="0" w:lineRule="atLeast"/>
              <w:jc w:val="center"/>
              <w:rPr>
                <w:color w:val="000000"/>
                <w:kern w:val="0"/>
                <w:sz w:val="22"/>
                <w:szCs w:val="22"/>
              </w:rPr>
            </w:pPr>
            <w:r>
              <w:rPr>
                <w:color w:val="000000"/>
                <w:kern w:val="0"/>
                <w:sz w:val="22"/>
                <w:szCs w:val="22"/>
              </w:rPr>
              <w:t>决策　</w:t>
            </w:r>
          </w:p>
        </w:tc>
        <w:tc>
          <w:tcPr>
            <w:tcW w:w="764" w:type="dxa"/>
            <w:vMerge w:val="restart"/>
            <w:shd w:val="clear" w:color="auto" w:fill="FFFFFF"/>
            <w:vAlign w:val="center"/>
          </w:tcPr>
          <w:p w14:paraId="65AAEF9F">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14:paraId="5001DD64">
            <w:pPr>
              <w:widowControl/>
              <w:spacing w:line="0" w:lineRule="atLeast"/>
              <w:jc w:val="center"/>
              <w:rPr>
                <w:color w:val="000000"/>
                <w:kern w:val="0"/>
                <w:sz w:val="22"/>
                <w:szCs w:val="22"/>
              </w:rPr>
            </w:pPr>
            <w:r>
              <w:rPr>
                <w:color w:val="000000"/>
                <w:kern w:val="0"/>
                <w:sz w:val="22"/>
                <w:szCs w:val="22"/>
              </w:rPr>
              <w:t>立项依据</w:t>
            </w:r>
          </w:p>
          <w:p w14:paraId="56C4C378">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14:paraId="29144729">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98" w:type="dxa"/>
            <w:shd w:val="clear" w:color="auto" w:fill="FFFFFF"/>
            <w:vAlign w:val="center"/>
          </w:tcPr>
          <w:p w14:paraId="63522793">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1300" w:type="dxa"/>
            <w:shd w:val="clear" w:color="auto" w:fill="FFFFFF"/>
            <w:vAlign w:val="center"/>
          </w:tcPr>
          <w:p w14:paraId="410C99F3">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14:paraId="5F6132AA">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1AA1D0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14:paraId="468F14A1">
            <w:pPr>
              <w:spacing w:line="0" w:lineRule="atLeast"/>
              <w:jc w:val="center"/>
              <w:rPr>
                <w:color w:val="000000"/>
                <w:kern w:val="0"/>
                <w:sz w:val="22"/>
                <w:szCs w:val="22"/>
              </w:rPr>
            </w:pPr>
          </w:p>
        </w:tc>
        <w:tc>
          <w:tcPr>
            <w:tcW w:w="764" w:type="dxa"/>
            <w:vMerge w:val="continue"/>
            <w:shd w:val="clear" w:color="auto" w:fill="FFFFFF"/>
            <w:vAlign w:val="center"/>
          </w:tcPr>
          <w:p w14:paraId="45E27637">
            <w:pPr>
              <w:widowControl/>
              <w:spacing w:line="0" w:lineRule="atLeast"/>
              <w:jc w:val="center"/>
              <w:rPr>
                <w:color w:val="000000"/>
                <w:kern w:val="0"/>
                <w:sz w:val="22"/>
                <w:szCs w:val="22"/>
              </w:rPr>
            </w:pPr>
          </w:p>
        </w:tc>
        <w:tc>
          <w:tcPr>
            <w:tcW w:w="873" w:type="dxa"/>
            <w:shd w:val="clear" w:color="auto" w:fill="FFFFFF"/>
            <w:vAlign w:val="center"/>
          </w:tcPr>
          <w:p w14:paraId="272716BF">
            <w:pPr>
              <w:widowControl/>
              <w:spacing w:line="0" w:lineRule="atLeast"/>
              <w:jc w:val="center"/>
              <w:rPr>
                <w:color w:val="000000"/>
                <w:kern w:val="0"/>
                <w:sz w:val="22"/>
                <w:szCs w:val="22"/>
              </w:rPr>
            </w:pPr>
            <w:r>
              <w:rPr>
                <w:color w:val="000000"/>
                <w:kern w:val="0"/>
                <w:sz w:val="22"/>
                <w:szCs w:val="22"/>
              </w:rPr>
              <w:t>立项程序</w:t>
            </w:r>
          </w:p>
          <w:p w14:paraId="27A49E70">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14:paraId="3B13123A">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98" w:type="dxa"/>
            <w:shd w:val="clear" w:color="auto" w:fill="FFFFFF"/>
            <w:vAlign w:val="center"/>
          </w:tcPr>
          <w:p w14:paraId="41887C47">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1300" w:type="dxa"/>
            <w:shd w:val="clear" w:color="auto" w:fill="FFFFFF"/>
            <w:vAlign w:val="center"/>
          </w:tcPr>
          <w:p w14:paraId="2514C5F6">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14:paraId="61107417">
            <w:pPr>
              <w:widowControl/>
              <w:spacing w:line="0" w:lineRule="atLeast"/>
              <w:jc w:val="center"/>
              <w:rPr>
                <w:b/>
                <w:bCs/>
                <w:color w:val="000000"/>
                <w:kern w:val="0"/>
                <w:sz w:val="22"/>
                <w:szCs w:val="22"/>
                <w:highlight w:val="none"/>
              </w:rPr>
            </w:pPr>
            <w:r>
              <w:rPr>
                <w:rFonts w:hint="eastAsia"/>
                <w:b/>
                <w:bCs/>
                <w:color w:val="000000"/>
                <w:kern w:val="0"/>
                <w:sz w:val="22"/>
                <w:szCs w:val="22"/>
                <w:highlight w:val="none"/>
                <w:lang w:val="en-US" w:eastAsia="zh-CN"/>
              </w:rPr>
              <w:t>3</w:t>
            </w:r>
          </w:p>
        </w:tc>
      </w:tr>
      <w:tr w14:paraId="20253A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14:paraId="3DB1B827">
            <w:pPr>
              <w:spacing w:line="0" w:lineRule="atLeast"/>
              <w:jc w:val="center"/>
              <w:rPr>
                <w:color w:val="000000"/>
                <w:kern w:val="0"/>
                <w:sz w:val="22"/>
                <w:szCs w:val="22"/>
              </w:rPr>
            </w:pPr>
          </w:p>
        </w:tc>
        <w:tc>
          <w:tcPr>
            <w:tcW w:w="764" w:type="dxa"/>
            <w:vMerge w:val="restart"/>
            <w:shd w:val="clear" w:color="auto" w:fill="FFFFFF"/>
            <w:vAlign w:val="center"/>
          </w:tcPr>
          <w:p w14:paraId="159893EA">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14:paraId="17D72C33">
            <w:pPr>
              <w:widowControl/>
              <w:spacing w:line="0" w:lineRule="atLeast"/>
              <w:jc w:val="center"/>
              <w:rPr>
                <w:color w:val="000000"/>
                <w:kern w:val="0"/>
                <w:sz w:val="22"/>
                <w:szCs w:val="22"/>
              </w:rPr>
            </w:pPr>
            <w:r>
              <w:rPr>
                <w:color w:val="000000"/>
                <w:kern w:val="0"/>
                <w:sz w:val="22"/>
                <w:szCs w:val="22"/>
              </w:rPr>
              <w:t>绩效目标</w:t>
            </w:r>
          </w:p>
          <w:p w14:paraId="09683397">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14:paraId="6B3E3A89">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98" w:type="dxa"/>
            <w:shd w:val="clear" w:color="000000" w:fill="FFFFFF"/>
            <w:vAlign w:val="center"/>
          </w:tcPr>
          <w:p w14:paraId="0C32834D">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14:paraId="43F3D06F">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14:paraId="7AAB2BBB">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14:paraId="740B80A1">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4ACB7A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14:paraId="71049387">
            <w:pPr>
              <w:widowControl/>
              <w:spacing w:line="0" w:lineRule="atLeast"/>
              <w:jc w:val="center"/>
              <w:rPr>
                <w:color w:val="000000"/>
                <w:kern w:val="0"/>
                <w:sz w:val="22"/>
                <w:szCs w:val="22"/>
              </w:rPr>
            </w:pPr>
          </w:p>
        </w:tc>
        <w:tc>
          <w:tcPr>
            <w:tcW w:w="764" w:type="dxa"/>
            <w:vMerge w:val="continue"/>
            <w:shd w:val="clear" w:color="auto" w:fill="FFFFFF"/>
            <w:vAlign w:val="center"/>
          </w:tcPr>
          <w:p w14:paraId="6A4E877B">
            <w:pPr>
              <w:widowControl/>
              <w:spacing w:line="0" w:lineRule="atLeast"/>
              <w:jc w:val="center"/>
              <w:rPr>
                <w:color w:val="000000"/>
                <w:kern w:val="0"/>
                <w:sz w:val="22"/>
                <w:szCs w:val="22"/>
              </w:rPr>
            </w:pPr>
          </w:p>
        </w:tc>
        <w:tc>
          <w:tcPr>
            <w:tcW w:w="873" w:type="dxa"/>
            <w:shd w:val="clear" w:color="auto" w:fill="FFFFFF"/>
            <w:vAlign w:val="center"/>
          </w:tcPr>
          <w:p w14:paraId="072BC627">
            <w:pPr>
              <w:widowControl/>
              <w:spacing w:line="0" w:lineRule="atLeast"/>
              <w:jc w:val="center"/>
              <w:rPr>
                <w:color w:val="000000"/>
                <w:kern w:val="0"/>
                <w:sz w:val="22"/>
                <w:szCs w:val="22"/>
              </w:rPr>
            </w:pPr>
            <w:r>
              <w:rPr>
                <w:color w:val="000000"/>
                <w:kern w:val="0"/>
                <w:sz w:val="22"/>
                <w:szCs w:val="22"/>
              </w:rPr>
              <w:t>绩效指标</w:t>
            </w:r>
          </w:p>
          <w:p w14:paraId="0356E408">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14:paraId="338E1AD8">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98" w:type="dxa"/>
            <w:shd w:val="clear" w:color="000000" w:fill="FFFFFF"/>
            <w:vAlign w:val="center"/>
          </w:tcPr>
          <w:p w14:paraId="4B7422CF">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1300" w:type="dxa"/>
            <w:shd w:val="clear" w:color="000000" w:fill="FFFFFF"/>
            <w:vAlign w:val="center"/>
          </w:tcPr>
          <w:p w14:paraId="653AA9D7">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14:paraId="0DBD4864">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3DEE55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14:paraId="0515DE91">
            <w:pPr>
              <w:spacing w:line="0" w:lineRule="atLeast"/>
              <w:jc w:val="center"/>
              <w:rPr>
                <w:color w:val="000000"/>
                <w:kern w:val="0"/>
                <w:sz w:val="22"/>
                <w:szCs w:val="22"/>
              </w:rPr>
            </w:pPr>
          </w:p>
        </w:tc>
        <w:tc>
          <w:tcPr>
            <w:tcW w:w="764" w:type="dxa"/>
            <w:vMerge w:val="restart"/>
            <w:shd w:val="clear" w:color="auto" w:fill="FFFFFF"/>
            <w:vAlign w:val="center"/>
          </w:tcPr>
          <w:p w14:paraId="0CC3520A">
            <w:pPr>
              <w:widowControl/>
              <w:spacing w:line="0" w:lineRule="atLeast"/>
              <w:jc w:val="center"/>
              <w:rPr>
                <w:color w:val="000000"/>
                <w:kern w:val="0"/>
                <w:sz w:val="22"/>
                <w:szCs w:val="22"/>
              </w:rPr>
            </w:pPr>
            <w:r>
              <w:rPr>
                <w:color w:val="000000"/>
                <w:kern w:val="0"/>
                <w:sz w:val="22"/>
                <w:szCs w:val="22"/>
              </w:rPr>
              <w:t>资金投入</w:t>
            </w:r>
          </w:p>
          <w:p w14:paraId="3AF78D48">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14:paraId="4C27216B">
            <w:pPr>
              <w:widowControl/>
              <w:spacing w:line="0" w:lineRule="atLeast"/>
              <w:jc w:val="center"/>
              <w:rPr>
                <w:color w:val="000000"/>
                <w:kern w:val="0"/>
                <w:sz w:val="22"/>
                <w:szCs w:val="22"/>
              </w:rPr>
            </w:pPr>
            <w:r>
              <w:rPr>
                <w:color w:val="000000"/>
                <w:kern w:val="0"/>
                <w:sz w:val="22"/>
                <w:szCs w:val="22"/>
              </w:rPr>
              <w:t>预算编制</w:t>
            </w:r>
          </w:p>
          <w:p w14:paraId="7CC3C609">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14:paraId="7716A1A5">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14:paraId="5E9F1343">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1300" w:type="dxa"/>
            <w:shd w:val="clear" w:color="auto" w:fill="FFFFFF"/>
            <w:vAlign w:val="center"/>
          </w:tcPr>
          <w:p w14:paraId="251F54FD">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14:paraId="4A2DEF28">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5E2093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14:paraId="4045C683">
            <w:pPr>
              <w:widowControl/>
              <w:spacing w:line="0" w:lineRule="atLeast"/>
              <w:jc w:val="center"/>
              <w:rPr>
                <w:color w:val="000000"/>
                <w:kern w:val="0"/>
                <w:sz w:val="22"/>
                <w:szCs w:val="22"/>
              </w:rPr>
            </w:pPr>
          </w:p>
        </w:tc>
        <w:tc>
          <w:tcPr>
            <w:tcW w:w="764" w:type="dxa"/>
            <w:vMerge w:val="continue"/>
            <w:shd w:val="clear" w:color="auto" w:fill="FFFFFF"/>
            <w:vAlign w:val="center"/>
          </w:tcPr>
          <w:p w14:paraId="19109224">
            <w:pPr>
              <w:widowControl/>
              <w:spacing w:line="0" w:lineRule="atLeast"/>
              <w:jc w:val="center"/>
              <w:rPr>
                <w:color w:val="000000"/>
                <w:kern w:val="0"/>
                <w:sz w:val="22"/>
                <w:szCs w:val="22"/>
              </w:rPr>
            </w:pPr>
          </w:p>
        </w:tc>
        <w:tc>
          <w:tcPr>
            <w:tcW w:w="873" w:type="dxa"/>
            <w:shd w:val="clear" w:color="auto" w:fill="FFFFFF"/>
            <w:vAlign w:val="center"/>
          </w:tcPr>
          <w:p w14:paraId="09FEE62B">
            <w:pPr>
              <w:widowControl/>
              <w:spacing w:line="0" w:lineRule="atLeast"/>
              <w:jc w:val="center"/>
              <w:rPr>
                <w:color w:val="000000"/>
                <w:kern w:val="0"/>
                <w:sz w:val="22"/>
                <w:szCs w:val="22"/>
              </w:rPr>
            </w:pPr>
            <w:r>
              <w:rPr>
                <w:color w:val="000000"/>
                <w:kern w:val="0"/>
                <w:sz w:val="22"/>
                <w:szCs w:val="22"/>
              </w:rPr>
              <w:t>资金分配</w:t>
            </w:r>
          </w:p>
          <w:p w14:paraId="124490DB">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14:paraId="19A9658A">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14:paraId="3656F114">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1300" w:type="dxa"/>
            <w:shd w:val="clear" w:color="auto" w:fill="FFFFFF"/>
            <w:vAlign w:val="center"/>
          </w:tcPr>
          <w:p w14:paraId="47B6D645">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14:paraId="18863E13">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5358B3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14:paraId="4B3B1365">
            <w:pPr>
              <w:spacing w:line="0" w:lineRule="atLeast"/>
              <w:jc w:val="center"/>
              <w:rPr>
                <w:color w:val="000000"/>
                <w:kern w:val="0"/>
                <w:sz w:val="22"/>
                <w:szCs w:val="22"/>
              </w:rPr>
            </w:pPr>
          </w:p>
          <w:p w14:paraId="7CB9134F">
            <w:pPr>
              <w:spacing w:line="0" w:lineRule="atLeast"/>
              <w:jc w:val="center"/>
              <w:rPr>
                <w:color w:val="000000"/>
                <w:kern w:val="0"/>
                <w:sz w:val="22"/>
                <w:szCs w:val="22"/>
              </w:rPr>
            </w:pPr>
          </w:p>
          <w:p w14:paraId="0B022F91">
            <w:pPr>
              <w:spacing w:line="0" w:lineRule="atLeast"/>
              <w:jc w:val="center"/>
              <w:rPr>
                <w:color w:val="000000"/>
                <w:kern w:val="0"/>
                <w:sz w:val="22"/>
                <w:szCs w:val="22"/>
              </w:rPr>
            </w:pPr>
          </w:p>
          <w:p w14:paraId="7D802089">
            <w:pPr>
              <w:spacing w:line="0" w:lineRule="atLeast"/>
              <w:jc w:val="center"/>
              <w:rPr>
                <w:color w:val="000000"/>
                <w:kern w:val="0"/>
                <w:sz w:val="22"/>
                <w:szCs w:val="22"/>
              </w:rPr>
            </w:pPr>
          </w:p>
          <w:p w14:paraId="1FD86D9C">
            <w:pPr>
              <w:spacing w:line="0" w:lineRule="atLeast"/>
              <w:jc w:val="center"/>
              <w:rPr>
                <w:color w:val="000000"/>
                <w:kern w:val="0"/>
                <w:sz w:val="22"/>
                <w:szCs w:val="22"/>
              </w:rPr>
            </w:pPr>
          </w:p>
          <w:p w14:paraId="6611A918">
            <w:pPr>
              <w:spacing w:line="0" w:lineRule="atLeast"/>
              <w:jc w:val="center"/>
              <w:rPr>
                <w:color w:val="000000"/>
                <w:kern w:val="0"/>
                <w:sz w:val="22"/>
                <w:szCs w:val="22"/>
              </w:rPr>
            </w:pPr>
          </w:p>
          <w:p w14:paraId="71C5DD3A">
            <w:pPr>
              <w:spacing w:line="0" w:lineRule="atLeast"/>
              <w:jc w:val="center"/>
              <w:rPr>
                <w:color w:val="000000"/>
                <w:kern w:val="0"/>
                <w:sz w:val="22"/>
                <w:szCs w:val="22"/>
              </w:rPr>
            </w:pPr>
          </w:p>
          <w:p w14:paraId="00BF0A0A">
            <w:pPr>
              <w:spacing w:line="0" w:lineRule="atLeast"/>
              <w:jc w:val="center"/>
              <w:rPr>
                <w:color w:val="000000"/>
                <w:kern w:val="0"/>
                <w:sz w:val="22"/>
                <w:szCs w:val="22"/>
              </w:rPr>
            </w:pPr>
          </w:p>
          <w:p w14:paraId="1097F624">
            <w:pPr>
              <w:spacing w:line="0" w:lineRule="atLeast"/>
              <w:jc w:val="center"/>
              <w:rPr>
                <w:color w:val="000000"/>
                <w:kern w:val="0"/>
                <w:sz w:val="22"/>
                <w:szCs w:val="22"/>
              </w:rPr>
            </w:pPr>
          </w:p>
          <w:p w14:paraId="5E85EE22">
            <w:pPr>
              <w:spacing w:line="0" w:lineRule="atLeast"/>
              <w:jc w:val="center"/>
              <w:rPr>
                <w:color w:val="000000"/>
                <w:kern w:val="0"/>
                <w:sz w:val="22"/>
                <w:szCs w:val="22"/>
              </w:rPr>
            </w:pPr>
          </w:p>
          <w:p w14:paraId="4ADD5457">
            <w:pPr>
              <w:spacing w:line="0" w:lineRule="atLeast"/>
              <w:jc w:val="center"/>
              <w:rPr>
                <w:color w:val="000000"/>
                <w:kern w:val="0"/>
                <w:sz w:val="22"/>
                <w:szCs w:val="22"/>
              </w:rPr>
            </w:pPr>
          </w:p>
          <w:p w14:paraId="285192D9">
            <w:pPr>
              <w:spacing w:line="0" w:lineRule="atLeast"/>
              <w:jc w:val="center"/>
              <w:rPr>
                <w:color w:val="000000"/>
                <w:kern w:val="0"/>
                <w:sz w:val="22"/>
                <w:szCs w:val="22"/>
              </w:rPr>
            </w:pPr>
          </w:p>
          <w:p w14:paraId="7DE0357F">
            <w:pPr>
              <w:spacing w:line="0" w:lineRule="atLeast"/>
              <w:jc w:val="center"/>
              <w:rPr>
                <w:color w:val="000000"/>
                <w:kern w:val="0"/>
                <w:sz w:val="22"/>
                <w:szCs w:val="22"/>
              </w:rPr>
            </w:pPr>
          </w:p>
          <w:p w14:paraId="4F65036E">
            <w:pPr>
              <w:spacing w:line="0" w:lineRule="atLeast"/>
              <w:jc w:val="center"/>
              <w:rPr>
                <w:color w:val="000000"/>
                <w:kern w:val="0"/>
                <w:sz w:val="22"/>
                <w:szCs w:val="22"/>
              </w:rPr>
            </w:pPr>
          </w:p>
          <w:p w14:paraId="1F4817C7">
            <w:pPr>
              <w:spacing w:line="0" w:lineRule="atLeast"/>
              <w:jc w:val="center"/>
              <w:rPr>
                <w:color w:val="000000"/>
                <w:kern w:val="0"/>
                <w:sz w:val="22"/>
                <w:szCs w:val="22"/>
              </w:rPr>
            </w:pPr>
          </w:p>
          <w:p w14:paraId="06C6B522">
            <w:pPr>
              <w:spacing w:line="0" w:lineRule="atLeast"/>
              <w:jc w:val="center"/>
              <w:rPr>
                <w:color w:val="000000"/>
                <w:kern w:val="0"/>
                <w:sz w:val="22"/>
                <w:szCs w:val="22"/>
              </w:rPr>
            </w:pPr>
            <w:r>
              <w:rPr>
                <w:color w:val="000000"/>
                <w:kern w:val="0"/>
                <w:sz w:val="22"/>
                <w:szCs w:val="22"/>
              </w:rPr>
              <w:t>过程</w:t>
            </w:r>
          </w:p>
          <w:p w14:paraId="5128B2EC">
            <w:pPr>
              <w:widowControl/>
              <w:spacing w:line="0" w:lineRule="atLeast"/>
              <w:jc w:val="center"/>
              <w:rPr>
                <w:color w:val="000000"/>
                <w:kern w:val="0"/>
                <w:sz w:val="22"/>
                <w:szCs w:val="22"/>
              </w:rPr>
            </w:pPr>
            <w:r>
              <w:rPr>
                <w:color w:val="000000"/>
                <w:kern w:val="0"/>
                <w:sz w:val="22"/>
                <w:szCs w:val="22"/>
              </w:rPr>
              <w:t>　　</w:t>
            </w:r>
          </w:p>
        </w:tc>
        <w:tc>
          <w:tcPr>
            <w:tcW w:w="764" w:type="dxa"/>
            <w:vMerge w:val="restart"/>
            <w:shd w:val="clear" w:color="auto" w:fill="FFFFFF"/>
            <w:vAlign w:val="center"/>
          </w:tcPr>
          <w:p w14:paraId="7E837C98">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14:paraId="586A2957">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14:paraId="018F6D62">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98" w:type="dxa"/>
            <w:shd w:val="clear" w:color="000000" w:fill="FFFFFF"/>
            <w:vAlign w:val="center"/>
          </w:tcPr>
          <w:p w14:paraId="1F49E0C7">
            <w:pPr>
              <w:widowControl/>
              <w:spacing w:line="0" w:lineRule="atLeast"/>
              <w:rPr>
                <w:color w:val="000000"/>
                <w:kern w:val="0"/>
                <w:sz w:val="22"/>
                <w:szCs w:val="22"/>
              </w:rPr>
            </w:pPr>
            <w:r>
              <w:rPr>
                <w:color w:val="000000"/>
                <w:kern w:val="0"/>
                <w:sz w:val="22"/>
                <w:szCs w:val="22"/>
              </w:rPr>
              <w:t>资金到位率=（实际到位资金/预算资金）×100%。</w:t>
            </w:r>
          </w:p>
          <w:p w14:paraId="5FC68D59">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14:paraId="5A6B76C0">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14:paraId="157AF1FD">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14:paraId="6B0DCA33">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0DF012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14:paraId="75F8D954">
            <w:pPr>
              <w:spacing w:line="0" w:lineRule="atLeast"/>
              <w:jc w:val="center"/>
              <w:rPr>
                <w:color w:val="000000"/>
                <w:kern w:val="0"/>
                <w:sz w:val="22"/>
                <w:szCs w:val="22"/>
              </w:rPr>
            </w:pPr>
          </w:p>
        </w:tc>
        <w:tc>
          <w:tcPr>
            <w:tcW w:w="764" w:type="dxa"/>
            <w:vMerge w:val="continue"/>
            <w:shd w:val="clear" w:color="auto" w:fill="FFFFFF"/>
            <w:vAlign w:val="center"/>
          </w:tcPr>
          <w:p w14:paraId="4413459F">
            <w:pPr>
              <w:spacing w:line="0" w:lineRule="atLeast"/>
              <w:jc w:val="center"/>
              <w:rPr>
                <w:color w:val="000000"/>
                <w:kern w:val="0"/>
                <w:sz w:val="22"/>
                <w:szCs w:val="22"/>
              </w:rPr>
            </w:pPr>
          </w:p>
        </w:tc>
        <w:tc>
          <w:tcPr>
            <w:tcW w:w="873" w:type="dxa"/>
            <w:shd w:val="clear" w:color="auto" w:fill="FFFFFF"/>
            <w:vAlign w:val="center"/>
          </w:tcPr>
          <w:p w14:paraId="35B6887F">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14:paraId="69FDFD1D">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98" w:type="dxa"/>
            <w:shd w:val="clear" w:color="auto" w:fill="FFFFFF"/>
            <w:vAlign w:val="center"/>
          </w:tcPr>
          <w:p w14:paraId="2C8EA1AB">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1300" w:type="dxa"/>
            <w:shd w:val="clear" w:color="auto" w:fill="FFFFFF"/>
            <w:vAlign w:val="center"/>
          </w:tcPr>
          <w:p w14:paraId="10FBF72B">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14:paraId="3B8EC4CC">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3.96</w:t>
            </w:r>
          </w:p>
        </w:tc>
      </w:tr>
      <w:tr w14:paraId="58F63F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14:paraId="4FA4FC96">
            <w:pPr>
              <w:spacing w:line="0" w:lineRule="atLeast"/>
              <w:jc w:val="center"/>
              <w:rPr>
                <w:color w:val="000000"/>
                <w:kern w:val="0"/>
                <w:sz w:val="22"/>
                <w:szCs w:val="22"/>
              </w:rPr>
            </w:pPr>
          </w:p>
        </w:tc>
        <w:tc>
          <w:tcPr>
            <w:tcW w:w="764" w:type="dxa"/>
            <w:shd w:val="clear" w:color="auto" w:fill="FFFFFF"/>
            <w:vAlign w:val="center"/>
          </w:tcPr>
          <w:p w14:paraId="0E4591DA">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14:paraId="56D43B8C">
            <w:pPr>
              <w:widowControl/>
              <w:spacing w:line="0" w:lineRule="atLeast"/>
              <w:jc w:val="center"/>
              <w:rPr>
                <w:color w:val="000000"/>
                <w:kern w:val="0"/>
                <w:sz w:val="22"/>
                <w:szCs w:val="22"/>
              </w:rPr>
            </w:pPr>
            <w:r>
              <w:rPr>
                <w:color w:val="000000"/>
                <w:kern w:val="0"/>
                <w:sz w:val="22"/>
                <w:szCs w:val="22"/>
              </w:rPr>
              <w:t>资金使用</w:t>
            </w:r>
          </w:p>
          <w:p w14:paraId="396EC4F0">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14:paraId="4612D3D7">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98" w:type="dxa"/>
            <w:shd w:val="clear" w:color="000000" w:fill="FFFFFF"/>
            <w:vAlign w:val="center"/>
          </w:tcPr>
          <w:p w14:paraId="30F70B59">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1300" w:type="dxa"/>
            <w:shd w:val="clear" w:color="000000" w:fill="FFFFFF"/>
            <w:vAlign w:val="center"/>
          </w:tcPr>
          <w:p w14:paraId="100BD726">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14:paraId="41C95ADC">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60D713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14:paraId="0EFC741D">
            <w:pPr>
              <w:spacing w:line="0" w:lineRule="atLeast"/>
              <w:jc w:val="center"/>
              <w:rPr>
                <w:color w:val="000000"/>
                <w:kern w:val="0"/>
                <w:sz w:val="22"/>
                <w:szCs w:val="22"/>
              </w:rPr>
            </w:pPr>
          </w:p>
        </w:tc>
        <w:tc>
          <w:tcPr>
            <w:tcW w:w="764" w:type="dxa"/>
            <w:vMerge w:val="restart"/>
            <w:shd w:val="clear" w:color="auto" w:fill="FFFFFF"/>
            <w:vAlign w:val="center"/>
          </w:tcPr>
          <w:p w14:paraId="71777D78">
            <w:pPr>
              <w:widowControl/>
              <w:spacing w:line="0" w:lineRule="atLeast"/>
              <w:jc w:val="center"/>
              <w:rPr>
                <w:color w:val="000000"/>
                <w:kern w:val="0"/>
                <w:sz w:val="22"/>
                <w:szCs w:val="22"/>
              </w:rPr>
            </w:pPr>
            <w:r>
              <w:rPr>
                <w:color w:val="000000"/>
                <w:kern w:val="0"/>
                <w:sz w:val="22"/>
                <w:szCs w:val="22"/>
              </w:rPr>
              <w:t>组织实施</w:t>
            </w:r>
          </w:p>
          <w:p w14:paraId="380D8D11">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14:paraId="3244EE10">
            <w:pPr>
              <w:widowControl/>
              <w:spacing w:line="0" w:lineRule="atLeast"/>
              <w:jc w:val="center"/>
              <w:rPr>
                <w:color w:val="000000"/>
                <w:kern w:val="0"/>
                <w:sz w:val="22"/>
                <w:szCs w:val="22"/>
              </w:rPr>
            </w:pPr>
            <w:r>
              <w:rPr>
                <w:color w:val="000000"/>
                <w:kern w:val="0"/>
                <w:sz w:val="22"/>
                <w:szCs w:val="22"/>
              </w:rPr>
              <w:t>管理制度</w:t>
            </w:r>
          </w:p>
          <w:p w14:paraId="7745C461">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14:paraId="06ACEF95">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98" w:type="dxa"/>
            <w:shd w:val="clear" w:color="000000" w:fill="FFFFFF"/>
            <w:vAlign w:val="center"/>
          </w:tcPr>
          <w:p w14:paraId="3E91E7EB">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1300" w:type="dxa"/>
            <w:shd w:val="clear" w:color="000000" w:fill="FFFFFF"/>
            <w:vAlign w:val="center"/>
          </w:tcPr>
          <w:p w14:paraId="6A564325">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14:paraId="03C8E318">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6DDE83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14:paraId="5FE731F2">
            <w:pPr>
              <w:widowControl/>
              <w:spacing w:line="0" w:lineRule="atLeast"/>
              <w:jc w:val="center"/>
              <w:rPr>
                <w:color w:val="000000"/>
                <w:kern w:val="0"/>
                <w:sz w:val="22"/>
                <w:szCs w:val="22"/>
              </w:rPr>
            </w:pPr>
          </w:p>
        </w:tc>
        <w:tc>
          <w:tcPr>
            <w:tcW w:w="764" w:type="dxa"/>
            <w:vMerge w:val="continue"/>
            <w:shd w:val="clear" w:color="auto" w:fill="FFFFFF"/>
            <w:vAlign w:val="center"/>
          </w:tcPr>
          <w:p w14:paraId="796E81D5">
            <w:pPr>
              <w:widowControl/>
              <w:spacing w:line="0" w:lineRule="atLeast"/>
              <w:jc w:val="center"/>
              <w:rPr>
                <w:color w:val="000000"/>
                <w:kern w:val="0"/>
                <w:sz w:val="22"/>
                <w:szCs w:val="22"/>
              </w:rPr>
            </w:pPr>
          </w:p>
        </w:tc>
        <w:tc>
          <w:tcPr>
            <w:tcW w:w="873" w:type="dxa"/>
            <w:shd w:val="clear" w:color="auto" w:fill="FFFFFF"/>
            <w:vAlign w:val="center"/>
          </w:tcPr>
          <w:p w14:paraId="53A68BA1">
            <w:pPr>
              <w:widowControl/>
              <w:spacing w:line="0" w:lineRule="atLeast"/>
              <w:jc w:val="center"/>
              <w:rPr>
                <w:color w:val="000000"/>
                <w:kern w:val="0"/>
                <w:sz w:val="22"/>
                <w:szCs w:val="22"/>
              </w:rPr>
            </w:pPr>
            <w:r>
              <w:rPr>
                <w:color w:val="000000"/>
                <w:kern w:val="0"/>
                <w:sz w:val="22"/>
                <w:szCs w:val="22"/>
              </w:rPr>
              <w:t>制度执行</w:t>
            </w:r>
          </w:p>
          <w:p w14:paraId="313EBDA3">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14:paraId="4928DC1A">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98" w:type="dxa"/>
            <w:shd w:val="clear" w:color="000000" w:fill="FFFFFF"/>
            <w:vAlign w:val="center"/>
          </w:tcPr>
          <w:p w14:paraId="226959B6">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1300" w:type="dxa"/>
            <w:shd w:val="clear" w:color="000000" w:fill="FFFFFF"/>
            <w:vAlign w:val="center"/>
          </w:tcPr>
          <w:p w14:paraId="00C2C3ED">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14:paraId="07E59050">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697F0D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14:paraId="2C3C3017">
            <w:pPr>
              <w:widowControl/>
              <w:spacing w:line="0" w:lineRule="atLeast"/>
              <w:jc w:val="center"/>
              <w:rPr>
                <w:color w:val="000000"/>
                <w:kern w:val="0"/>
                <w:sz w:val="22"/>
                <w:szCs w:val="22"/>
              </w:rPr>
            </w:pPr>
            <w:r>
              <w:rPr>
                <w:color w:val="000000"/>
                <w:kern w:val="0"/>
                <w:sz w:val="22"/>
                <w:szCs w:val="22"/>
              </w:rPr>
              <w:t>产出</w:t>
            </w:r>
          </w:p>
        </w:tc>
        <w:tc>
          <w:tcPr>
            <w:tcW w:w="764" w:type="dxa"/>
            <w:shd w:val="clear" w:color="auto" w:fill="FFFFFF"/>
            <w:vAlign w:val="center"/>
          </w:tcPr>
          <w:p w14:paraId="1CC99C1F">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14:paraId="100AE6A4">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14:paraId="2C73EDEF">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98" w:type="dxa"/>
            <w:shd w:val="clear" w:color="000000" w:fill="FFFFFF"/>
            <w:vAlign w:val="center"/>
          </w:tcPr>
          <w:p w14:paraId="18DCA994">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14:paraId="19EAE4D8">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14:paraId="7D6B7611">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10</w:t>
            </w:r>
          </w:p>
        </w:tc>
      </w:tr>
      <w:tr w14:paraId="443F76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14:paraId="07ED8CAC">
            <w:pPr>
              <w:widowControl/>
              <w:spacing w:line="0" w:lineRule="atLeast"/>
              <w:jc w:val="center"/>
              <w:rPr>
                <w:color w:val="000000"/>
                <w:kern w:val="0"/>
                <w:sz w:val="22"/>
                <w:szCs w:val="22"/>
              </w:rPr>
            </w:pPr>
          </w:p>
        </w:tc>
        <w:tc>
          <w:tcPr>
            <w:tcW w:w="764" w:type="dxa"/>
            <w:shd w:val="clear" w:color="auto" w:fill="FFFFFF"/>
            <w:vAlign w:val="center"/>
          </w:tcPr>
          <w:p w14:paraId="7975227C">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14:paraId="66222034">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14:paraId="553D6A2A">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98" w:type="dxa"/>
            <w:shd w:val="clear" w:color="000000" w:fill="FFFFFF"/>
            <w:vAlign w:val="center"/>
          </w:tcPr>
          <w:p w14:paraId="16E53E65">
            <w:pPr>
              <w:widowControl/>
              <w:spacing w:line="0" w:lineRule="atLeast"/>
              <w:rPr>
                <w:color w:val="000000"/>
                <w:kern w:val="0"/>
                <w:sz w:val="22"/>
                <w:szCs w:val="22"/>
              </w:rPr>
            </w:pPr>
            <w:r>
              <w:rPr>
                <w:color w:val="000000"/>
                <w:kern w:val="0"/>
                <w:sz w:val="22"/>
                <w:szCs w:val="22"/>
              </w:rPr>
              <w:t>质量达标率=（质量达标产出数/实际产出数）×100%。</w:t>
            </w:r>
          </w:p>
          <w:p w14:paraId="53DE08C2">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14:paraId="2540782A">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14:paraId="6C08CA53">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10</w:t>
            </w:r>
          </w:p>
        </w:tc>
      </w:tr>
      <w:tr w14:paraId="0ED350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14:paraId="43977F35">
            <w:pPr>
              <w:spacing w:line="0" w:lineRule="atLeast"/>
              <w:jc w:val="center"/>
              <w:rPr>
                <w:color w:val="000000"/>
                <w:kern w:val="0"/>
                <w:sz w:val="22"/>
                <w:szCs w:val="22"/>
              </w:rPr>
            </w:pPr>
          </w:p>
        </w:tc>
        <w:tc>
          <w:tcPr>
            <w:tcW w:w="764" w:type="dxa"/>
            <w:shd w:val="clear" w:color="auto" w:fill="FFFFFF"/>
            <w:vAlign w:val="center"/>
          </w:tcPr>
          <w:p w14:paraId="4FA1D427">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14:paraId="25D98376">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14:paraId="36B031D5">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98" w:type="dxa"/>
            <w:shd w:val="clear" w:color="000000" w:fill="FFFFFF"/>
            <w:vAlign w:val="center"/>
          </w:tcPr>
          <w:p w14:paraId="51B143A8">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1300" w:type="dxa"/>
            <w:shd w:val="clear" w:color="000000" w:fill="FFFFFF"/>
            <w:vAlign w:val="center"/>
          </w:tcPr>
          <w:p w14:paraId="1C9C3760">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14:paraId="4946A5B6">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10</w:t>
            </w:r>
          </w:p>
        </w:tc>
      </w:tr>
      <w:tr w14:paraId="218C5F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14:paraId="0F713D2D">
            <w:pPr>
              <w:widowControl/>
              <w:spacing w:line="0" w:lineRule="atLeast"/>
              <w:jc w:val="center"/>
              <w:rPr>
                <w:color w:val="000000"/>
                <w:kern w:val="0"/>
                <w:sz w:val="22"/>
                <w:szCs w:val="22"/>
              </w:rPr>
            </w:pPr>
          </w:p>
        </w:tc>
        <w:tc>
          <w:tcPr>
            <w:tcW w:w="764" w:type="dxa"/>
            <w:shd w:val="clear" w:color="auto" w:fill="FFFFFF"/>
            <w:vAlign w:val="center"/>
          </w:tcPr>
          <w:p w14:paraId="55BB6C9A">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14:paraId="753F8DD3">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14:paraId="2306FBCC">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98" w:type="dxa"/>
            <w:shd w:val="clear" w:color="000000" w:fill="FFFFFF"/>
            <w:vAlign w:val="center"/>
          </w:tcPr>
          <w:p w14:paraId="24FE56AF">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14:paraId="20B3DF23">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14:paraId="336E7714">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10</w:t>
            </w:r>
          </w:p>
        </w:tc>
      </w:tr>
      <w:tr w14:paraId="170EA3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14:paraId="56CD98E3">
            <w:pPr>
              <w:widowControl/>
              <w:spacing w:line="0" w:lineRule="atLeast"/>
              <w:jc w:val="center"/>
              <w:rPr>
                <w:color w:val="000000"/>
                <w:kern w:val="0"/>
                <w:sz w:val="22"/>
                <w:szCs w:val="22"/>
              </w:rPr>
            </w:pPr>
            <w:r>
              <w:rPr>
                <w:color w:val="000000"/>
                <w:kern w:val="0"/>
                <w:sz w:val="22"/>
                <w:szCs w:val="22"/>
              </w:rPr>
              <w:t>效益　</w:t>
            </w:r>
          </w:p>
        </w:tc>
        <w:tc>
          <w:tcPr>
            <w:tcW w:w="764" w:type="dxa"/>
            <w:vMerge w:val="restart"/>
            <w:shd w:val="clear" w:color="auto" w:fill="FFFFFF"/>
            <w:vAlign w:val="center"/>
          </w:tcPr>
          <w:p w14:paraId="1D59EA6E">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14:paraId="2185DAA2">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14:paraId="06F49251">
            <w:pPr>
              <w:widowControl/>
              <w:spacing w:line="0" w:lineRule="atLeast"/>
              <w:jc w:val="left"/>
              <w:rPr>
                <w:color w:val="000000"/>
                <w:kern w:val="0"/>
                <w:sz w:val="22"/>
                <w:szCs w:val="22"/>
              </w:rPr>
            </w:pPr>
            <w:r>
              <w:rPr>
                <w:color w:val="000000"/>
                <w:kern w:val="0"/>
                <w:sz w:val="22"/>
                <w:szCs w:val="22"/>
              </w:rPr>
              <w:t>项目实施所产生的效益。</w:t>
            </w:r>
          </w:p>
        </w:tc>
        <w:tc>
          <w:tcPr>
            <w:tcW w:w="5198" w:type="dxa"/>
            <w:shd w:val="clear" w:color="auto" w:fill="FFFFFF"/>
            <w:vAlign w:val="center"/>
          </w:tcPr>
          <w:p w14:paraId="78501929">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14:paraId="34E901C7">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auto" w:fill="FFFFFF"/>
            <w:vAlign w:val="center"/>
          </w:tcPr>
          <w:p w14:paraId="493EC588">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10</w:t>
            </w:r>
          </w:p>
        </w:tc>
      </w:tr>
      <w:tr w14:paraId="40B9E7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14:paraId="0E71F3BD">
            <w:pPr>
              <w:widowControl/>
              <w:spacing w:line="0" w:lineRule="atLeast"/>
              <w:jc w:val="center"/>
              <w:rPr>
                <w:color w:val="000000"/>
                <w:kern w:val="0"/>
                <w:sz w:val="22"/>
                <w:szCs w:val="22"/>
              </w:rPr>
            </w:pPr>
          </w:p>
        </w:tc>
        <w:tc>
          <w:tcPr>
            <w:tcW w:w="764" w:type="dxa"/>
            <w:vMerge w:val="continue"/>
            <w:shd w:val="clear" w:color="auto" w:fill="FFFFFF"/>
            <w:vAlign w:val="center"/>
          </w:tcPr>
          <w:p w14:paraId="3ECBBD98">
            <w:pPr>
              <w:widowControl/>
              <w:spacing w:line="0" w:lineRule="atLeast"/>
              <w:jc w:val="center"/>
              <w:rPr>
                <w:color w:val="000000"/>
                <w:kern w:val="0"/>
                <w:sz w:val="22"/>
                <w:szCs w:val="22"/>
              </w:rPr>
            </w:pPr>
          </w:p>
        </w:tc>
        <w:tc>
          <w:tcPr>
            <w:tcW w:w="873" w:type="dxa"/>
            <w:shd w:val="clear" w:color="auto" w:fill="FFFFFF"/>
            <w:vAlign w:val="center"/>
          </w:tcPr>
          <w:p w14:paraId="53A11751">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14:paraId="4790544B">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98" w:type="dxa"/>
            <w:shd w:val="clear" w:color="000000" w:fill="FFFFFF"/>
            <w:vAlign w:val="center"/>
          </w:tcPr>
          <w:p w14:paraId="2A3C9D64">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14:paraId="3EB0B0DB">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14:paraId="6AE92CCE">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10</w:t>
            </w:r>
          </w:p>
        </w:tc>
      </w:tr>
    </w:tbl>
    <w:p w14:paraId="3132C331"/>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altName w:val="Arial Unicode MS"/>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74CEA25D">
        <w:pPr>
          <w:pStyle w:val="8"/>
          <w:jc w:val="center"/>
        </w:pPr>
        <w:r>
          <w:fldChar w:fldCharType="begin"/>
        </w:r>
        <w:r>
          <w:instrText xml:space="preserve">PAGE   \* MERGEFORMAT</w:instrText>
        </w:r>
        <w:r>
          <w:fldChar w:fldCharType="separate"/>
        </w:r>
        <w:r>
          <w:rPr>
            <w:lang w:val="zh-CN"/>
          </w:rPr>
          <w:t>13</w:t>
        </w:r>
        <w:r>
          <w:fldChar w:fldCharType="end"/>
        </w:r>
      </w:p>
    </w:sdtContent>
  </w:sdt>
  <w:p w14:paraId="031F61F6">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E83853AE"/>
    <w:multiLevelType w:val="singleLevel"/>
    <w:tmpl w:val="E83853AE"/>
    <w:lvl w:ilvl="0" w:tentative="0">
      <w:start w:val="2"/>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0"/>
  </w:num>
  <w:num w:numId="3">
    <w:abstractNumId w:val="4"/>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ZTk4ZThiOTlhYTkyOGVkOWQ5NDlhNjIwNjNhNzEifQ=="/>
  </w:docVars>
  <w:rsids>
    <w:rsidRoot w:val="FF6C4049"/>
    <w:rsid w:val="006F7242"/>
    <w:rsid w:val="007B168A"/>
    <w:rsid w:val="008B2CFE"/>
    <w:rsid w:val="00F26FF6"/>
    <w:rsid w:val="02681BCF"/>
    <w:rsid w:val="07397B77"/>
    <w:rsid w:val="07697E50"/>
    <w:rsid w:val="104A3D25"/>
    <w:rsid w:val="12562C98"/>
    <w:rsid w:val="12CC0DD5"/>
    <w:rsid w:val="13471461"/>
    <w:rsid w:val="13B90F01"/>
    <w:rsid w:val="150253A4"/>
    <w:rsid w:val="17EC4792"/>
    <w:rsid w:val="181066D2"/>
    <w:rsid w:val="1C671E73"/>
    <w:rsid w:val="1D190E16"/>
    <w:rsid w:val="2153649C"/>
    <w:rsid w:val="227E063B"/>
    <w:rsid w:val="2B75611A"/>
    <w:rsid w:val="30397633"/>
    <w:rsid w:val="346D4601"/>
    <w:rsid w:val="349F3FB0"/>
    <w:rsid w:val="369A0C8F"/>
    <w:rsid w:val="36FC2D35"/>
    <w:rsid w:val="38CA40DD"/>
    <w:rsid w:val="395F2B56"/>
    <w:rsid w:val="3BECE841"/>
    <w:rsid w:val="3FF7797D"/>
    <w:rsid w:val="42CA4DB9"/>
    <w:rsid w:val="453C1664"/>
    <w:rsid w:val="46753A21"/>
    <w:rsid w:val="46853674"/>
    <w:rsid w:val="468E3747"/>
    <w:rsid w:val="510D1C3F"/>
    <w:rsid w:val="52FB5B6D"/>
    <w:rsid w:val="54D20B4D"/>
    <w:rsid w:val="58A22403"/>
    <w:rsid w:val="5BFF6039"/>
    <w:rsid w:val="5C946AF7"/>
    <w:rsid w:val="5D76A616"/>
    <w:rsid w:val="5D7F20B9"/>
    <w:rsid w:val="5DAC7D0E"/>
    <w:rsid w:val="5F98B5AF"/>
    <w:rsid w:val="5FFE8511"/>
    <w:rsid w:val="5FFEACE2"/>
    <w:rsid w:val="63471DC7"/>
    <w:rsid w:val="643EE26D"/>
    <w:rsid w:val="6AF06EC6"/>
    <w:rsid w:val="6F5C41AC"/>
    <w:rsid w:val="6FAF6C78"/>
    <w:rsid w:val="72AC63C4"/>
    <w:rsid w:val="7317C656"/>
    <w:rsid w:val="734ED73F"/>
    <w:rsid w:val="77FD8BE9"/>
    <w:rsid w:val="78A67F95"/>
    <w:rsid w:val="79014692"/>
    <w:rsid w:val="79A9BD3F"/>
    <w:rsid w:val="7BFFFDD0"/>
    <w:rsid w:val="7C336E5F"/>
    <w:rsid w:val="7D7A5F86"/>
    <w:rsid w:val="7DFF553B"/>
    <w:rsid w:val="7F142602"/>
    <w:rsid w:val="7F174AAF"/>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1"/>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19"/>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10">
    <w:name w:val="annotation subject"/>
    <w:basedOn w:val="4"/>
    <w:next w:val="4"/>
    <w:link w:val="22"/>
    <w:qFormat/>
    <w:uiPriority w:val="0"/>
    <w:rPr>
      <w:b/>
      <w:bCs/>
    </w:rPr>
  </w:style>
  <w:style w:type="paragraph" w:styleId="11">
    <w:name w:val="Body Text First Indent"/>
    <w:basedOn w:val="5"/>
    <w:qFormat/>
    <w:uiPriority w:val="0"/>
    <w:pPr>
      <w:spacing w:after="0"/>
      <w:ind w:firstLine="200" w:firstLineChars="200"/>
    </w:pPr>
  </w:style>
  <w:style w:type="paragraph" w:styleId="12">
    <w:name w:val="Body Text First Indent 2"/>
    <w:basedOn w:val="6"/>
    <w:qFormat/>
    <w:uiPriority w:val="0"/>
    <w:pPr>
      <w:ind w:firstLine="420" w:firstLineChars="200"/>
    </w:pPr>
  </w:style>
  <w:style w:type="character" w:styleId="15">
    <w:name w:val="Strong"/>
    <w:basedOn w:val="14"/>
    <w:qFormat/>
    <w:uiPriority w:val="0"/>
    <w:rPr>
      <w:b/>
      <w:bCs/>
    </w:rPr>
  </w:style>
  <w:style w:type="character" w:styleId="16">
    <w:name w:val="annotation reference"/>
    <w:basedOn w:val="14"/>
    <w:qFormat/>
    <w:uiPriority w:val="0"/>
    <w:rPr>
      <w:sz w:val="21"/>
      <w:szCs w:val="21"/>
    </w:rPr>
  </w:style>
  <w:style w:type="character" w:customStyle="1" w:styleId="17">
    <w:name w:val="fontstyle01"/>
    <w:qFormat/>
    <w:uiPriority w:val="0"/>
    <w:rPr>
      <w:rFonts w:ascii="仿宋_GB2312" w:hAnsi="仿宋_GB2312" w:eastAsia="仿宋_GB2312" w:cs="仿宋_GB2312"/>
      <w:color w:val="000000"/>
      <w:sz w:val="32"/>
      <w:szCs w:val="32"/>
    </w:rPr>
  </w:style>
  <w:style w:type="paragraph" w:customStyle="1" w:styleId="18">
    <w:name w:val="闻政-正文段落文字"/>
    <w:basedOn w:val="1"/>
    <w:qFormat/>
    <w:uiPriority w:val="3"/>
    <w:pPr>
      <w:spacing w:line="500" w:lineRule="exact"/>
      <w:ind w:firstLine="200"/>
    </w:pPr>
    <w:rPr>
      <w:kern w:val="0"/>
      <w:szCs w:val="28"/>
    </w:rPr>
  </w:style>
  <w:style w:type="character" w:customStyle="1" w:styleId="19">
    <w:name w:val="批注框文本 字符"/>
    <w:basedOn w:val="14"/>
    <w:link w:val="7"/>
    <w:qFormat/>
    <w:uiPriority w:val="0"/>
    <w:rPr>
      <w:rFonts w:ascii="Times New Roman" w:hAnsi="Times New Roman" w:eastAsia="宋体" w:cs="Times New Roman"/>
      <w:kern w:val="2"/>
      <w:sz w:val="18"/>
      <w:szCs w:val="18"/>
    </w:rPr>
  </w:style>
  <w:style w:type="character" w:customStyle="1" w:styleId="20">
    <w:name w:val="页眉 字符"/>
    <w:basedOn w:val="14"/>
    <w:link w:val="9"/>
    <w:qFormat/>
    <w:uiPriority w:val="0"/>
    <w:rPr>
      <w:rFonts w:ascii="Times New Roman" w:hAnsi="Times New Roman" w:eastAsia="宋体" w:cs="Times New Roman"/>
      <w:kern w:val="2"/>
      <w:sz w:val="18"/>
      <w:szCs w:val="18"/>
    </w:rPr>
  </w:style>
  <w:style w:type="character" w:customStyle="1" w:styleId="21">
    <w:name w:val="批注文字 字符"/>
    <w:basedOn w:val="14"/>
    <w:link w:val="4"/>
    <w:qFormat/>
    <w:uiPriority w:val="0"/>
    <w:rPr>
      <w:rFonts w:ascii="Times New Roman" w:hAnsi="Times New Roman" w:eastAsia="宋体" w:cs="Times New Roman"/>
      <w:kern w:val="2"/>
      <w:sz w:val="21"/>
      <w:szCs w:val="24"/>
    </w:rPr>
  </w:style>
  <w:style w:type="character" w:customStyle="1" w:styleId="22">
    <w:name w:val="批注主题 字符"/>
    <w:basedOn w:val="21"/>
    <w:link w:val="10"/>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9053</Words>
  <Characters>9368</Characters>
  <Lines>58</Lines>
  <Paragraphs>16</Paragraphs>
  <TotalTime>1</TotalTime>
  <ScaleCrop>false</ScaleCrop>
  <LinksUpToDate>false</LinksUpToDate>
  <CharactersWithSpaces>9377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岁月无痕</cp:lastModifiedBy>
  <dcterms:modified xsi:type="dcterms:W3CDTF">2024-08-19T05:50:35Z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DEB37354E36D40D48F20A3DAB18895C3</vt:lpwstr>
  </property>
</Properties>
</file>