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790D9A">
      <w:pPr>
        <w:jc w:val="center"/>
        <w:rPr>
          <w:rFonts w:ascii="宋体" w:hAnsi="宋体" w:cs="Arial"/>
          <w:b/>
          <w:bCs/>
          <w:sz w:val="52"/>
          <w:szCs w:val="52"/>
        </w:rPr>
      </w:pPr>
    </w:p>
    <w:p w14:paraId="51F924C4">
      <w:pPr>
        <w:jc w:val="center"/>
        <w:rPr>
          <w:rFonts w:ascii="宋体" w:hAnsi="宋体" w:cs="Arial"/>
          <w:b/>
          <w:bCs/>
          <w:sz w:val="52"/>
          <w:szCs w:val="52"/>
        </w:rPr>
      </w:pPr>
    </w:p>
    <w:p w14:paraId="4BCF662D">
      <w:pPr>
        <w:jc w:val="center"/>
        <w:rPr>
          <w:rFonts w:ascii="黑体" w:hAnsi="黑体" w:eastAsia="黑体" w:cs="黑体"/>
          <w:b/>
          <w:bCs/>
          <w:sz w:val="44"/>
          <w:szCs w:val="44"/>
        </w:rPr>
      </w:pPr>
      <w:r>
        <w:rPr>
          <w:rFonts w:hint="eastAsia" w:ascii="黑体" w:hAnsi="黑体" w:eastAsia="黑体" w:cs="黑体"/>
          <w:b/>
          <w:bCs/>
          <w:sz w:val="44"/>
          <w:szCs w:val="44"/>
        </w:rPr>
        <w:t>思想政治理论教育工作专项经费项目支出绩效评价报告</w:t>
      </w:r>
    </w:p>
    <w:p w14:paraId="0A1B672C">
      <w:pPr>
        <w:widowControl/>
        <w:spacing w:line="560" w:lineRule="exact"/>
        <w:jc w:val="center"/>
        <w:rPr>
          <w:rFonts w:ascii="黑体" w:hAnsi="黑体" w:eastAsia="黑体" w:cs="黑体"/>
          <w:b/>
          <w:kern w:val="0"/>
          <w:sz w:val="44"/>
          <w:szCs w:val="44"/>
          <w:lang w:bidi="en-US"/>
        </w:rPr>
      </w:pPr>
      <w:r>
        <w:rPr>
          <w:rFonts w:hint="eastAsia" w:ascii="黑体" w:hAnsi="黑体" w:eastAsia="黑体" w:cs="黑体"/>
          <w:color w:val="000000"/>
          <w:kern w:val="0"/>
          <w:sz w:val="44"/>
          <w:szCs w:val="44"/>
        </w:rPr>
        <w:t>（202</w:t>
      </w:r>
      <w:r>
        <w:rPr>
          <w:rFonts w:hint="eastAsia" w:ascii="黑体" w:hAnsi="黑体" w:eastAsia="黑体" w:cs="黑体"/>
          <w:color w:val="000000"/>
          <w:kern w:val="0"/>
          <w:sz w:val="44"/>
          <w:szCs w:val="44"/>
          <w:lang w:val="en-US" w:eastAsia="zh-CN"/>
        </w:rPr>
        <w:t>3</w:t>
      </w:r>
      <w:r>
        <w:rPr>
          <w:rFonts w:hint="eastAsia" w:ascii="黑体" w:hAnsi="黑体" w:eastAsia="黑体" w:cs="黑体"/>
          <w:color w:val="000000"/>
          <w:kern w:val="0"/>
          <w:sz w:val="44"/>
          <w:szCs w:val="44"/>
        </w:rPr>
        <w:t>年度）</w:t>
      </w:r>
    </w:p>
    <w:p w14:paraId="47E33E40">
      <w:pPr>
        <w:spacing w:line="480" w:lineRule="auto"/>
        <w:jc w:val="center"/>
        <w:rPr>
          <w:rFonts w:ascii="仿宋_GB2312" w:hAnsi="仿宋_GB2312" w:cs="仿宋_GB2312"/>
          <w:b/>
          <w:kern w:val="0"/>
          <w:sz w:val="50"/>
          <w:szCs w:val="50"/>
          <w:lang w:bidi="en-US"/>
        </w:rPr>
      </w:pPr>
    </w:p>
    <w:p w14:paraId="52F7093D">
      <w:pPr>
        <w:spacing w:line="480" w:lineRule="auto"/>
        <w:jc w:val="center"/>
        <w:rPr>
          <w:rFonts w:ascii="仿宋_GB2312" w:hAnsi="仿宋_GB2312" w:cs="仿宋_GB2312"/>
          <w:b/>
          <w:kern w:val="0"/>
          <w:sz w:val="50"/>
          <w:szCs w:val="50"/>
          <w:lang w:bidi="en-US"/>
        </w:rPr>
      </w:pPr>
    </w:p>
    <w:p w14:paraId="737BBDE5">
      <w:pPr>
        <w:spacing w:line="480" w:lineRule="auto"/>
        <w:jc w:val="center"/>
        <w:rPr>
          <w:rFonts w:ascii="仿宋_GB2312" w:hAnsi="仿宋_GB2312" w:cs="仿宋_GB2312"/>
          <w:b/>
          <w:kern w:val="0"/>
          <w:sz w:val="50"/>
          <w:szCs w:val="50"/>
          <w:lang w:bidi="en-US"/>
        </w:rPr>
      </w:pPr>
    </w:p>
    <w:p w14:paraId="3CE8112A">
      <w:pPr>
        <w:spacing w:line="480" w:lineRule="auto"/>
        <w:jc w:val="center"/>
        <w:rPr>
          <w:rFonts w:ascii="仿宋_GB2312" w:hAnsi="仿宋_GB2312" w:cs="仿宋_GB2312"/>
          <w:b/>
          <w:kern w:val="0"/>
          <w:sz w:val="50"/>
          <w:szCs w:val="50"/>
          <w:lang w:bidi="en-US"/>
        </w:rPr>
      </w:pPr>
    </w:p>
    <w:p w14:paraId="7084207A">
      <w:pPr>
        <w:spacing w:line="480" w:lineRule="auto"/>
        <w:jc w:val="center"/>
        <w:rPr>
          <w:rFonts w:ascii="仿宋_GB2312" w:hAnsi="仿宋_GB2312" w:cs="仿宋_GB2312"/>
          <w:b/>
          <w:kern w:val="0"/>
          <w:sz w:val="50"/>
          <w:szCs w:val="50"/>
          <w:lang w:bidi="en-US"/>
        </w:rPr>
      </w:pPr>
    </w:p>
    <w:p w14:paraId="4D4C626A">
      <w:pPr>
        <w:spacing w:line="700" w:lineRule="exact"/>
        <w:ind w:firstLine="1440" w:firstLineChars="400"/>
        <w:jc w:val="left"/>
        <w:rPr>
          <w:rFonts w:eastAsia="仿宋_GB2312"/>
          <w:kern w:val="0"/>
          <w:sz w:val="36"/>
          <w:szCs w:val="36"/>
        </w:rPr>
      </w:pPr>
      <w:r>
        <w:rPr>
          <w:rFonts w:hint="eastAsia" w:eastAsia="仿宋_GB2312"/>
          <w:kern w:val="0"/>
          <w:sz w:val="36"/>
          <w:szCs w:val="36"/>
        </w:rPr>
        <w:t xml:space="preserve">项目名称：思想政治理论教育工作专项经费 </w:t>
      </w:r>
    </w:p>
    <w:p w14:paraId="768AFAF8">
      <w:pPr>
        <w:spacing w:line="700" w:lineRule="exact"/>
        <w:ind w:firstLine="1440" w:firstLineChars="400"/>
        <w:jc w:val="left"/>
        <w:rPr>
          <w:rFonts w:eastAsia="仿宋_GB2312"/>
          <w:kern w:val="0"/>
          <w:sz w:val="36"/>
          <w:szCs w:val="36"/>
        </w:rPr>
      </w:pPr>
      <w:r>
        <w:rPr>
          <w:rFonts w:hint="eastAsia" w:eastAsia="仿宋_GB2312"/>
          <w:kern w:val="0"/>
          <w:sz w:val="36"/>
          <w:szCs w:val="36"/>
        </w:rPr>
        <w:t>实施单位（公章）：新疆轻工职业技术学院</w:t>
      </w:r>
      <w:r>
        <w:rPr>
          <w:rFonts w:eastAsia="仿宋_GB2312"/>
          <w:kern w:val="0"/>
          <w:sz w:val="36"/>
          <w:szCs w:val="36"/>
        </w:rPr>
        <w:t xml:space="preserve"> </w:t>
      </w:r>
    </w:p>
    <w:p w14:paraId="1AE69016">
      <w:pPr>
        <w:spacing w:line="700" w:lineRule="exact"/>
        <w:ind w:firstLine="1440" w:firstLineChars="400"/>
        <w:jc w:val="left"/>
        <w:rPr>
          <w:rFonts w:eastAsia="仿宋_GB2312"/>
          <w:kern w:val="0"/>
          <w:sz w:val="36"/>
          <w:szCs w:val="36"/>
        </w:rPr>
      </w:pPr>
      <w:r>
        <w:rPr>
          <w:rFonts w:hint="eastAsia" w:eastAsia="仿宋_GB2312"/>
          <w:kern w:val="0"/>
          <w:sz w:val="36"/>
          <w:szCs w:val="36"/>
        </w:rPr>
        <w:t xml:space="preserve">主管部门（公章）：自治区工业和信息化厅 </w:t>
      </w:r>
    </w:p>
    <w:p w14:paraId="5DAF4278">
      <w:pPr>
        <w:spacing w:line="700" w:lineRule="exact"/>
        <w:ind w:firstLine="1440" w:firstLineChars="400"/>
        <w:jc w:val="left"/>
        <w:rPr>
          <w:rFonts w:hint="eastAsia" w:eastAsia="仿宋_GB2312"/>
          <w:kern w:val="0"/>
          <w:sz w:val="36"/>
          <w:szCs w:val="36"/>
          <w:lang w:eastAsia="zh-CN"/>
        </w:rPr>
      </w:pPr>
      <w:r>
        <w:rPr>
          <w:rFonts w:hint="eastAsia" w:eastAsia="仿宋_GB2312"/>
          <w:kern w:val="0"/>
          <w:sz w:val="36"/>
          <w:szCs w:val="36"/>
        </w:rPr>
        <w:t>项目负责人（签章）：</w:t>
      </w:r>
      <w:r>
        <w:rPr>
          <w:rFonts w:hint="eastAsia" w:eastAsia="仿宋_GB2312"/>
          <w:kern w:val="0"/>
          <w:sz w:val="36"/>
          <w:szCs w:val="36"/>
          <w:lang w:eastAsia="zh-CN"/>
        </w:rPr>
        <w:t>王福</w:t>
      </w:r>
    </w:p>
    <w:p w14:paraId="68F22B08">
      <w:pPr>
        <w:spacing w:line="700" w:lineRule="exact"/>
        <w:ind w:firstLine="1440" w:firstLineChars="400"/>
        <w:jc w:val="left"/>
        <w:rPr>
          <w:rFonts w:eastAsia="仿宋_GB2312"/>
          <w:kern w:val="0"/>
          <w:sz w:val="36"/>
          <w:szCs w:val="36"/>
        </w:rPr>
      </w:pPr>
      <w:r>
        <w:rPr>
          <w:rFonts w:hint="eastAsia" w:eastAsia="仿宋_GB2312"/>
          <w:kern w:val="0"/>
          <w:sz w:val="36"/>
          <w:szCs w:val="36"/>
        </w:rPr>
        <w:t>填报时间：2023年</w:t>
      </w:r>
      <w:r>
        <w:rPr>
          <w:rFonts w:hint="eastAsia" w:eastAsia="仿宋_GB2312"/>
          <w:kern w:val="0"/>
          <w:sz w:val="36"/>
          <w:szCs w:val="36"/>
          <w:lang w:val="en-US" w:eastAsia="zh-CN"/>
        </w:rPr>
        <w:t>3</w:t>
      </w:r>
      <w:r>
        <w:rPr>
          <w:rFonts w:hint="eastAsia" w:eastAsia="仿宋_GB2312"/>
          <w:kern w:val="0"/>
          <w:sz w:val="36"/>
          <w:szCs w:val="36"/>
        </w:rPr>
        <w:t>月</w:t>
      </w:r>
      <w:r>
        <w:rPr>
          <w:rFonts w:hint="eastAsia" w:eastAsia="仿宋_GB2312"/>
          <w:kern w:val="0"/>
          <w:sz w:val="36"/>
          <w:szCs w:val="36"/>
          <w:lang w:val="en-US" w:eastAsia="zh-CN"/>
        </w:rPr>
        <w:t>10</w:t>
      </w:r>
      <w:r>
        <w:rPr>
          <w:rFonts w:hint="eastAsia" w:eastAsia="仿宋_GB2312"/>
          <w:kern w:val="0"/>
          <w:sz w:val="36"/>
          <w:szCs w:val="36"/>
        </w:rPr>
        <w:t>日</w:t>
      </w:r>
    </w:p>
    <w:p w14:paraId="278E8FD4">
      <w:pPr>
        <w:jc w:val="center"/>
        <w:rPr>
          <w:rFonts w:ascii="宋体" w:hAnsi="宋体" w:cs="Arial"/>
          <w:b/>
          <w:bCs/>
          <w:sz w:val="36"/>
          <w:szCs w:val="36"/>
        </w:rPr>
      </w:pPr>
    </w:p>
    <w:p w14:paraId="55F1A495">
      <w:pPr>
        <w:widowControl/>
        <w:jc w:val="left"/>
        <w:rPr>
          <w:rFonts w:ascii="宋体" w:hAnsi="宋体" w:cs="Arial"/>
          <w:b/>
          <w:bCs/>
          <w:sz w:val="36"/>
          <w:szCs w:val="36"/>
        </w:rPr>
      </w:pPr>
      <w:r>
        <w:rPr>
          <w:rFonts w:ascii="宋体" w:hAnsi="宋体" w:cs="Arial"/>
          <w:b/>
          <w:bCs/>
          <w:sz w:val="36"/>
          <w:szCs w:val="36"/>
        </w:rPr>
        <w:br w:type="page"/>
      </w:r>
    </w:p>
    <w:p w14:paraId="298CF078">
      <w:pPr>
        <w:pStyle w:val="48"/>
        <w:jc w:val="center"/>
        <w:rPr>
          <w:rFonts w:ascii="宋体" w:hAnsi="宋体" w:eastAsia="宋体"/>
          <w:lang w:val="zh-CN"/>
        </w:rPr>
      </w:pPr>
    </w:p>
    <w:p w14:paraId="45F36673">
      <w:pPr>
        <w:widowControl/>
        <w:jc w:val="center"/>
        <w:rPr>
          <w:rFonts w:ascii="宋体" w:hAnsi="宋体"/>
          <w:b/>
          <w:bCs/>
          <w:sz w:val="32"/>
          <w:szCs w:val="32"/>
          <w:lang w:val="zh-CN"/>
        </w:rPr>
      </w:pPr>
      <w:r>
        <w:rPr>
          <w:rFonts w:ascii="宋体" w:hAnsi="宋体"/>
          <w:b/>
          <w:bCs/>
          <w:sz w:val="32"/>
          <w:szCs w:val="32"/>
          <w:lang w:val="zh-CN"/>
        </w:rPr>
        <w:t>目</w:t>
      </w:r>
      <w:r>
        <w:rPr>
          <w:rFonts w:hint="eastAsia" w:ascii="宋体" w:hAnsi="宋体"/>
          <w:b/>
          <w:bCs/>
          <w:sz w:val="32"/>
          <w:szCs w:val="32"/>
        </w:rPr>
        <w:t xml:space="preserve"> </w:t>
      </w:r>
      <w:r>
        <w:rPr>
          <w:rFonts w:ascii="宋体" w:hAnsi="宋体"/>
          <w:b/>
          <w:bCs/>
          <w:sz w:val="32"/>
          <w:szCs w:val="32"/>
          <w:lang w:val="zh-CN"/>
        </w:rPr>
        <w:t>录</w:t>
      </w:r>
    </w:p>
    <w:p w14:paraId="6C4BC173">
      <w:pPr>
        <w:widowControl/>
        <w:jc w:val="center"/>
        <w:rPr>
          <w:rFonts w:ascii="宋体" w:hAnsi="宋体"/>
          <w:b/>
          <w:bCs/>
          <w:sz w:val="32"/>
          <w:szCs w:val="32"/>
          <w:lang w:val="zh-CN"/>
        </w:rPr>
      </w:pPr>
    </w:p>
    <w:p w14:paraId="0E77E6D6">
      <w:pPr>
        <w:pStyle w:val="16"/>
        <w:tabs>
          <w:tab w:val="right" w:leader="dot" w:pos="8834"/>
        </w:tabs>
        <w:rPr>
          <w:kern w:val="2"/>
          <w:sz w:val="21"/>
        </w:rPr>
      </w:pPr>
      <w:r>
        <w:fldChar w:fldCharType="begin"/>
      </w:r>
      <w:r>
        <w:instrText xml:space="preserve"> TOC \o "1-3" \h \z \u </w:instrText>
      </w:r>
      <w:r>
        <w:fldChar w:fldCharType="separate"/>
      </w:r>
      <w:r>
        <w:fldChar w:fldCharType="begin"/>
      </w:r>
      <w:r>
        <w:instrText xml:space="preserve"> HYPERLINK \l "_Toc68702112" </w:instrText>
      </w:r>
      <w:r>
        <w:fldChar w:fldCharType="separate"/>
      </w:r>
      <w:r>
        <w:rPr>
          <w:rStyle w:val="24"/>
          <w:rFonts w:ascii="宋体" w:hAnsi="宋体"/>
        </w:rPr>
        <w:t>一、基本情况</w:t>
      </w:r>
      <w:r>
        <w:tab/>
      </w:r>
      <w:r>
        <w:fldChar w:fldCharType="begin"/>
      </w:r>
      <w:r>
        <w:instrText xml:space="preserve"> PAGEREF _Toc68702112 \h </w:instrText>
      </w:r>
      <w:r>
        <w:fldChar w:fldCharType="separate"/>
      </w:r>
      <w:r>
        <w:t>3</w:t>
      </w:r>
      <w:r>
        <w:fldChar w:fldCharType="end"/>
      </w:r>
      <w:r>
        <w:fldChar w:fldCharType="end"/>
      </w:r>
    </w:p>
    <w:p w14:paraId="343BDD45">
      <w:pPr>
        <w:pStyle w:val="18"/>
        <w:tabs>
          <w:tab w:val="right" w:leader="dot" w:pos="8834"/>
        </w:tabs>
        <w:rPr>
          <w:kern w:val="2"/>
          <w:sz w:val="21"/>
        </w:rPr>
      </w:pPr>
      <w:r>
        <w:fldChar w:fldCharType="begin"/>
      </w:r>
      <w:r>
        <w:instrText xml:space="preserve"> HYPERLINK \l "_Toc68702113" </w:instrText>
      </w:r>
      <w:r>
        <w:fldChar w:fldCharType="separate"/>
      </w:r>
      <w:r>
        <w:rPr>
          <w:rStyle w:val="24"/>
          <w:rFonts w:ascii="仿宋_GB2312" w:eastAsia="仿宋_GB2312"/>
        </w:rPr>
        <w:t>（一）项目概况</w:t>
      </w:r>
      <w:r>
        <w:tab/>
      </w:r>
      <w:r>
        <w:fldChar w:fldCharType="begin"/>
      </w:r>
      <w:r>
        <w:instrText xml:space="preserve"> PAGEREF _Toc68702113 \h </w:instrText>
      </w:r>
      <w:r>
        <w:fldChar w:fldCharType="separate"/>
      </w:r>
      <w:r>
        <w:t>3</w:t>
      </w:r>
      <w:r>
        <w:fldChar w:fldCharType="end"/>
      </w:r>
      <w:r>
        <w:fldChar w:fldCharType="end"/>
      </w:r>
    </w:p>
    <w:p w14:paraId="0DC405CE">
      <w:pPr>
        <w:pStyle w:val="18"/>
        <w:tabs>
          <w:tab w:val="right" w:leader="dot" w:pos="8834"/>
        </w:tabs>
        <w:rPr>
          <w:kern w:val="2"/>
          <w:sz w:val="21"/>
        </w:rPr>
      </w:pPr>
      <w:r>
        <w:fldChar w:fldCharType="begin"/>
      </w:r>
      <w:r>
        <w:instrText xml:space="preserve"> HYPERLINK \l "_Toc68702114" </w:instrText>
      </w:r>
      <w:r>
        <w:fldChar w:fldCharType="separate"/>
      </w:r>
      <w:r>
        <w:rPr>
          <w:rStyle w:val="24"/>
          <w:rFonts w:ascii="仿宋_GB2312" w:eastAsia="仿宋_GB2312"/>
        </w:rPr>
        <w:t>（二）项目绩效目标</w:t>
      </w:r>
      <w:r>
        <w:tab/>
      </w:r>
      <w:r>
        <w:fldChar w:fldCharType="begin"/>
      </w:r>
      <w:r>
        <w:instrText xml:space="preserve"> PAGEREF _Toc68702114 \h </w:instrText>
      </w:r>
      <w:r>
        <w:fldChar w:fldCharType="separate"/>
      </w:r>
      <w:r>
        <w:t>4</w:t>
      </w:r>
      <w:r>
        <w:fldChar w:fldCharType="end"/>
      </w:r>
      <w:r>
        <w:fldChar w:fldCharType="end"/>
      </w:r>
    </w:p>
    <w:p w14:paraId="0A5891FC">
      <w:pPr>
        <w:pStyle w:val="16"/>
        <w:tabs>
          <w:tab w:val="right" w:leader="dot" w:pos="8834"/>
        </w:tabs>
        <w:rPr>
          <w:kern w:val="2"/>
          <w:sz w:val="21"/>
        </w:rPr>
      </w:pPr>
      <w:r>
        <w:fldChar w:fldCharType="begin"/>
      </w:r>
      <w:r>
        <w:instrText xml:space="preserve"> HYPERLINK \l "_Toc68702115" </w:instrText>
      </w:r>
      <w:r>
        <w:fldChar w:fldCharType="separate"/>
      </w:r>
      <w:r>
        <w:rPr>
          <w:rStyle w:val="24"/>
          <w:rFonts w:ascii="宋体" w:hAnsi="宋体"/>
        </w:rPr>
        <w:t>二、绩效评价工作开展情况</w:t>
      </w:r>
      <w:r>
        <w:tab/>
      </w:r>
      <w:r>
        <w:rPr>
          <w:rFonts w:hint="eastAsia"/>
        </w:rPr>
        <w:t>5</w:t>
      </w:r>
      <w:r>
        <w:rPr>
          <w:rFonts w:hint="eastAsia"/>
        </w:rPr>
        <w:fldChar w:fldCharType="end"/>
      </w:r>
    </w:p>
    <w:p w14:paraId="6D19EDE3">
      <w:pPr>
        <w:pStyle w:val="18"/>
        <w:tabs>
          <w:tab w:val="right" w:leader="dot" w:pos="8834"/>
        </w:tabs>
        <w:rPr>
          <w:kern w:val="2"/>
          <w:sz w:val="21"/>
        </w:rPr>
      </w:pPr>
      <w:r>
        <w:fldChar w:fldCharType="begin"/>
      </w:r>
      <w:r>
        <w:instrText xml:space="preserve"> HYPERLINK \l "_Toc68702116" </w:instrText>
      </w:r>
      <w:r>
        <w:fldChar w:fldCharType="separate"/>
      </w:r>
      <w:r>
        <w:rPr>
          <w:rStyle w:val="24"/>
          <w:rFonts w:ascii="仿宋_GB2312" w:eastAsia="仿宋_GB2312"/>
        </w:rPr>
        <w:t>（一）绩效评价目的、对象和范围</w:t>
      </w:r>
      <w:r>
        <w:tab/>
      </w:r>
      <w:r>
        <w:rPr>
          <w:rFonts w:hint="eastAsia"/>
        </w:rPr>
        <w:t>5</w:t>
      </w:r>
      <w:r>
        <w:rPr>
          <w:rFonts w:hint="eastAsia"/>
        </w:rPr>
        <w:fldChar w:fldCharType="end"/>
      </w:r>
    </w:p>
    <w:p w14:paraId="45D8585D">
      <w:pPr>
        <w:pStyle w:val="18"/>
        <w:tabs>
          <w:tab w:val="right" w:leader="dot" w:pos="8834"/>
        </w:tabs>
        <w:rPr>
          <w:kern w:val="2"/>
          <w:sz w:val="21"/>
        </w:rPr>
      </w:pPr>
      <w:r>
        <w:fldChar w:fldCharType="begin"/>
      </w:r>
      <w:r>
        <w:instrText xml:space="preserve"> HYPERLINK \l "_Toc68702117" </w:instrText>
      </w:r>
      <w:r>
        <w:fldChar w:fldCharType="separate"/>
      </w:r>
      <w:r>
        <w:rPr>
          <w:rStyle w:val="24"/>
          <w:rFonts w:ascii="仿宋_GB2312" w:eastAsia="仿宋_GB2312"/>
        </w:rPr>
        <w:t>（二）绩效评价原则、评价指标体系、评价方法、评价标准等</w:t>
      </w:r>
      <w:r>
        <w:tab/>
      </w:r>
      <w:r>
        <w:fldChar w:fldCharType="begin"/>
      </w:r>
      <w:r>
        <w:instrText xml:space="preserve"> PAGEREF _Toc68702117 \h </w:instrText>
      </w:r>
      <w:r>
        <w:fldChar w:fldCharType="separate"/>
      </w:r>
      <w:r>
        <w:t>5</w:t>
      </w:r>
      <w:r>
        <w:fldChar w:fldCharType="end"/>
      </w:r>
      <w:r>
        <w:fldChar w:fldCharType="end"/>
      </w:r>
    </w:p>
    <w:p w14:paraId="6CC161FF">
      <w:pPr>
        <w:pStyle w:val="18"/>
        <w:tabs>
          <w:tab w:val="right" w:leader="dot" w:pos="8834"/>
        </w:tabs>
        <w:rPr>
          <w:kern w:val="2"/>
          <w:sz w:val="21"/>
        </w:rPr>
      </w:pPr>
      <w:r>
        <w:fldChar w:fldCharType="begin"/>
      </w:r>
      <w:r>
        <w:instrText xml:space="preserve"> HYPERLINK \l "_Toc68702118" </w:instrText>
      </w:r>
      <w:r>
        <w:fldChar w:fldCharType="separate"/>
      </w:r>
      <w:r>
        <w:rPr>
          <w:rStyle w:val="24"/>
          <w:rFonts w:ascii="仿宋_GB2312" w:eastAsia="仿宋_GB2312"/>
        </w:rPr>
        <w:t>（三）绩效评价工作过程</w:t>
      </w:r>
      <w:r>
        <w:tab/>
      </w:r>
      <w:r>
        <w:rPr>
          <w:rFonts w:hint="eastAsia"/>
        </w:rPr>
        <w:t>7</w:t>
      </w:r>
      <w:r>
        <w:rPr>
          <w:rFonts w:hint="eastAsia"/>
        </w:rPr>
        <w:fldChar w:fldCharType="end"/>
      </w:r>
    </w:p>
    <w:p w14:paraId="2C940BEC">
      <w:pPr>
        <w:pStyle w:val="16"/>
        <w:tabs>
          <w:tab w:val="right" w:leader="dot" w:pos="8834"/>
        </w:tabs>
        <w:rPr>
          <w:kern w:val="2"/>
          <w:sz w:val="21"/>
        </w:rPr>
      </w:pPr>
      <w:r>
        <w:fldChar w:fldCharType="begin"/>
      </w:r>
      <w:r>
        <w:instrText xml:space="preserve"> HYPERLINK \l "_Toc68702119" </w:instrText>
      </w:r>
      <w:r>
        <w:fldChar w:fldCharType="separate"/>
      </w:r>
      <w:r>
        <w:rPr>
          <w:rStyle w:val="24"/>
          <w:rFonts w:ascii="宋体" w:hAnsi="宋体"/>
        </w:rPr>
        <w:t>三、综合评价情况及评价结论</w:t>
      </w:r>
      <w:r>
        <w:tab/>
      </w:r>
      <w:r>
        <w:rPr>
          <w:rFonts w:hint="eastAsia"/>
        </w:rPr>
        <w:t>7</w:t>
      </w:r>
      <w:r>
        <w:rPr>
          <w:rFonts w:hint="eastAsia"/>
        </w:rPr>
        <w:fldChar w:fldCharType="end"/>
      </w:r>
    </w:p>
    <w:p w14:paraId="13DB8BC0">
      <w:pPr>
        <w:pStyle w:val="18"/>
        <w:tabs>
          <w:tab w:val="right" w:leader="dot" w:pos="8834"/>
        </w:tabs>
        <w:rPr>
          <w:kern w:val="2"/>
          <w:sz w:val="21"/>
        </w:rPr>
      </w:pPr>
      <w:r>
        <w:fldChar w:fldCharType="begin"/>
      </w:r>
      <w:r>
        <w:instrText xml:space="preserve"> HYPERLINK \l "_Toc68702120" </w:instrText>
      </w:r>
      <w:r>
        <w:fldChar w:fldCharType="separate"/>
      </w:r>
      <w:r>
        <w:rPr>
          <w:rStyle w:val="24"/>
          <w:rFonts w:ascii="仿宋_GB2312" w:eastAsia="仿宋_GB2312"/>
        </w:rPr>
        <w:t>（一）综合评价情况</w:t>
      </w:r>
      <w:r>
        <w:tab/>
      </w:r>
      <w:r>
        <w:rPr>
          <w:rFonts w:hint="eastAsia"/>
        </w:rPr>
        <w:t>7</w:t>
      </w:r>
      <w:r>
        <w:rPr>
          <w:rFonts w:hint="eastAsia"/>
        </w:rPr>
        <w:fldChar w:fldCharType="end"/>
      </w:r>
    </w:p>
    <w:p w14:paraId="1F0CF0A4">
      <w:pPr>
        <w:pStyle w:val="18"/>
        <w:tabs>
          <w:tab w:val="right" w:leader="dot" w:pos="8834"/>
        </w:tabs>
        <w:rPr>
          <w:kern w:val="2"/>
          <w:sz w:val="21"/>
        </w:rPr>
      </w:pPr>
      <w:r>
        <w:fldChar w:fldCharType="begin"/>
      </w:r>
      <w:r>
        <w:instrText xml:space="preserve"> HYPERLINK \l "_Toc68702121" </w:instrText>
      </w:r>
      <w:r>
        <w:fldChar w:fldCharType="separate"/>
      </w:r>
      <w:r>
        <w:rPr>
          <w:rStyle w:val="24"/>
          <w:rFonts w:ascii="仿宋_GB2312" w:eastAsia="仿宋_GB2312"/>
        </w:rPr>
        <w:t>（二）评价结论</w:t>
      </w:r>
      <w:r>
        <w:tab/>
      </w:r>
      <w:r>
        <w:rPr>
          <w:rFonts w:hint="eastAsia"/>
        </w:rPr>
        <w:t>8</w:t>
      </w:r>
      <w:r>
        <w:rPr>
          <w:rFonts w:hint="eastAsia"/>
        </w:rPr>
        <w:fldChar w:fldCharType="end"/>
      </w:r>
    </w:p>
    <w:p w14:paraId="1771C036">
      <w:pPr>
        <w:pStyle w:val="16"/>
        <w:tabs>
          <w:tab w:val="right" w:leader="dot" w:pos="8834"/>
        </w:tabs>
        <w:rPr>
          <w:kern w:val="2"/>
          <w:sz w:val="21"/>
        </w:rPr>
      </w:pPr>
      <w:r>
        <w:fldChar w:fldCharType="begin"/>
      </w:r>
      <w:r>
        <w:instrText xml:space="preserve"> HYPERLINK \l "_Toc68702122" </w:instrText>
      </w:r>
      <w:r>
        <w:fldChar w:fldCharType="separate"/>
      </w:r>
      <w:r>
        <w:rPr>
          <w:rStyle w:val="24"/>
          <w:rFonts w:ascii="宋体" w:hAnsi="宋体"/>
        </w:rPr>
        <w:t>四、绩效评价指标分析</w:t>
      </w:r>
      <w:r>
        <w:tab/>
      </w:r>
      <w:r>
        <w:rPr>
          <w:rFonts w:hint="eastAsia"/>
        </w:rPr>
        <w:t>8</w:t>
      </w:r>
      <w:r>
        <w:rPr>
          <w:rFonts w:hint="eastAsia"/>
        </w:rPr>
        <w:fldChar w:fldCharType="end"/>
      </w:r>
    </w:p>
    <w:p w14:paraId="1FF741B3">
      <w:pPr>
        <w:pStyle w:val="18"/>
        <w:tabs>
          <w:tab w:val="right" w:leader="dot" w:pos="8834"/>
        </w:tabs>
        <w:rPr>
          <w:kern w:val="2"/>
          <w:sz w:val="21"/>
        </w:rPr>
      </w:pPr>
      <w:r>
        <w:fldChar w:fldCharType="begin"/>
      </w:r>
      <w:r>
        <w:instrText xml:space="preserve"> HYPERLINK \l "_Toc68702123" </w:instrText>
      </w:r>
      <w:r>
        <w:fldChar w:fldCharType="separate"/>
      </w:r>
      <w:r>
        <w:rPr>
          <w:rStyle w:val="24"/>
          <w:rFonts w:ascii="仿宋_GB2312" w:eastAsia="仿宋_GB2312"/>
        </w:rPr>
        <w:t>（一）项目决策情况</w:t>
      </w:r>
      <w:r>
        <w:tab/>
      </w:r>
      <w:r>
        <w:rPr>
          <w:rFonts w:hint="eastAsia"/>
        </w:rPr>
        <w:t>8</w:t>
      </w:r>
      <w:r>
        <w:rPr>
          <w:rFonts w:hint="eastAsia"/>
        </w:rPr>
        <w:fldChar w:fldCharType="end"/>
      </w:r>
    </w:p>
    <w:p w14:paraId="6F50EB87">
      <w:pPr>
        <w:pStyle w:val="18"/>
        <w:tabs>
          <w:tab w:val="right" w:leader="dot" w:pos="8834"/>
        </w:tabs>
        <w:rPr>
          <w:kern w:val="2"/>
          <w:sz w:val="21"/>
        </w:rPr>
      </w:pPr>
      <w:r>
        <w:fldChar w:fldCharType="begin"/>
      </w:r>
      <w:r>
        <w:instrText xml:space="preserve"> HYPERLINK \l "_Toc68702124" </w:instrText>
      </w:r>
      <w:r>
        <w:fldChar w:fldCharType="separate"/>
      </w:r>
      <w:r>
        <w:rPr>
          <w:rStyle w:val="24"/>
          <w:rFonts w:ascii="仿宋_GB2312" w:eastAsia="仿宋_GB2312"/>
        </w:rPr>
        <w:t>（二）项目过程情</w:t>
      </w:r>
      <w:r>
        <w:rPr>
          <w:rStyle w:val="24"/>
          <w:rFonts w:hint="eastAsia" w:ascii="仿宋_GB2312" w:eastAsia="仿宋_GB2312"/>
        </w:rPr>
        <w:t>况</w:t>
      </w:r>
      <w:r>
        <w:tab/>
      </w:r>
      <w:r>
        <w:rPr>
          <w:rFonts w:hint="eastAsia"/>
        </w:rPr>
        <w:t>9</w:t>
      </w:r>
      <w:r>
        <w:rPr>
          <w:rFonts w:hint="eastAsia"/>
        </w:rPr>
        <w:fldChar w:fldCharType="end"/>
      </w:r>
    </w:p>
    <w:p w14:paraId="705E7DCF">
      <w:pPr>
        <w:pStyle w:val="18"/>
        <w:tabs>
          <w:tab w:val="right" w:leader="dot" w:pos="8834"/>
        </w:tabs>
        <w:rPr>
          <w:kern w:val="2"/>
          <w:sz w:val="21"/>
        </w:rPr>
      </w:pPr>
      <w:r>
        <w:fldChar w:fldCharType="begin"/>
      </w:r>
      <w:r>
        <w:instrText xml:space="preserve"> HYPERLINK \l "_Toc68702125" </w:instrText>
      </w:r>
      <w:r>
        <w:fldChar w:fldCharType="separate"/>
      </w:r>
      <w:r>
        <w:rPr>
          <w:rStyle w:val="24"/>
          <w:rFonts w:ascii="仿宋_GB2312" w:eastAsia="仿宋_GB2312"/>
        </w:rPr>
        <w:t>（三）项目产出情况</w:t>
      </w:r>
      <w:r>
        <w:tab/>
      </w:r>
      <w:r>
        <w:rPr>
          <w:rFonts w:hint="eastAsia"/>
        </w:rPr>
        <w:t>1</w:t>
      </w:r>
      <w:r>
        <w:rPr>
          <w:rFonts w:hint="eastAsia"/>
        </w:rPr>
        <w:fldChar w:fldCharType="end"/>
      </w:r>
      <w:r>
        <w:rPr>
          <w:rFonts w:hint="eastAsia"/>
        </w:rPr>
        <w:t>0</w:t>
      </w:r>
    </w:p>
    <w:p w14:paraId="1C6CE388">
      <w:pPr>
        <w:pStyle w:val="18"/>
        <w:tabs>
          <w:tab w:val="right" w:leader="dot" w:pos="8834"/>
        </w:tabs>
        <w:rPr>
          <w:kern w:val="2"/>
          <w:sz w:val="21"/>
        </w:rPr>
      </w:pPr>
      <w:r>
        <w:fldChar w:fldCharType="begin"/>
      </w:r>
      <w:r>
        <w:instrText xml:space="preserve"> HYPERLINK \l "_Toc68702126" </w:instrText>
      </w:r>
      <w:r>
        <w:fldChar w:fldCharType="separate"/>
      </w:r>
      <w:r>
        <w:rPr>
          <w:rStyle w:val="24"/>
          <w:rFonts w:ascii="仿宋_GB2312" w:eastAsia="仿宋_GB2312"/>
        </w:rPr>
        <w:t>（四）项目效益情况</w:t>
      </w:r>
      <w:r>
        <w:tab/>
      </w:r>
      <w:r>
        <w:rPr>
          <w:rFonts w:hint="eastAsia"/>
        </w:rPr>
        <w:t>1</w:t>
      </w:r>
      <w:r>
        <w:rPr>
          <w:rFonts w:hint="eastAsia"/>
        </w:rPr>
        <w:fldChar w:fldCharType="end"/>
      </w:r>
      <w:r>
        <w:rPr>
          <w:rFonts w:hint="eastAsia"/>
        </w:rPr>
        <w:t>1</w:t>
      </w:r>
    </w:p>
    <w:p w14:paraId="1299E524">
      <w:pPr>
        <w:pStyle w:val="16"/>
        <w:tabs>
          <w:tab w:val="right" w:leader="dot" w:pos="8834"/>
        </w:tabs>
        <w:rPr>
          <w:kern w:val="2"/>
          <w:sz w:val="21"/>
        </w:rPr>
      </w:pPr>
      <w:r>
        <w:fldChar w:fldCharType="begin"/>
      </w:r>
      <w:r>
        <w:instrText xml:space="preserve"> HYPERLINK \l "_Toc68702127" </w:instrText>
      </w:r>
      <w:r>
        <w:fldChar w:fldCharType="separate"/>
      </w:r>
      <w:r>
        <w:rPr>
          <w:rStyle w:val="24"/>
          <w:rFonts w:ascii="宋体" w:hAnsi="宋体"/>
        </w:rPr>
        <w:t>五、主要经验及做法、存在的问题及原因分析</w:t>
      </w:r>
      <w:r>
        <w:tab/>
      </w:r>
      <w:r>
        <w:rPr>
          <w:rFonts w:hint="eastAsia"/>
        </w:rPr>
        <w:t>1</w:t>
      </w:r>
      <w:r>
        <w:rPr>
          <w:rFonts w:hint="eastAsia"/>
        </w:rPr>
        <w:fldChar w:fldCharType="end"/>
      </w:r>
      <w:r>
        <w:rPr>
          <w:rFonts w:hint="eastAsia"/>
        </w:rPr>
        <w:t>1</w:t>
      </w:r>
    </w:p>
    <w:p w14:paraId="3F773024">
      <w:pPr>
        <w:pStyle w:val="18"/>
        <w:tabs>
          <w:tab w:val="right" w:leader="dot" w:pos="8834"/>
        </w:tabs>
        <w:rPr>
          <w:kern w:val="2"/>
          <w:sz w:val="21"/>
        </w:rPr>
      </w:pPr>
      <w:r>
        <w:fldChar w:fldCharType="begin"/>
      </w:r>
      <w:r>
        <w:instrText xml:space="preserve"> HYPERLINK \l "_Toc68702128" </w:instrText>
      </w:r>
      <w:r>
        <w:fldChar w:fldCharType="separate"/>
      </w:r>
      <w:r>
        <w:rPr>
          <w:rStyle w:val="24"/>
          <w:rFonts w:ascii="仿宋_GB2312" w:eastAsia="仿宋_GB2312"/>
        </w:rPr>
        <w:t>（一）主要经验及做法</w:t>
      </w:r>
      <w:r>
        <w:tab/>
      </w:r>
      <w:r>
        <w:rPr>
          <w:rFonts w:hint="eastAsia"/>
        </w:rPr>
        <w:t>1</w:t>
      </w:r>
      <w:r>
        <w:rPr>
          <w:rFonts w:hint="eastAsia"/>
        </w:rPr>
        <w:fldChar w:fldCharType="end"/>
      </w:r>
      <w:r>
        <w:rPr>
          <w:rFonts w:hint="eastAsia"/>
        </w:rPr>
        <w:t>1</w:t>
      </w:r>
    </w:p>
    <w:p w14:paraId="033CEE27">
      <w:pPr>
        <w:pStyle w:val="18"/>
        <w:tabs>
          <w:tab w:val="right" w:leader="dot" w:pos="8834"/>
        </w:tabs>
        <w:rPr>
          <w:kern w:val="2"/>
          <w:sz w:val="21"/>
        </w:rPr>
      </w:pPr>
      <w:r>
        <w:fldChar w:fldCharType="begin"/>
      </w:r>
      <w:r>
        <w:instrText xml:space="preserve"> HYPERLINK \l "_Toc68702129" </w:instrText>
      </w:r>
      <w:r>
        <w:fldChar w:fldCharType="separate"/>
      </w:r>
      <w:r>
        <w:rPr>
          <w:rStyle w:val="24"/>
          <w:rFonts w:ascii="仿宋_GB2312" w:eastAsia="仿宋_GB2312"/>
        </w:rPr>
        <w:t>（二）存在的问题及原因分析</w:t>
      </w:r>
      <w:r>
        <w:tab/>
      </w:r>
      <w:r>
        <w:rPr>
          <w:rFonts w:hint="eastAsia"/>
        </w:rPr>
        <w:t>1</w:t>
      </w:r>
      <w:r>
        <w:rPr>
          <w:rFonts w:hint="eastAsia"/>
        </w:rPr>
        <w:fldChar w:fldCharType="end"/>
      </w:r>
      <w:r>
        <w:rPr>
          <w:rFonts w:hint="eastAsia"/>
        </w:rPr>
        <w:t>1</w:t>
      </w:r>
    </w:p>
    <w:p w14:paraId="11744764">
      <w:pPr>
        <w:pStyle w:val="16"/>
        <w:tabs>
          <w:tab w:val="right" w:leader="dot" w:pos="8834"/>
        </w:tabs>
        <w:rPr>
          <w:kern w:val="2"/>
          <w:sz w:val="21"/>
        </w:rPr>
      </w:pPr>
      <w:r>
        <w:fldChar w:fldCharType="begin"/>
      </w:r>
      <w:r>
        <w:instrText xml:space="preserve"> HYPERLINK \l "_Toc68702130" </w:instrText>
      </w:r>
      <w:r>
        <w:fldChar w:fldCharType="separate"/>
      </w:r>
      <w:r>
        <w:rPr>
          <w:rStyle w:val="24"/>
          <w:rFonts w:ascii="宋体" w:hAnsi="宋体"/>
        </w:rPr>
        <w:t>六、有关建议</w:t>
      </w:r>
      <w:r>
        <w:tab/>
      </w:r>
      <w:r>
        <w:rPr>
          <w:rFonts w:hint="eastAsia"/>
        </w:rPr>
        <w:t>1</w:t>
      </w:r>
      <w:r>
        <w:rPr>
          <w:rFonts w:hint="eastAsia"/>
        </w:rPr>
        <w:fldChar w:fldCharType="end"/>
      </w:r>
      <w:r>
        <w:rPr>
          <w:rFonts w:hint="eastAsia"/>
        </w:rPr>
        <w:t>1</w:t>
      </w:r>
    </w:p>
    <w:p w14:paraId="647BFBC1">
      <w:pPr>
        <w:pStyle w:val="16"/>
        <w:tabs>
          <w:tab w:val="right" w:leader="dot" w:pos="8834"/>
        </w:tabs>
        <w:rPr>
          <w:kern w:val="2"/>
          <w:sz w:val="21"/>
        </w:rPr>
      </w:pPr>
      <w:r>
        <w:fldChar w:fldCharType="begin"/>
      </w:r>
      <w:r>
        <w:instrText xml:space="preserve"> HYPERLINK \l "_Toc68702131" </w:instrText>
      </w:r>
      <w:r>
        <w:fldChar w:fldCharType="separate"/>
      </w:r>
      <w:r>
        <w:rPr>
          <w:rStyle w:val="24"/>
          <w:rFonts w:ascii="宋体" w:hAnsi="宋体"/>
        </w:rPr>
        <w:t>七、其他需要说明的问题</w:t>
      </w:r>
      <w:r>
        <w:tab/>
      </w:r>
      <w:r>
        <w:rPr>
          <w:rFonts w:hint="eastAsia"/>
        </w:rPr>
        <w:t>1</w:t>
      </w:r>
      <w:r>
        <w:rPr>
          <w:rFonts w:hint="eastAsia"/>
        </w:rPr>
        <w:fldChar w:fldCharType="end"/>
      </w:r>
      <w:r>
        <w:rPr>
          <w:rFonts w:hint="eastAsia"/>
        </w:rPr>
        <w:t>2</w:t>
      </w:r>
    </w:p>
    <w:p w14:paraId="4690A962">
      <w:pPr>
        <w:spacing w:line="540" w:lineRule="exact"/>
        <w:jc w:val="center"/>
        <w:rPr>
          <w:rFonts w:ascii="华文中宋" w:hAnsi="华文中宋" w:eastAsia="华文中宋" w:cs="宋体"/>
          <w:b/>
          <w:kern w:val="0"/>
          <w:sz w:val="52"/>
          <w:szCs w:val="52"/>
        </w:rPr>
      </w:pPr>
      <w:r>
        <w:rPr>
          <w:b/>
          <w:bCs/>
          <w:lang w:val="zh-CN"/>
        </w:rPr>
        <w:fldChar w:fldCharType="end"/>
      </w:r>
    </w:p>
    <w:p w14:paraId="12F7B0DE">
      <w:pPr>
        <w:spacing w:line="540" w:lineRule="exact"/>
        <w:jc w:val="center"/>
        <w:rPr>
          <w:rFonts w:ascii="方正小标宋简体" w:hAnsi="华文中宋" w:eastAsia="方正小标宋简体" w:cs="宋体"/>
          <w:w w:val="80"/>
          <w:kern w:val="0"/>
          <w:sz w:val="48"/>
          <w:szCs w:val="48"/>
        </w:rPr>
      </w:pPr>
    </w:p>
    <w:p w14:paraId="1C3E97A8">
      <w:pPr>
        <w:spacing w:line="540" w:lineRule="exact"/>
        <w:jc w:val="center"/>
        <w:rPr>
          <w:rFonts w:ascii="方正小标宋简体" w:hAnsi="华文中宋" w:eastAsia="方正小标宋简体" w:cs="宋体"/>
          <w:w w:val="80"/>
          <w:kern w:val="0"/>
          <w:sz w:val="48"/>
          <w:szCs w:val="48"/>
        </w:rPr>
      </w:pPr>
    </w:p>
    <w:p w14:paraId="3A9070DB">
      <w:pPr>
        <w:spacing w:line="540" w:lineRule="exact"/>
        <w:jc w:val="center"/>
        <w:rPr>
          <w:rFonts w:ascii="方正小标宋简体" w:hAnsi="华文中宋" w:eastAsia="方正小标宋简体" w:cs="宋体"/>
          <w:w w:val="80"/>
          <w:kern w:val="0"/>
          <w:sz w:val="48"/>
          <w:szCs w:val="48"/>
        </w:rPr>
      </w:pPr>
    </w:p>
    <w:p w14:paraId="48D263CF">
      <w:pPr>
        <w:spacing w:line="540" w:lineRule="exact"/>
        <w:jc w:val="center"/>
        <w:rPr>
          <w:rFonts w:ascii="方正小标宋简体" w:hAnsi="华文中宋" w:eastAsia="方正小标宋简体" w:cs="宋体"/>
          <w:w w:val="80"/>
          <w:kern w:val="0"/>
          <w:sz w:val="48"/>
          <w:szCs w:val="48"/>
        </w:rPr>
      </w:pPr>
    </w:p>
    <w:p w14:paraId="4326AE4B">
      <w:pPr>
        <w:spacing w:line="540" w:lineRule="exact"/>
        <w:jc w:val="center"/>
        <w:rPr>
          <w:rFonts w:ascii="方正小标宋简体" w:hAnsi="华文中宋" w:eastAsia="方正小标宋简体" w:cs="宋体"/>
          <w:w w:val="80"/>
          <w:kern w:val="0"/>
          <w:sz w:val="48"/>
          <w:szCs w:val="48"/>
        </w:rPr>
      </w:pPr>
    </w:p>
    <w:p w14:paraId="24E0CFF6">
      <w:pPr>
        <w:spacing w:line="540" w:lineRule="exact"/>
        <w:rPr>
          <w:rFonts w:ascii="方正小标宋简体" w:hAnsi="华文中宋" w:eastAsia="方正小标宋简体" w:cs="宋体"/>
          <w:w w:val="80"/>
          <w:kern w:val="0"/>
          <w:sz w:val="48"/>
          <w:szCs w:val="48"/>
        </w:rPr>
      </w:pPr>
    </w:p>
    <w:p w14:paraId="0E8486D7">
      <w:pPr>
        <w:spacing w:line="540" w:lineRule="exact"/>
        <w:jc w:val="center"/>
        <w:rPr>
          <w:rFonts w:ascii="黑体" w:hAnsi="黑体" w:eastAsia="黑体" w:cs="黑体"/>
          <w:w w:val="80"/>
          <w:kern w:val="0"/>
          <w:sz w:val="44"/>
          <w:szCs w:val="44"/>
        </w:rPr>
      </w:pPr>
      <w:r>
        <w:rPr>
          <w:rFonts w:hint="eastAsia" w:ascii="黑体" w:hAnsi="黑体" w:eastAsia="黑体" w:cs="黑体"/>
          <w:w w:val="80"/>
          <w:kern w:val="0"/>
          <w:sz w:val="44"/>
          <w:szCs w:val="44"/>
        </w:rPr>
        <w:t>思想政治理论教育工作专项经费</w:t>
      </w:r>
    </w:p>
    <w:p w14:paraId="3EAAA634">
      <w:pPr>
        <w:spacing w:line="540" w:lineRule="exact"/>
        <w:jc w:val="center"/>
        <w:rPr>
          <w:rFonts w:ascii="黑体" w:hAnsi="黑体" w:eastAsia="黑体" w:cs="黑体"/>
          <w:w w:val="90"/>
          <w:kern w:val="0"/>
          <w:sz w:val="44"/>
          <w:szCs w:val="44"/>
        </w:rPr>
      </w:pPr>
      <w:r>
        <w:rPr>
          <w:rFonts w:hint="eastAsia" w:ascii="黑体" w:hAnsi="黑体" w:eastAsia="黑体" w:cs="黑体"/>
          <w:w w:val="80"/>
          <w:kern w:val="0"/>
          <w:sz w:val="44"/>
          <w:szCs w:val="44"/>
        </w:rPr>
        <w:t>项目支出绩效评价报告</w:t>
      </w:r>
    </w:p>
    <w:p w14:paraId="64A94C59">
      <w:pPr>
        <w:spacing w:line="560" w:lineRule="exact"/>
        <w:jc w:val="center"/>
        <w:rPr>
          <w:rFonts w:ascii="华文中宋" w:hAnsi="华文中宋" w:eastAsia="华文中宋" w:cs="宋体"/>
          <w:b/>
          <w:kern w:val="0"/>
          <w:sz w:val="52"/>
          <w:szCs w:val="52"/>
        </w:rPr>
      </w:pPr>
    </w:p>
    <w:p w14:paraId="3ECED032">
      <w:pPr>
        <w:spacing w:line="600" w:lineRule="exact"/>
        <w:ind w:firstLine="640" w:firstLineChars="200"/>
        <w:rPr>
          <w:rFonts w:ascii="黑体" w:hAnsi="黑体" w:eastAsia="黑体"/>
          <w:sz w:val="32"/>
          <w:szCs w:val="32"/>
        </w:rPr>
      </w:pPr>
      <w:r>
        <w:rPr>
          <w:rFonts w:hint="eastAsia" w:ascii="黑体" w:hAnsi="黑体" w:eastAsia="黑体"/>
          <w:sz w:val="32"/>
          <w:szCs w:val="32"/>
        </w:rPr>
        <w:t>一、基本情况</w:t>
      </w:r>
    </w:p>
    <w:p w14:paraId="60BB5E90">
      <w:pPr>
        <w:spacing w:line="600" w:lineRule="exact"/>
        <w:ind w:firstLine="643" w:firstLineChars="200"/>
        <w:outlineLvl w:val="0"/>
        <w:rPr>
          <w:rFonts w:ascii="仿宋" w:hAnsi="仿宋" w:eastAsia="仿宋" w:cs="仿宋"/>
          <w:b/>
          <w:bCs/>
          <w:sz w:val="32"/>
          <w:szCs w:val="32"/>
        </w:rPr>
      </w:pPr>
      <w:r>
        <w:rPr>
          <w:rFonts w:hint="eastAsia" w:ascii="仿宋" w:hAnsi="仿宋" w:eastAsia="仿宋" w:cs="仿宋"/>
          <w:b/>
          <w:bCs/>
          <w:sz w:val="32"/>
          <w:szCs w:val="32"/>
        </w:rPr>
        <w:t>（一）项目概况</w:t>
      </w:r>
    </w:p>
    <w:p w14:paraId="496FFEE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pPr>
      <w:r>
        <w:rPr>
          <w:rFonts w:hint="eastAsia" w:ascii="仿宋" w:hAnsi="仿宋" w:eastAsia="仿宋" w:cs="仿宋"/>
          <w:b/>
          <w:bCs/>
          <w:sz w:val="32"/>
          <w:szCs w:val="32"/>
        </w:rPr>
        <w:t>1.项目背景：</w:t>
      </w:r>
      <w:r>
        <w:rPr>
          <w:rStyle w:val="22"/>
          <w:rFonts w:hint="eastAsia" w:ascii="仿宋" w:hAnsi="仿宋" w:eastAsia="仿宋" w:cs="仿宋"/>
          <w:b w:val="0"/>
          <w:spacing w:val="-4"/>
          <w:sz w:val="32"/>
          <w:szCs w:val="32"/>
          <w:lang w:val="en-US" w:eastAsia="zh-CN"/>
        </w:rPr>
        <w:t>根据中共中央 国务院关于《加强和改进新形势下高校思想政治工作的意见》以及习近平总书记在全国高校思想政治工作会议上关于高校思想政治工作关系高校培养什么样的人、如何培养人、为谁培养人的理论指示精神，结合自治区下发的相关文件要求。学院坚持把立德树人作为中心环节，把思想政治工作贯穿教育教学全过程，实现全程育人、全方位育人。立足办好疆内特色高职院校，强化问题意</w:t>
      </w:r>
      <w:r>
        <w:rPr>
          <w:rStyle w:val="22"/>
          <w:rFonts w:hint="eastAsia" w:ascii="仿宋" w:hAnsi="仿宋" w:eastAsia="仿宋" w:cs="仿宋"/>
          <w:b w:val="0"/>
          <w:spacing w:val="-4"/>
          <w:sz w:val="32"/>
          <w:szCs w:val="32"/>
        </w:rPr>
        <w:t>识、坚持问题导向，筑牢思想政治阵地。</w:t>
      </w:r>
    </w:p>
    <w:p w14:paraId="6149529B">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22"/>
          <w:rFonts w:hint="eastAsia" w:ascii="仿宋" w:hAnsi="仿宋" w:eastAsia="仿宋" w:cs="仿宋"/>
          <w:b w:val="0"/>
          <w:spacing w:val="-4"/>
          <w:sz w:val="32"/>
          <w:szCs w:val="32"/>
        </w:rPr>
      </w:pPr>
      <w:r>
        <w:rPr>
          <w:rStyle w:val="22"/>
          <w:rFonts w:hint="eastAsia" w:ascii="仿宋" w:hAnsi="仿宋" w:eastAsia="仿宋" w:cs="仿宋"/>
          <w:b w:val="0"/>
          <w:spacing w:val="-4"/>
          <w:sz w:val="32"/>
          <w:szCs w:val="32"/>
        </w:rPr>
        <w:t>学院严格按照2018年教育部</w:t>
      </w:r>
      <w:r>
        <w:rPr>
          <w:rStyle w:val="22"/>
          <w:rFonts w:hint="eastAsia" w:ascii="仿宋" w:hAnsi="仿宋" w:eastAsia="仿宋" w:cs="仿宋"/>
          <w:b w:val="0"/>
          <w:spacing w:val="-4"/>
          <w:sz w:val="32"/>
          <w:szCs w:val="32"/>
          <w:lang w:eastAsia="zh-CN"/>
        </w:rPr>
        <w:t>下发的</w:t>
      </w:r>
      <w:r>
        <w:rPr>
          <w:rStyle w:val="22"/>
          <w:rFonts w:hint="eastAsia" w:ascii="仿宋" w:hAnsi="仿宋" w:eastAsia="仿宋" w:cs="仿宋"/>
          <w:b w:val="0"/>
          <w:spacing w:val="-4"/>
          <w:sz w:val="32"/>
          <w:szCs w:val="32"/>
        </w:rPr>
        <w:t>《高校思想政治工作专项资金管理暂行办法》要求开展专项经费的使用，在深入学习习近平总书记系列重要讲话精神</w:t>
      </w:r>
      <w:r>
        <w:rPr>
          <w:rStyle w:val="22"/>
          <w:rFonts w:hint="eastAsia" w:ascii="仿宋" w:hAnsi="仿宋" w:eastAsia="仿宋" w:cs="仿宋"/>
          <w:b w:val="0"/>
          <w:spacing w:val="-4"/>
          <w:sz w:val="32"/>
          <w:szCs w:val="32"/>
          <w:lang w:eastAsia="zh-CN"/>
        </w:rPr>
        <w:t>、</w:t>
      </w:r>
      <w:r>
        <w:rPr>
          <w:rStyle w:val="22"/>
          <w:rFonts w:hint="eastAsia" w:ascii="仿宋" w:hAnsi="仿宋" w:eastAsia="仿宋" w:cs="仿宋"/>
          <w:b w:val="0"/>
          <w:spacing w:val="-4"/>
          <w:sz w:val="32"/>
          <w:szCs w:val="32"/>
        </w:rPr>
        <w:t>加强大学生理想信念教育，培育和践行社会主义核心价值观，坚定</w:t>
      </w:r>
      <w:r>
        <w:rPr>
          <w:rStyle w:val="22"/>
          <w:rFonts w:hint="eastAsia" w:ascii="仿宋" w:hAnsi="仿宋" w:eastAsia="仿宋" w:cs="仿宋"/>
          <w:b w:val="0"/>
          <w:spacing w:val="-4"/>
          <w:sz w:val="32"/>
          <w:szCs w:val="32"/>
          <w:lang w:eastAsia="zh-CN"/>
        </w:rPr>
        <w:t>四个自信，</w:t>
      </w:r>
      <w:r>
        <w:rPr>
          <w:rStyle w:val="22"/>
          <w:rFonts w:hint="eastAsia" w:ascii="仿宋" w:hAnsi="仿宋" w:eastAsia="仿宋" w:cs="仿宋"/>
          <w:b w:val="0"/>
          <w:spacing w:val="-4"/>
          <w:sz w:val="32"/>
          <w:szCs w:val="32"/>
        </w:rPr>
        <w:t>弘扬中华优秀传统文化和革命文化、爱国主义</w:t>
      </w:r>
      <w:r>
        <w:rPr>
          <w:rStyle w:val="22"/>
          <w:rFonts w:hint="eastAsia" w:ascii="仿宋" w:hAnsi="仿宋" w:eastAsia="仿宋" w:cs="仿宋"/>
          <w:b w:val="0"/>
          <w:spacing w:val="-4"/>
          <w:sz w:val="32"/>
          <w:szCs w:val="32"/>
          <w:lang w:eastAsia="zh-CN"/>
        </w:rPr>
        <w:t>精神等方面着力，</w:t>
      </w:r>
      <w:r>
        <w:rPr>
          <w:rStyle w:val="22"/>
          <w:rFonts w:hint="eastAsia" w:ascii="仿宋" w:hAnsi="仿宋" w:eastAsia="仿宋" w:cs="仿宋"/>
          <w:b w:val="0"/>
          <w:spacing w:val="-4"/>
          <w:sz w:val="32"/>
          <w:szCs w:val="32"/>
        </w:rPr>
        <w:t>全面提升高校思想政治工作质量上取得成效。</w:t>
      </w:r>
    </w:p>
    <w:p w14:paraId="79448AD8">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9"/>
        <w:rPr>
          <w:rStyle w:val="22"/>
          <w:rFonts w:ascii="仿宋" w:hAnsi="仿宋" w:eastAsia="仿宋" w:cs="仿宋"/>
          <w:b w:val="0"/>
          <w:spacing w:val="-4"/>
          <w:sz w:val="32"/>
          <w:szCs w:val="32"/>
        </w:rPr>
      </w:pPr>
      <w:r>
        <w:rPr>
          <w:rFonts w:hint="eastAsia" w:ascii="仿宋" w:hAnsi="仿宋" w:eastAsia="仿宋" w:cs="仿宋"/>
          <w:b/>
          <w:bCs/>
          <w:sz w:val="32"/>
          <w:szCs w:val="32"/>
        </w:rPr>
        <w:t>2.项目主要内容及实施情况：</w:t>
      </w:r>
      <w:r>
        <w:rPr>
          <w:rStyle w:val="22"/>
          <w:rFonts w:hint="eastAsia" w:ascii="仿宋" w:hAnsi="仿宋" w:eastAsia="仿宋" w:cs="仿宋"/>
          <w:b w:val="0"/>
          <w:spacing w:val="-4"/>
          <w:sz w:val="32"/>
          <w:szCs w:val="32"/>
        </w:rPr>
        <w:t>高校思政教育工作是学院各项工作的重中之重，涉及思想政治理论教育、思政课程建设、思政教师培训、学生培养体系建设以及校园文化建设等方面。根据要求将学校思想政治理论教育专项经费纳入年度预算，用于开展上述大思政活动，并支付产生的相关费用，经费支出程序规范，落实有力。</w:t>
      </w:r>
    </w:p>
    <w:p w14:paraId="4A80F298">
      <w:pPr>
        <w:spacing w:line="60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3.资金投入和使用情况：</w:t>
      </w:r>
    </w:p>
    <w:p w14:paraId="30ABD3A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资金投入情况：该项目年初预算数</w:t>
      </w:r>
      <w:r>
        <w:rPr>
          <w:rStyle w:val="22"/>
          <w:rFonts w:hint="eastAsia" w:ascii="仿宋" w:hAnsi="仿宋" w:eastAsia="仿宋" w:cs="仿宋"/>
          <w:b w:val="0"/>
          <w:spacing w:val="-4"/>
          <w:sz w:val="32"/>
          <w:szCs w:val="32"/>
          <w:lang w:val="en-US" w:eastAsia="zh-CN"/>
        </w:rPr>
        <w:t>50</w:t>
      </w:r>
      <w:r>
        <w:rPr>
          <w:rStyle w:val="22"/>
          <w:rFonts w:hint="eastAsia" w:ascii="仿宋" w:hAnsi="仿宋" w:eastAsia="仿宋" w:cs="仿宋"/>
          <w:b w:val="0"/>
          <w:spacing w:val="-4"/>
          <w:sz w:val="32"/>
          <w:szCs w:val="32"/>
        </w:rPr>
        <w:t>万元，全年预算数</w:t>
      </w:r>
      <w:r>
        <w:rPr>
          <w:rStyle w:val="22"/>
          <w:rFonts w:hint="eastAsia" w:ascii="仿宋" w:hAnsi="仿宋" w:eastAsia="仿宋" w:cs="仿宋"/>
          <w:b w:val="0"/>
          <w:spacing w:val="-4"/>
          <w:sz w:val="32"/>
          <w:szCs w:val="32"/>
          <w:lang w:val="en-US" w:eastAsia="zh-CN"/>
        </w:rPr>
        <w:t>50</w:t>
      </w:r>
      <w:r>
        <w:rPr>
          <w:rStyle w:val="22"/>
          <w:rFonts w:hint="eastAsia" w:ascii="仿宋" w:hAnsi="仿宋" w:eastAsia="仿宋" w:cs="仿宋"/>
          <w:b w:val="0"/>
          <w:spacing w:val="-4"/>
          <w:sz w:val="32"/>
          <w:szCs w:val="32"/>
        </w:rPr>
        <w:t>万元，实际总投入</w:t>
      </w:r>
      <w:r>
        <w:rPr>
          <w:rStyle w:val="22"/>
          <w:rFonts w:hint="eastAsia" w:ascii="仿宋" w:hAnsi="仿宋" w:eastAsia="仿宋" w:cs="仿宋"/>
          <w:b w:val="0"/>
          <w:spacing w:val="-4"/>
          <w:sz w:val="32"/>
          <w:szCs w:val="32"/>
          <w:lang w:val="en-US" w:eastAsia="zh-CN"/>
        </w:rPr>
        <w:t>47.62</w:t>
      </w:r>
      <w:r>
        <w:rPr>
          <w:rStyle w:val="22"/>
          <w:rFonts w:hint="eastAsia" w:ascii="仿宋" w:hAnsi="仿宋" w:eastAsia="仿宋" w:cs="仿宋"/>
          <w:b w:val="0"/>
          <w:spacing w:val="-4"/>
          <w:sz w:val="32"/>
          <w:szCs w:val="32"/>
        </w:rPr>
        <w:t>万元。</w:t>
      </w:r>
      <w:r>
        <w:rPr>
          <w:rStyle w:val="22"/>
          <w:rFonts w:hint="eastAsia" w:ascii="仿宋" w:hAnsi="仿宋" w:eastAsia="仿宋" w:cs="仿宋"/>
          <w:b w:val="0"/>
          <w:spacing w:val="-4"/>
          <w:sz w:val="32"/>
          <w:szCs w:val="32"/>
          <w:lang w:eastAsia="zh-CN"/>
        </w:rPr>
        <w:t>思政部及党委组织部部分项目通过党费及其他项目渠道支出未从思政经费支出</w:t>
      </w:r>
      <w:r>
        <w:rPr>
          <w:rStyle w:val="22"/>
          <w:rFonts w:hint="eastAsia" w:ascii="仿宋" w:hAnsi="仿宋" w:eastAsia="仿宋" w:cs="仿宋"/>
          <w:b w:val="0"/>
          <w:spacing w:val="-4"/>
          <w:sz w:val="32"/>
          <w:szCs w:val="32"/>
        </w:rPr>
        <w:t>。</w:t>
      </w:r>
    </w:p>
    <w:p w14:paraId="78C6D9B6">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资金使用情况：该项目年初预算数</w:t>
      </w:r>
      <w:r>
        <w:rPr>
          <w:rStyle w:val="22"/>
          <w:rFonts w:hint="eastAsia" w:ascii="仿宋" w:hAnsi="仿宋" w:eastAsia="仿宋" w:cs="仿宋"/>
          <w:b w:val="0"/>
          <w:spacing w:val="-4"/>
          <w:sz w:val="32"/>
          <w:szCs w:val="32"/>
          <w:lang w:val="en-US" w:eastAsia="zh-CN"/>
        </w:rPr>
        <w:t>50</w:t>
      </w:r>
      <w:r>
        <w:rPr>
          <w:rStyle w:val="22"/>
          <w:rFonts w:hint="eastAsia" w:ascii="仿宋" w:hAnsi="仿宋" w:eastAsia="仿宋" w:cs="仿宋"/>
          <w:b w:val="0"/>
          <w:spacing w:val="-4"/>
          <w:sz w:val="32"/>
          <w:szCs w:val="32"/>
        </w:rPr>
        <w:t>万元，全年预算数</w:t>
      </w:r>
      <w:r>
        <w:rPr>
          <w:rStyle w:val="22"/>
          <w:rFonts w:hint="eastAsia" w:ascii="仿宋" w:hAnsi="仿宋" w:eastAsia="仿宋" w:cs="仿宋"/>
          <w:b w:val="0"/>
          <w:spacing w:val="-4"/>
          <w:sz w:val="32"/>
          <w:szCs w:val="32"/>
          <w:lang w:val="en-US" w:eastAsia="zh-CN"/>
        </w:rPr>
        <w:t>50</w:t>
      </w:r>
      <w:r>
        <w:rPr>
          <w:rStyle w:val="22"/>
          <w:rFonts w:hint="eastAsia" w:ascii="仿宋" w:hAnsi="仿宋" w:eastAsia="仿宋" w:cs="仿宋"/>
          <w:b w:val="0"/>
          <w:spacing w:val="-4"/>
          <w:sz w:val="32"/>
          <w:szCs w:val="32"/>
        </w:rPr>
        <w:t>万元，全年执行数</w:t>
      </w:r>
      <w:r>
        <w:rPr>
          <w:rStyle w:val="22"/>
          <w:rFonts w:hint="eastAsia" w:ascii="仿宋" w:hAnsi="仿宋" w:eastAsia="仿宋" w:cs="仿宋"/>
          <w:b w:val="0"/>
          <w:spacing w:val="-4"/>
          <w:sz w:val="32"/>
          <w:szCs w:val="32"/>
          <w:lang w:val="en-US" w:eastAsia="zh-CN"/>
        </w:rPr>
        <w:t>47.62</w:t>
      </w:r>
      <w:r>
        <w:rPr>
          <w:rStyle w:val="22"/>
          <w:rFonts w:hint="eastAsia" w:ascii="仿宋" w:hAnsi="仿宋" w:eastAsia="仿宋" w:cs="仿宋"/>
          <w:b w:val="0"/>
          <w:spacing w:val="-4"/>
          <w:sz w:val="32"/>
          <w:szCs w:val="32"/>
        </w:rPr>
        <w:t>万元，预算执行率为</w:t>
      </w:r>
      <w:r>
        <w:rPr>
          <w:rStyle w:val="22"/>
          <w:rFonts w:hint="eastAsia" w:ascii="仿宋" w:hAnsi="仿宋" w:eastAsia="仿宋" w:cs="仿宋"/>
          <w:b w:val="0"/>
          <w:spacing w:val="-4"/>
          <w:sz w:val="32"/>
          <w:szCs w:val="32"/>
          <w:lang w:val="en-US" w:eastAsia="zh-CN"/>
        </w:rPr>
        <w:t>95.24</w:t>
      </w:r>
      <w:r>
        <w:rPr>
          <w:rStyle w:val="22"/>
          <w:rFonts w:hint="eastAsia" w:ascii="仿宋" w:hAnsi="仿宋" w:eastAsia="仿宋" w:cs="仿宋"/>
          <w:b w:val="0"/>
          <w:spacing w:val="-4"/>
          <w:sz w:val="32"/>
          <w:szCs w:val="32"/>
        </w:rPr>
        <w:t>%，用于：</w:t>
      </w:r>
      <w:r>
        <w:rPr>
          <w:rStyle w:val="22"/>
          <w:rFonts w:hint="eastAsia" w:ascii="仿宋" w:hAnsi="仿宋" w:eastAsia="仿宋" w:cs="仿宋"/>
          <w:b w:val="0"/>
          <w:spacing w:val="-4"/>
          <w:sz w:val="32"/>
          <w:szCs w:val="32"/>
          <w:lang w:eastAsia="zh-CN"/>
        </w:rPr>
        <w:t>校园文化</w:t>
      </w:r>
      <w:r>
        <w:rPr>
          <w:rStyle w:val="22"/>
          <w:rFonts w:hint="eastAsia" w:ascii="仿宋" w:hAnsi="仿宋" w:eastAsia="仿宋" w:cs="仿宋"/>
          <w:b w:val="0"/>
          <w:spacing w:val="-4"/>
          <w:sz w:val="32"/>
          <w:szCs w:val="32"/>
        </w:rPr>
        <w:t>、</w:t>
      </w:r>
      <w:r>
        <w:rPr>
          <w:rStyle w:val="22"/>
          <w:rFonts w:hint="eastAsia" w:ascii="仿宋" w:hAnsi="仿宋" w:eastAsia="仿宋" w:cs="仿宋"/>
          <w:b w:val="0"/>
          <w:spacing w:val="-4"/>
          <w:sz w:val="32"/>
          <w:szCs w:val="32"/>
          <w:lang w:eastAsia="zh-CN"/>
        </w:rPr>
        <w:t>阵地建设</w:t>
      </w:r>
      <w:r>
        <w:rPr>
          <w:rStyle w:val="22"/>
          <w:rFonts w:hint="eastAsia" w:ascii="仿宋" w:hAnsi="仿宋" w:eastAsia="仿宋" w:cs="仿宋"/>
          <w:b w:val="0"/>
          <w:spacing w:val="-4"/>
          <w:sz w:val="32"/>
          <w:szCs w:val="32"/>
        </w:rPr>
        <w:t>、党建教育阵地建设、</w:t>
      </w:r>
      <w:r>
        <w:rPr>
          <w:rStyle w:val="22"/>
          <w:rFonts w:hint="eastAsia" w:ascii="仿宋" w:hAnsi="仿宋" w:eastAsia="仿宋" w:cs="仿宋"/>
          <w:b w:val="0"/>
          <w:spacing w:val="-4"/>
          <w:sz w:val="32"/>
          <w:szCs w:val="32"/>
          <w:lang w:eastAsia="zh-CN"/>
        </w:rPr>
        <w:t>主题教育</w:t>
      </w:r>
      <w:r>
        <w:rPr>
          <w:rStyle w:val="22"/>
          <w:rFonts w:hint="eastAsia" w:ascii="仿宋" w:hAnsi="仿宋" w:eastAsia="仿宋" w:cs="仿宋"/>
          <w:b w:val="0"/>
          <w:spacing w:val="-4"/>
          <w:sz w:val="32"/>
          <w:szCs w:val="32"/>
        </w:rPr>
        <w:t>、校园文化更新、校园活动场地建设等。</w:t>
      </w:r>
    </w:p>
    <w:p w14:paraId="42F862C7">
      <w:pPr>
        <w:spacing w:line="600" w:lineRule="exact"/>
        <w:ind w:firstLine="627" w:firstLineChars="200"/>
        <w:rPr>
          <w:rFonts w:ascii="仿宋" w:hAnsi="仿宋" w:eastAsia="仿宋" w:cs="仿宋"/>
          <w:b/>
          <w:sz w:val="32"/>
          <w:szCs w:val="32"/>
        </w:rPr>
      </w:pPr>
      <w:r>
        <w:rPr>
          <w:rStyle w:val="22"/>
          <w:rFonts w:hint="eastAsia" w:ascii="仿宋" w:hAnsi="仿宋" w:eastAsia="仿宋" w:cs="仿宋"/>
          <w:bCs w:val="0"/>
          <w:spacing w:val="-4"/>
          <w:sz w:val="32"/>
          <w:szCs w:val="32"/>
        </w:rPr>
        <w:t>（二）</w:t>
      </w:r>
      <w:r>
        <w:rPr>
          <w:rFonts w:hint="eastAsia" w:ascii="仿宋" w:hAnsi="仿宋" w:eastAsia="仿宋" w:cs="仿宋"/>
          <w:b/>
          <w:sz w:val="32"/>
          <w:szCs w:val="32"/>
        </w:rPr>
        <w:t>项目绩效目标</w:t>
      </w:r>
    </w:p>
    <w:p w14:paraId="440F2A2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200"/>
        <w:jc w:val="both"/>
        <w:textAlignment w:val="auto"/>
        <w:outlineLvl w:val="9"/>
        <w:rPr>
          <w:rStyle w:val="22"/>
          <w:rFonts w:hint="eastAsia" w:ascii="仿宋" w:hAnsi="仿宋" w:eastAsia="仿宋" w:cs="仿宋"/>
          <w:b w:val="0"/>
          <w:spacing w:val="-4"/>
          <w:sz w:val="32"/>
          <w:szCs w:val="32"/>
        </w:rPr>
      </w:pPr>
      <w:r>
        <w:rPr>
          <w:rFonts w:hint="eastAsia" w:ascii="仿宋" w:hAnsi="仿宋" w:eastAsia="仿宋" w:cs="仿宋"/>
          <w:b/>
          <w:spacing w:val="-4"/>
          <w:sz w:val="32"/>
          <w:szCs w:val="32"/>
        </w:rPr>
        <w:t>1.项目总体目标：</w:t>
      </w:r>
      <w:r>
        <w:rPr>
          <w:rStyle w:val="22"/>
          <w:rFonts w:hint="eastAsia" w:ascii="仿宋" w:hAnsi="仿宋" w:eastAsia="仿宋" w:cs="仿宋"/>
          <w:b w:val="0"/>
          <w:spacing w:val="-4"/>
          <w:sz w:val="32"/>
          <w:szCs w:val="32"/>
        </w:rPr>
        <w:t>全面落实习近平总书记在全国高校思想政治工作会议上的重要讲话精神，切实推动把思想政治工作贯穿教育教学全过程，实现全程育人、全方位育人，</w:t>
      </w:r>
      <w:r>
        <w:rPr>
          <w:rStyle w:val="22"/>
          <w:rFonts w:hint="eastAsia" w:ascii="仿宋" w:hAnsi="仿宋" w:eastAsia="仿宋" w:cs="仿宋"/>
          <w:b w:val="0"/>
          <w:spacing w:val="-4"/>
          <w:sz w:val="32"/>
          <w:szCs w:val="32"/>
          <w:lang w:eastAsia="zh-CN"/>
        </w:rPr>
        <w:t>提升学院师生的思想政治意识、满意度、获得感、幸福感</w:t>
      </w:r>
      <w:r>
        <w:rPr>
          <w:rStyle w:val="22"/>
          <w:rFonts w:hint="eastAsia" w:ascii="仿宋" w:hAnsi="仿宋" w:eastAsia="仿宋" w:cs="仿宋"/>
          <w:b w:val="0"/>
          <w:spacing w:val="-4"/>
          <w:sz w:val="32"/>
          <w:szCs w:val="32"/>
        </w:rPr>
        <w:t>。</w:t>
      </w:r>
    </w:p>
    <w:p w14:paraId="32A9737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200"/>
        <w:jc w:val="both"/>
        <w:textAlignment w:val="auto"/>
        <w:outlineLvl w:val="9"/>
        <w:rPr>
          <w:rStyle w:val="22"/>
          <w:rFonts w:ascii="仿宋" w:hAnsi="仿宋" w:eastAsia="仿宋" w:cs="仿宋"/>
          <w:b w:val="0"/>
          <w:spacing w:val="-4"/>
          <w:sz w:val="32"/>
          <w:szCs w:val="32"/>
        </w:rPr>
      </w:pPr>
      <w:r>
        <w:rPr>
          <w:rFonts w:hint="eastAsia" w:ascii="仿宋" w:hAnsi="仿宋" w:eastAsia="仿宋" w:cs="仿宋"/>
          <w:b/>
          <w:spacing w:val="-4"/>
          <w:sz w:val="32"/>
          <w:szCs w:val="32"/>
        </w:rPr>
        <w:t>2.项目阶段性目标：</w:t>
      </w:r>
      <w:r>
        <w:rPr>
          <w:rStyle w:val="22"/>
          <w:rFonts w:hint="eastAsia" w:ascii="仿宋" w:hAnsi="仿宋" w:eastAsia="仿宋" w:cs="仿宋"/>
          <w:b w:val="0"/>
          <w:spacing w:val="-4"/>
          <w:sz w:val="32"/>
          <w:szCs w:val="32"/>
        </w:rPr>
        <w:t>切实推动把思想政治工作贯穿学校教育教学全过程，实现全程育人、全方位育人，努力开创学院思政工作新局面。同时以全国高校思想政治工作会议精神和自治区高校思想政治工作会议精神为指引,围绕立德树人、提高学生思想政治素质、加强师德师风建设等方面切实做好相关工作。</w:t>
      </w:r>
    </w:p>
    <w:p w14:paraId="415EF2D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一季度，落实春季开学学生集中教育学习情况；</w:t>
      </w:r>
      <w:r>
        <w:rPr>
          <w:rStyle w:val="22"/>
          <w:rFonts w:hint="eastAsia" w:ascii="仿宋" w:hAnsi="仿宋" w:eastAsia="仿宋" w:cs="仿宋"/>
          <w:b w:val="0"/>
          <w:spacing w:val="-4"/>
          <w:sz w:val="32"/>
          <w:szCs w:val="32"/>
          <w:lang w:eastAsia="zh-CN"/>
        </w:rPr>
        <w:t>迎新生氛围营造</w:t>
      </w:r>
      <w:r>
        <w:rPr>
          <w:rStyle w:val="22"/>
          <w:rFonts w:hint="eastAsia" w:ascii="仿宋" w:hAnsi="仿宋" w:eastAsia="仿宋" w:cs="仿宋"/>
          <w:b w:val="0"/>
          <w:spacing w:val="-4"/>
          <w:sz w:val="32"/>
          <w:szCs w:val="32"/>
        </w:rPr>
        <w:t>；学院组织各项活动场地布展、</w:t>
      </w:r>
      <w:r>
        <w:rPr>
          <w:rStyle w:val="22"/>
          <w:rFonts w:hint="eastAsia" w:ascii="仿宋" w:hAnsi="仿宋" w:eastAsia="仿宋" w:cs="仿宋"/>
          <w:b w:val="0"/>
          <w:spacing w:val="-4"/>
          <w:sz w:val="32"/>
          <w:szCs w:val="32"/>
          <w:lang w:eastAsia="zh-CN"/>
        </w:rPr>
        <w:t>运动会经费保障</w:t>
      </w:r>
      <w:r>
        <w:rPr>
          <w:rStyle w:val="22"/>
          <w:rFonts w:hint="eastAsia" w:ascii="仿宋" w:hAnsi="仿宋" w:eastAsia="仿宋" w:cs="仿宋"/>
          <w:b w:val="0"/>
          <w:spacing w:val="-4"/>
          <w:sz w:val="32"/>
          <w:szCs w:val="32"/>
        </w:rPr>
        <w:t>、文明校园氛围营造工作。二季度，</w:t>
      </w:r>
      <w:r>
        <w:rPr>
          <w:rStyle w:val="22"/>
          <w:rFonts w:hint="eastAsia" w:ascii="仿宋" w:hAnsi="仿宋" w:eastAsia="仿宋" w:cs="仿宋"/>
          <w:b w:val="0"/>
          <w:spacing w:val="-4"/>
          <w:sz w:val="32"/>
          <w:szCs w:val="32"/>
          <w:lang w:eastAsia="zh-CN"/>
        </w:rPr>
        <w:t>技能大赛及各类校园文化活动</w:t>
      </w:r>
      <w:r>
        <w:rPr>
          <w:rStyle w:val="22"/>
          <w:rFonts w:hint="eastAsia" w:ascii="仿宋" w:hAnsi="仿宋" w:eastAsia="仿宋" w:cs="仿宋"/>
          <w:b w:val="0"/>
          <w:spacing w:val="-4"/>
          <w:sz w:val="32"/>
          <w:szCs w:val="32"/>
        </w:rPr>
        <w:t>。三季度，</w:t>
      </w:r>
      <w:r>
        <w:rPr>
          <w:rStyle w:val="22"/>
          <w:rFonts w:hint="eastAsia" w:ascii="仿宋" w:hAnsi="仿宋" w:eastAsia="仿宋" w:cs="仿宋"/>
          <w:b w:val="0"/>
          <w:spacing w:val="-4"/>
          <w:sz w:val="32"/>
          <w:szCs w:val="32"/>
          <w:lang w:eastAsia="zh-CN"/>
        </w:rPr>
        <w:t>主题教育、宣传阵地维护及</w:t>
      </w:r>
      <w:r>
        <w:rPr>
          <w:rStyle w:val="22"/>
          <w:rFonts w:hint="eastAsia" w:ascii="仿宋" w:hAnsi="仿宋" w:eastAsia="仿宋" w:cs="仿宋"/>
          <w:b w:val="0"/>
          <w:spacing w:val="-4"/>
          <w:sz w:val="32"/>
          <w:szCs w:val="32"/>
        </w:rPr>
        <w:t>更换</w:t>
      </w:r>
      <w:r>
        <w:rPr>
          <w:rStyle w:val="22"/>
          <w:rFonts w:hint="eastAsia" w:ascii="仿宋" w:hAnsi="仿宋" w:eastAsia="仿宋" w:cs="仿宋"/>
          <w:b w:val="0"/>
          <w:spacing w:val="-4"/>
          <w:sz w:val="32"/>
          <w:szCs w:val="32"/>
          <w:lang w:eastAsia="zh-CN"/>
        </w:rPr>
        <w:t>、各类文化活动保障</w:t>
      </w:r>
      <w:r>
        <w:rPr>
          <w:rStyle w:val="22"/>
          <w:rFonts w:hint="eastAsia" w:ascii="仿宋" w:hAnsi="仿宋" w:eastAsia="仿宋" w:cs="仿宋"/>
          <w:b w:val="0"/>
          <w:spacing w:val="-4"/>
          <w:sz w:val="32"/>
          <w:szCs w:val="32"/>
        </w:rPr>
        <w:t>。四季度，</w:t>
      </w:r>
      <w:r>
        <w:rPr>
          <w:rStyle w:val="22"/>
          <w:rFonts w:hint="eastAsia" w:ascii="仿宋" w:hAnsi="仿宋" w:eastAsia="仿宋" w:cs="仿宋"/>
          <w:b w:val="0"/>
          <w:spacing w:val="-4"/>
          <w:sz w:val="32"/>
          <w:szCs w:val="32"/>
          <w:lang w:eastAsia="zh-CN"/>
        </w:rPr>
        <w:t>校园文化活动、招生宣传片制作</w:t>
      </w:r>
      <w:r>
        <w:rPr>
          <w:rStyle w:val="22"/>
          <w:rFonts w:hint="eastAsia" w:ascii="仿宋" w:hAnsi="仿宋" w:eastAsia="仿宋" w:cs="仿宋"/>
          <w:b w:val="0"/>
          <w:spacing w:val="-4"/>
          <w:sz w:val="32"/>
          <w:szCs w:val="32"/>
        </w:rPr>
        <w:t>。</w:t>
      </w:r>
    </w:p>
    <w:p w14:paraId="78F4CFE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ascii="黑体" w:hAnsi="黑体" w:eastAsia="黑体"/>
          <w:color w:val="FFFFFF" w:themeColor="background1"/>
          <w:sz w:val="32"/>
          <w:szCs w:val="32"/>
          <w14:textFill>
            <w14:solidFill>
              <w14:schemeClr w14:val="bg1"/>
            </w14:solidFill>
          </w14:textFill>
        </w:rPr>
      </w:pPr>
      <w:r>
        <w:rPr>
          <w:rFonts w:hint="eastAsia" w:ascii="黑体" w:hAnsi="黑体" w:eastAsia="黑体"/>
          <w:sz w:val="32"/>
          <w:szCs w:val="32"/>
        </w:rPr>
        <w:t>二、绩效评价工作开展情况</w:t>
      </w:r>
    </w:p>
    <w:p w14:paraId="7614684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rPr>
          <w:rFonts w:ascii="仿宋" w:hAnsi="仿宋" w:eastAsia="仿宋" w:cs="仿宋"/>
          <w:b/>
          <w:bCs/>
          <w:sz w:val="32"/>
          <w:szCs w:val="32"/>
        </w:rPr>
      </w:pPr>
      <w:r>
        <w:rPr>
          <w:rFonts w:hint="eastAsia" w:ascii="仿宋" w:hAnsi="仿宋" w:eastAsia="仿宋" w:cs="仿宋"/>
          <w:b/>
          <w:bCs/>
          <w:sz w:val="32"/>
          <w:szCs w:val="32"/>
        </w:rPr>
        <w:t>（一）绩效评价目的、对象和范围。</w:t>
      </w:r>
    </w:p>
    <w:p w14:paraId="2D8DC1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rPr>
          <w:rStyle w:val="22"/>
          <w:rFonts w:ascii="仿宋" w:hAnsi="仿宋" w:eastAsia="仿宋" w:cs="仿宋"/>
          <w:b w:val="0"/>
          <w:spacing w:val="-4"/>
          <w:sz w:val="32"/>
          <w:szCs w:val="32"/>
        </w:rPr>
      </w:pPr>
      <w:r>
        <w:rPr>
          <w:rFonts w:hint="eastAsia" w:ascii="仿宋" w:hAnsi="仿宋" w:eastAsia="仿宋" w:cs="仿宋"/>
          <w:b/>
          <w:bCs/>
          <w:sz w:val="32"/>
          <w:szCs w:val="32"/>
        </w:rPr>
        <w:t>1.绩效评价目的：</w:t>
      </w:r>
      <w:r>
        <w:rPr>
          <w:rStyle w:val="22"/>
          <w:rFonts w:hint="eastAsia" w:ascii="仿宋" w:hAnsi="仿宋" w:eastAsia="仿宋" w:cs="仿宋"/>
          <w:b w:val="0"/>
          <w:spacing w:val="-4"/>
          <w:sz w:val="32"/>
          <w:szCs w:val="32"/>
        </w:rPr>
        <w:t>通过绩效评价，客观地评判项目的管理绩效，了解和掌握思想政治教育工作专项经费的具体情况，评价该项目资金安排的科学性、合理性、规范性和资金的使用成效，及时总结项目管理经验，完善项目管理办法，提高项目管理水平和资金使用效益。促使我局根据绩效评价中发现的问题，认真加以整改，及时调整和完善单位的工作计划和绩效目标并加强项目管理，提高管理水平，同时为项目后续资金投入、分配和管理提供决策依据。</w:t>
      </w:r>
    </w:p>
    <w:p w14:paraId="430C4AC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rPr>
          <w:rStyle w:val="22"/>
          <w:rFonts w:ascii="仿宋" w:hAnsi="仿宋" w:eastAsia="仿宋" w:cs="仿宋"/>
          <w:b w:val="0"/>
          <w:spacing w:val="-4"/>
          <w:sz w:val="32"/>
          <w:szCs w:val="32"/>
        </w:rPr>
      </w:pPr>
      <w:r>
        <w:rPr>
          <w:rFonts w:hint="eastAsia" w:ascii="仿宋" w:hAnsi="仿宋" w:eastAsia="仿宋" w:cs="仿宋"/>
          <w:b/>
          <w:bCs/>
          <w:sz w:val="32"/>
          <w:szCs w:val="32"/>
        </w:rPr>
        <w:t>2.绩效评价对象：</w:t>
      </w:r>
      <w:r>
        <w:rPr>
          <w:rStyle w:val="22"/>
          <w:rFonts w:hint="eastAsia" w:ascii="仿宋" w:hAnsi="仿宋" w:eastAsia="仿宋" w:cs="仿宋"/>
          <w:b w:val="0"/>
          <w:spacing w:val="-4"/>
          <w:sz w:val="32"/>
          <w:szCs w:val="32"/>
        </w:rPr>
        <w:t>思想政治教育工作专项经费</w:t>
      </w:r>
    </w:p>
    <w:p w14:paraId="3EAB61F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200"/>
        <w:jc w:val="left"/>
        <w:textAlignment w:val="auto"/>
        <w:rPr>
          <w:rStyle w:val="22"/>
          <w:rFonts w:ascii="仿宋" w:hAnsi="仿宋" w:eastAsia="仿宋" w:cs="仿宋"/>
          <w:b w:val="0"/>
          <w:spacing w:val="-4"/>
          <w:sz w:val="32"/>
          <w:szCs w:val="32"/>
        </w:rPr>
      </w:pPr>
      <w:r>
        <w:rPr>
          <w:rStyle w:val="22"/>
          <w:rFonts w:hint="eastAsia" w:ascii="仿宋" w:hAnsi="仿宋" w:eastAsia="仿宋" w:cs="仿宋"/>
          <w:bCs w:val="0"/>
          <w:spacing w:val="-4"/>
          <w:sz w:val="32"/>
          <w:szCs w:val="32"/>
        </w:rPr>
        <w:t>3.</w:t>
      </w:r>
      <w:r>
        <w:rPr>
          <w:rFonts w:hint="eastAsia" w:ascii="仿宋" w:hAnsi="仿宋" w:eastAsia="仿宋" w:cs="仿宋"/>
          <w:b/>
          <w:sz w:val="32"/>
          <w:szCs w:val="32"/>
        </w:rPr>
        <w:t>绩效评价范围：</w:t>
      </w:r>
      <w:r>
        <w:rPr>
          <w:rStyle w:val="22"/>
          <w:rFonts w:hint="eastAsia" w:ascii="仿宋" w:hAnsi="仿宋" w:eastAsia="仿宋" w:cs="仿宋"/>
          <w:b w:val="0"/>
          <w:spacing w:val="-4"/>
          <w:sz w:val="32"/>
          <w:szCs w:val="32"/>
        </w:rPr>
        <w:t>本次评价从项目决策（包括绩效目标、决策过程）、项目管理（包括项目资金、项目实施）、项目产出（包括项目产出数量、产出质量、产出时效和产出成本）项目效益四个维度进行思想政治教育工作专项经费评价，评价核心为专项资金的支出完成情况和效果。</w:t>
      </w:r>
    </w:p>
    <w:p w14:paraId="7A1D441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0"/>
        <w:rPr>
          <w:rFonts w:ascii="仿宋" w:hAnsi="仿宋" w:eastAsia="仿宋" w:cs="仿宋"/>
          <w:b/>
          <w:bCs/>
          <w:sz w:val="32"/>
          <w:szCs w:val="32"/>
        </w:rPr>
      </w:pPr>
      <w:r>
        <w:rPr>
          <w:rFonts w:hint="eastAsia" w:ascii="仿宋" w:hAnsi="仿宋" w:eastAsia="仿宋" w:cs="仿宋"/>
          <w:b/>
          <w:bCs/>
          <w:sz w:val="32"/>
          <w:szCs w:val="32"/>
        </w:rPr>
        <w:t>（二）绩效评价原则、评价指标体系、评价方法、评价标准</w:t>
      </w:r>
    </w:p>
    <w:p w14:paraId="7A7EDA3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200"/>
        <w:jc w:val="left"/>
        <w:textAlignment w:val="auto"/>
        <w:rPr>
          <w:rStyle w:val="22"/>
          <w:rFonts w:ascii="仿宋" w:hAnsi="仿宋" w:eastAsia="仿宋" w:cs="仿宋"/>
          <w:b w:val="0"/>
          <w:spacing w:val="-4"/>
          <w:sz w:val="32"/>
          <w:szCs w:val="32"/>
        </w:rPr>
      </w:pPr>
      <w:r>
        <w:rPr>
          <w:rStyle w:val="22"/>
          <w:rFonts w:hint="eastAsia" w:ascii="仿宋" w:hAnsi="仿宋" w:eastAsia="仿宋" w:cs="仿宋"/>
          <w:spacing w:val="-4"/>
          <w:sz w:val="32"/>
          <w:szCs w:val="32"/>
        </w:rPr>
        <w:t>1.绩效评价原则：</w:t>
      </w:r>
    </w:p>
    <w:p w14:paraId="7FBF9A8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left"/>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（1）科学公正。绩效评价应当运用科学合理的方法，按照规范的程序对项目绩效进行客观公正的反应。</w:t>
      </w:r>
    </w:p>
    <w:p w14:paraId="2197649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left"/>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（2）统筹兼顾。绩效评价应职责明确，各有侧重，相互衔接，单位自评应由项目单位自主实施，即“谁支出，谁自评”。</w:t>
      </w:r>
    </w:p>
    <w:p w14:paraId="253CEB4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left"/>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（3）激励约束。绩效评价结果应与预算安排，政策调整改进管理实质性挂钩体现奖优罚劣和激励相容，有效要安排、低效要压减、无效要问责。</w:t>
      </w:r>
    </w:p>
    <w:p w14:paraId="2D1E85F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left"/>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（4）公开透明。绩效评价结果应依法依规公开，并自觉接受社会监督。 </w:t>
      </w:r>
    </w:p>
    <w:p w14:paraId="7D64487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7" w:firstLineChars="200"/>
        <w:jc w:val="left"/>
        <w:textAlignment w:val="auto"/>
        <w:rPr>
          <w:rFonts w:ascii="仿宋" w:hAnsi="仿宋" w:eastAsia="仿宋" w:cs="仿宋"/>
          <w:bCs/>
          <w:spacing w:val="-4"/>
          <w:sz w:val="32"/>
          <w:szCs w:val="32"/>
        </w:rPr>
      </w:pPr>
      <w:r>
        <w:rPr>
          <w:rFonts w:hint="eastAsia" w:ascii="仿宋" w:hAnsi="仿宋" w:eastAsia="仿宋" w:cs="仿宋"/>
          <w:b/>
          <w:spacing w:val="-4"/>
          <w:sz w:val="32"/>
          <w:szCs w:val="32"/>
        </w:rPr>
        <w:t>2.评价指标体系：</w:t>
      </w:r>
      <w:r>
        <w:rPr>
          <w:rStyle w:val="22"/>
          <w:rFonts w:hint="eastAsia" w:ascii="仿宋" w:hAnsi="仿宋" w:eastAsia="仿宋" w:cs="仿宋"/>
          <w:b w:val="0"/>
          <w:spacing w:val="-4"/>
          <w:sz w:val="32"/>
          <w:szCs w:val="32"/>
        </w:rPr>
        <w:t>本次绩效评价采用《项目支出绩效评价管理办法》（财预〔2020〕10号）文件规定，确定绩效评价指标体系，按下表设置分值。</w:t>
      </w:r>
    </w:p>
    <w:tbl>
      <w:tblPr>
        <w:tblStyle w:val="20"/>
        <w:tblW w:w="692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67"/>
        <w:gridCol w:w="1113"/>
        <w:gridCol w:w="2509"/>
        <w:gridCol w:w="949"/>
        <w:gridCol w:w="1187"/>
      </w:tblGrid>
      <w:tr w14:paraId="1D5EB9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33" w:hRule="atLeast"/>
          <w:tblHeader/>
          <w:jc w:val="center"/>
        </w:trPr>
        <w:tc>
          <w:tcPr>
            <w:tcW w:w="1167" w:type="dxa"/>
            <w:shd w:val="clear" w:color="auto" w:fill="auto"/>
            <w:vAlign w:val="center"/>
          </w:tcPr>
          <w:p w14:paraId="265A88BD">
            <w:pPr>
              <w:widowControl/>
              <w:snapToGrid w:val="0"/>
              <w:jc w:val="center"/>
              <w:rPr>
                <w:rFonts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一级指标</w:t>
            </w:r>
          </w:p>
        </w:tc>
        <w:tc>
          <w:tcPr>
            <w:tcW w:w="1113" w:type="dxa"/>
            <w:shd w:val="clear" w:color="auto" w:fill="auto"/>
            <w:vAlign w:val="center"/>
          </w:tcPr>
          <w:p w14:paraId="75962A41">
            <w:pPr>
              <w:widowControl/>
              <w:snapToGrid w:val="0"/>
              <w:jc w:val="center"/>
              <w:rPr>
                <w:rFonts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二级指标</w:t>
            </w:r>
          </w:p>
        </w:tc>
        <w:tc>
          <w:tcPr>
            <w:tcW w:w="2509" w:type="dxa"/>
            <w:shd w:val="clear" w:color="auto" w:fill="auto"/>
            <w:vAlign w:val="center"/>
          </w:tcPr>
          <w:p w14:paraId="265052AC">
            <w:pPr>
              <w:widowControl/>
              <w:snapToGrid w:val="0"/>
              <w:jc w:val="center"/>
              <w:rPr>
                <w:rFonts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三级指标</w:t>
            </w:r>
          </w:p>
        </w:tc>
        <w:tc>
          <w:tcPr>
            <w:tcW w:w="949" w:type="dxa"/>
            <w:shd w:val="clear" w:color="auto" w:fill="auto"/>
            <w:vAlign w:val="center"/>
          </w:tcPr>
          <w:p w14:paraId="6A0E9B68">
            <w:pPr>
              <w:widowControl/>
              <w:snapToGrid w:val="0"/>
              <w:jc w:val="center"/>
              <w:rPr>
                <w:rFonts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分值</w:t>
            </w:r>
          </w:p>
        </w:tc>
        <w:tc>
          <w:tcPr>
            <w:tcW w:w="1187" w:type="dxa"/>
            <w:shd w:val="clear" w:color="auto" w:fill="auto"/>
            <w:vAlign w:val="center"/>
          </w:tcPr>
          <w:p w14:paraId="3B5543D6">
            <w:pPr>
              <w:widowControl/>
              <w:snapToGrid w:val="0"/>
              <w:jc w:val="center"/>
              <w:rPr>
                <w:rFonts w:asciiTheme="minorEastAsia" w:hAnsiTheme="minorEastAsia" w:eastAsiaTheme="minorEastAsia" w:cstheme="minorEastAsia"/>
                <w:b/>
                <w:bCs/>
                <w:kern w:val="0"/>
                <w:sz w:val="18"/>
                <w:szCs w:val="18"/>
              </w:rPr>
            </w:pPr>
            <w:r>
              <w:rPr>
                <w:rFonts w:hint="eastAsia" w:asciiTheme="minorEastAsia" w:hAnsiTheme="minorEastAsia" w:eastAsiaTheme="minorEastAsia" w:cstheme="minorEastAsia"/>
                <w:b/>
                <w:bCs/>
                <w:kern w:val="0"/>
                <w:sz w:val="18"/>
                <w:szCs w:val="18"/>
              </w:rPr>
              <w:t>得分</w:t>
            </w:r>
          </w:p>
        </w:tc>
      </w:tr>
      <w:tr w14:paraId="36CC7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6" w:hRule="atLeast"/>
          <w:jc w:val="center"/>
        </w:trPr>
        <w:tc>
          <w:tcPr>
            <w:tcW w:w="1167" w:type="dxa"/>
            <w:vMerge w:val="restart"/>
            <w:shd w:val="clear" w:color="auto" w:fill="auto"/>
            <w:vAlign w:val="center"/>
          </w:tcPr>
          <w:p w14:paraId="27F5CD7C">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决策　</w:t>
            </w:r>
          </w:p>
        </w:tc>
        <w:tc>
          <w:tcPr>
            <w:tcW w:w="1113" w:type="dxa"/>
            <w:vMerge w:val="restart"/>
            <w:shd w:val="clear" w:color="auto" w:fill="auto"/>
            <w:vAlign w:val="center"/>
          </w:tcPr>
          <w:p w14:paraId="1717245D">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项目立项　</w:t>
            </w:r>
          </w:p>
        </w:tc>
        <w:tc>
          <w:tcPr>
            <w:tcW w:w="2509" w:type="dxa"/>
            <w:shd w:val="clear" w:color="auto" w:fill="auto"/>
            <w:vAlign w:val="center"/>
          </w:tcPr>
          <w:p w14:paraId="27B38B4E">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立项依据充分性</w:t>
            </w:r>
          </w:p>
        </w:tc>
        <w:tc>
          <w:tcPr>
            <w:tcW w:w="949" w:type="dxa"/>
            <w:shd w:val="clear" w:color="auto" w:fill="auto"/>
            <w:vAlign w:val="center"/>
          </w:tcPr>
          <w:p w14:paraId="3AC3BA70">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187" w:type="dxa"/>
            <w:shd w:val="clear" w:color="auto" w:fill="auto"/>
            <w:vAlign w:val="center"/>
          </w:tcPr>
          <w:p w14:paraId="081F9A13">
            <w:pPr>
              <w:widowControl/>
              <w:snapToGrid w:val="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r>
      <w:tr w14:paraId="0E2873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167" w:type="dxa"/>
            <w:vMerge w:val="continue"/>
            <w:shd w:val="clear" w:color="auto" w:fill="auto"/>
            <w:vAlign w:val="center"/>
          </w:tcPr>
          <w:p w14:paraId="312851F4">
            <w:pPr>
              <w:snapToGrid w:val="0"/>
              <w:jc w:val="center"/>
              <w:rPr>
                <w:rFonts w:asciiTheme="minorEastAsia" w:hAnsiTheme="minorEastAsia" w:eastAsiaTheme="minorEastAsia" w:cstheme="minorEastAsia"/>
                <w:kern w:val="0"/>
                <w:sz w:val="18"/>
                <w:szCs w:val="18"/>
              </w:rPr>
            </w:pPr>
          </w:p>
        </w:tc>
        <w:tc>
          <w:tcPr>
            <w:tcW w:w="1113" w:type="dxa"/>
            <w:vMerge w:val="continue"/>
            <w:shd w:val="clear" w:color="auto" w:fill="auto"/>
            <w:vAlign w:val="center"/>
          </w:tcPr>
          <w:p w14:paraId="4DBB1AC5">
            <w:pPr>
              <w:widowControl/>
              <w:snapToGrid w:val="0"/>
              <w:jc w:val="center"/>
              <w:rPr>
                <w:rFonts w:asciiTheme="minorEastAsia" w:hAnsiTheme="minorEastAsia" w:eastAsiaTheme="minorEastAsia" w:cstheme="minorEastAsia"/>
                <w:kern w:val="0"/>
                <w:sz w:val="18"/>
                <w:szCs w:val="18"/>
              </w:rPr>
            </w:pPr>
          </w:p>
        </w:tc>
        <w:tc>
          <w:tcPr>
            <w:tcW w:w="2509" w:type="dxa"/>
            <w:shd w:val="clear" w:color="auto" w:fill="auto"/>
            <w:vAlign w:val="center"/>
          </w:tcPr>
          <w:p w14:paraId="3EB93452">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立项程序规范性</w:t>
            </w:r>
          </w:p>
        </w:tc>
        <w:tc>
          <w:tcPr>
            <w:tcW w:w="949" w:type="dxa"/>
            <w:shd w:val="clear" w:color="auto" w:fill="auto"/>
            <w:vAlign w:val="center"/>
          </w:tcPr>
          <w:p w14:paraId="0E08F561">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187" w:type="dxa"/>
            <w:shd w:val="clear" w:color="auto" w:fill="auto"/>
            <w:vAlign w:val="center"/>
          </w:tcPr>
          <w:p w14:paraId="11F7CC77">
            <w:pPr>
              <w:widowControl/>
              <w:snapToGrid w:val="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r>
      <w:tr w14:paraId="1C27C0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 w:hRule="atLeast"/>
          <w:jc w:val="center"/>
        </w:trPr>
        <w:tc>
          <w:tcPr>
            <w:tcW w:w="1167" w:type="dxa"/>
            <w:vMerge w:val="continue"/>
            <w:shd w:val="clear" w:color="auto" w:fill="auto"/>
            <w:vAlign w:val="center"/>
          </w:tcPr>
          <w:p w14:paraId="73C54C7B">
            <w:pPr>
              <w:snapToGrid w:val="0"/>
              <w:jc w:val="center"/>
              <w:rPr>
                <w:rFonts w:asciiTheme="minorEastAsia" w:hAnsiTheme="minorEastAsia" w:eastAsiaTheme="minorEastAsia" w:cstheme="minorEastAsia"/>
                <w:kern w:val="0"/>
                <w:sz w:val="18"/>
                <w:szCs w:val="18"/>
              </w:rPr>
            </w:pPr>
          </w:p>
        </w:tc>
        <w:tc>
          <w:tcPr>
            <w:tcW w:w="1113" w:type="dxa"/>
            <w:shd w:val="clear" w:color="auto" w:fill="auto"/>
            <w:vAlign w:val="center"/>
          </w:tcPr>
          <w:p w14:paraId="13F7C2F4">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绩效目标　</w:t>
            </w:r>
          </w:p>
        </w:tc>
        <w:tc>
          <w:tcPr>
            <w:tcW w:w="2509" w:type="dxa"/>
            <w:shd w:val="clear" w:color="auto" w:fill="auto"/>
            <w:vAlign w:val="center"/>
          </w:tcPr>
          <w:p w14:paraId="44B2DD24">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绩效目标合理性</w:t>
            </w:r>
          </w:p>
        </w:tc>
        <w:tc>
          <w:tcPr>
            <w:tcW w:w="949" w:type="dxa"/>
            <w:shd w:val="clear" w:color="auto" w:fill="auto"/>
            <w:vAlign w:val="center"/>
          </w:tcPr>
          <w:p w14:paraId="1594672E">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187" w:type="dxa"/>
            <w:shd w:val="clear" w:color="auto" w:fill="auto"/>
            <w:vAlign w:val="center"/>
          </w:tcPr>
          <w:p w14:paraId="1E1DB235">
            <w:pPr>
              <w:widowControl/>
              <w:snapToGrid w:val="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r>
      <w:tr w14:paraId="58532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8" w:hRule="atLeast"/>
          <w:jc w:val="center"/>
        </w:trPr>
        <w:tc>
          <w:tcPr>
            <w:tcW w:w="1167" w:type="dxa"/>
            <w:vMerge w:val="continue"/>
            <w:shd w:val="clear" w:color="auto" w:fill="auto"/>
            <w:vAlign w:val="center"/>
          </w:tcPr>
          <w:p w14:paraId="6F9DBE90">
            <w:pPr>
              <w:widowControl/>
              <w:snapToGrid w:val="0"/>
              <w:jc w:val="center"/>
              <w:rPr>
                <w:rFonts w:asciiTheme="minorEastAsia" w:hAnsiTheme="minorEastAsia" w:eastAsiaTheme="minorEastAsia" w:cstheme="minorEastAsia"/>
                <w:kern w:val="0"/>
                <w:sz w:val="18"/>
                <w:szCs w:val="18"/>
              </w:rPr>
            </w:pPr>
          </w:p>
        </w:tc>
        <w:tc>
          <w:tcPr>
            <w:tcW w:w="1113" w:type="dxa"/>
            <w:shd w:val="clear" w:color="auto" w:fill="auto"/>
            <w:vAlign w:val="center"/>
          </w:tcPr>
          <w:p w14:paraId="45C0637B">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绩效目标</w:t>
            </w:r>
          </w:p>
        </w:tc>
        <w:tc>
          <w:tcPr>
            <w:tcW w:w="2509" w:type="dxa"/>
            <w:shd w:val="clear" w:color="auto" w:fill="auto"/>
            <w:vAlign w:val="center"/>
          </w:tcPr>
          <w:p w14:paraId="19F8584E">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绩效指标明确性</w:t>
            </w:r>
          </w:p>
        </w:tc>
        <w:tc>
          <w:tcPr>
            <w:tcW w:w="949" w:type="dxa"/>
            <w:shd w:val="clear" w:color="auto" w:fill="auto"/>
            <w:vAlign w:val="center"/>
          </w:tcPr>
          <w:p w14:paraId="4EF1FB9D">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187" w:type="dxa"/>
            <w:shd w:val="clear" w:color="auto" w:fill="auto"/>
            <w:vAlign w:val="center"/>
          </w:tcPr>
          <w:p w14:paraId="1CC36F8B">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r>
      <w:tr w14:paraId="2DA4F9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9" w:hRule="atLeast"/>
          <w:jc w:val="center"/>
        </w:trPr>
        <w:tc>
          <w:tcPr>
            <w:tcW w:w="1167" w:type="dxa"/>
            <w:vMerge w:val="continue"/>
            <w:shd w:val="clear" w:color="auto" w:fill="auto"/>
            <w:vAlign w:val="center"/>
          </w:tcPr>
          <w:p w14:paraId="6AFEEAA2">
            <w:pPr>
              <w:snapToGrid w:val="0"/>
              <w:jc w:val="center"/>
              <w:rPr>
                <w:rFonts w:asciiTheme="minorEastAsia" w:hAnsiTheme="minorEastAsia" w:eastAsiaTheme="minorEastAsia" w:cstheme="minorEastAsia"/>
                <w:kern w:val="0"/>
                <w:sz w:val="18"/>
                <w:szCs w:val="18"/>
              </w:rPr>
            </w:pPr>
          </w:p>
        </w:tc>
        <w:tc>
          <w:tcPr>
            <w:tcW w:w="1113" w:type="dxa"/>
            <w:vMerge w:val="restart"/>
            <w:shd w:val="clear" w:color="auto" w:fill="auto"/>
            <w:vAlign w:val="center"/>
          </w:tcPr>
          <w:p w14:paraId="415A3D03">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资金投入</w:t>
            </w:r>
          </w:p>
          <w:p w14:paraId="370C7C86">
            <w:pPr>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509" w:type="dxa"/>
            <w:shd w:val="clear" w:color="auto" w:fill="auto"/>
            <w:vAlign w:val="center"/>
          </w:tcPr>
          <w:p w14:paraId="4DCB3DE9">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预算编制科学性</w:t>
            </w:r>
          </w:p>
        </w:tc>
        <w:tc>
          <w:tcPr>
            <w:tcW w:w="949" w:type="dxa"/>
            <w:shd w:val="clear" w:color="auto" w:fill="auto"/>
            <w:vAlign w:val="center"/>
          </w:tcPr>
          <w:p w14:paraId="4D73A77A">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187" w:type="dxa"/>
            <w:shd w:val="clear" w:color="auto" w:fill="auto"/>
            <w:vAlign w:val="center"/>
          </w:tcPr>
          <w:p w14:paraId="5DCD4D57">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r>
      <w:tr w14:paraId="5685BC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 w:hRule="atLeast"/>
          <w:jc w:val="center"/>
        </w:trPr>
        <w:tc>
          <w:tcPr>
            <w:tcW w:w="1167" w:type="dxa"/>
            <w:vMerge w:val="continue"/>
            <w:shd w:val="clear" w:color="auto" w:fill="auto"/>
            <w:vAlign w:val="center"/>
          </w:tcPr>
          <w:p w14:paraId="09E327E3">
            <w:pPr>
              <w:widowControl/>
              <w:snapToGrid w:val="0"/>
              <w:jc w:val="center"/>
              <w:rPr>
                <w:rFonts w:asciiTheme="minorEastAsia" w:hAnsiTheme="minorEastAsia" w:eastAsiaTheme="minorEastAsia" w:cstheme="minorEastAsia"/>
                <w:kern w:val="0"/>
                <w:sz w:val="18"/>
                <w:szCs w:val="18"/>
              </w:rPr>
            </w:pPr>
          </w:p>
        </w:tc>
        <w:tc>
          <w:tcPr>
            <w:tcW w:w="1113" w:type="dxa"/>
            <w:vMerge w:val="continue"/>
            <w:shd w:val="clear" w:color="auto" w:fill="auto"/>
            <w:vAlign w:val="center"/>
          </w:tcPr>
          <w:p w14:paraId="590E2969">
            <w:pPr>
              <w:widowControl/>
              <w:snapToGrid w:val="0"/>
              <w:jc w:val="center"/>
              <w:rPr>
                <w:rFonts w:asciiTheme="minorEastAsia" w:hAnsiTheme="minorEastAsia" w:eastAsiaTheme="minorEastAsia" w:cstheme="minorEastAsia"/>
                <w:kern w:val="0"/>
                <w:sz w:val="18"/>
                <w:szCs w:val="18"/>
              </w:rPr>
            </w:pPr>
          </w:p>
        </w:tc>
        <w:tc>
          <w:tcPr>
            <w:tcW w:w="2509" w:type="dxa"/>
            <w:shd w:val="clear" w:color="auto" w:fill="auto"/>
            <w:vAlign w:val="center"/>
          </w:tcPr>
          <w:p w14:paraId="7F9250EE">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资金分配合理性</w:t>
            </w:r>
          </w:p>
        </w:tc>
        <w:tc>
          <w:tcPr>
            <w:tcW w:w="949" w:type="dxa"/>
            <w:shd w:val="clear" w:color="auto" w:fill="auto"/>
            <w:vAlign w:val="center"/>
          </w:tcPr>
          <w:p w14:paraId="1393913C">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187" w:type="dxa"/>
            <w:shd w:val="clear" w:color="auto" w:fill="auto"/>
            <w:vAlign w:val="center"/>
          </w:tcPr>
          <w:p w14:paraId="6E38A7AF">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r>
      <w:tr w14:paraId="78C4ED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1" w:hRule="atLeast"/>
          <w:jc w:val="center"/>
        </w:trPr>
        <w:tc>
          <w:tcPr>
            <w:tcW w:w="1167" w:type="dxa"/>
            <w:vMerge w:val="restart"/>
            <w:shd w:val="clear" w:color="auto" w:fill="auto"/>
            <w:vAlign w:val="center"/>
          </w:tcPr>
          <w:p w14:paraId="7681DD10">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p w14:paraId="1CE96FC8">
            <w:pPr>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过程　</w:t>
            </w:r>
          </w:p>
        </w:tc>
        <w:tc>
          <w:tcPr>
            <w:tcW w:w="1113" w:type="dxa"/>
            <w:vMerge w:val="restart"/>
            <w:shd w:val="clear" w:color="auto" w:fill="auto"/>
            <w:vAlign w:val="center"/>
          </w:tcPr>
          <w:p w14:paraId="520A459E">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资金管理</w:t>
            </w:r>
          </w:p>
        </w:tc>
        <w:tc>
          <w:tcPr>
            <w:tcW w:w="2509" w:type="dxa"/>
            <w:shd w:val="clear" w:color="auto" w:fill="auto"/>
            <w:vAlign w:val="center"/>
          </w:tcPr>
          <w:p w14:paraId="3CC05EB7">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资金到位率</w:t>
            </w:r>
          </w:p>
        </w:tc>
        <w:tc>
          <w:tcPr>
            <w:tcW w:w="949" w:type="dxa"/>
            <w:shd w:val="clear" w:color="auto" w:fill="auto"/>
            <w:vAlign w:val="center"/>
          </w:tcPr>
          <w:p w14:paraId="60D07FFE">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187" w:type="dxa"/>
            <w:shd w:val="clear" w:color="auto" w:fill="auto"/>
            <w:vAlign w:val="center"/>
          </w:tcPr>
          <w:p w14:paraId="167D50C8">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r>
      <w:tr w14:paraId="386DAB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5" w:hRule="atLeast"/>
          <w:jc w:val="center"/>
        </w:trPr>
        <w:tc>
          <w:tcPr>
            <w:tcW w:w="1167" w:type="dxa"/>
            <w:vMerge w:val="continue"/>
            <w:shd w:val="clear" w:color="auto" w:fill="auto"/>
            <w:vAlign w:val="center"/>
          </w:tcPr>
          <w:p w14:paraId="0691698C">
            <w:pPr>
              <w:snapToGrid w:val="0"/>
              <w:jc w:val="center"/>
              <w:rPr>
                <w:rFonts w:asciiTheme="minorEastAsia" w:hAnsiTheme="minorEastAsia" w:eastAsiaTheme="minorEastAsia" w:cstheme="minorEastAsia"/>
                <w:kern w:val="0"/>
                <w:sz w:val="18"/>
                <w:szCs w:val="18"/>
              </w:rPr>
            </w:pPr>
          </w:p>
        </w:tc>
        <w:tc>
          <w:tcPr>
            <w:tcW w:w="1113" w:type="dxa"/>
            <w:vMerge w:val="continue"/>
            <w:shd w:val="clear" w:color="auto" w:fill="auto"/>
            <w:vAlign w:val="center"/>
          </w:tcPr>
          <w:p w14:paraId="0A3ED7DD">
            <w:pPr>
              <w:snapToGrid w:val="0"/>
              <w:jc w:val="center"/>
              <w:rPr>
                <w:rFonts w:asciiTheme="minorEastAsia" w:hAnsiTheme="minorEastAsia" w:eastAsiaTheme="minorEastAsia" w:cstheme="minorEastAsia"/>
                <w:kern w:val="0"/>
                <w:sz w:val="18"/>
                <w:szCs w:val="18"/>
              </w:rPr>
            </w:pPr>
          </w:p>
        </w:tc>
        <w:tc>
          <w:tcPr>
            <w:tcW w:w="2509" w:type="dxa"/>
            <w:shd w:val="clear" w:color="auto" w:fill="auto"/>
            <w:vAlign w:val="center"/>
          </w:tcPr>
          <w:p w14:paraId="6C67355D">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预算执行率</w:t>
            </w:r>
          </w:p>
        </w:tc>
        <w:tc>
          <w:tcPr>
            <w:tcW w:w="949" w:type="dxa"/>
            <w:shd w:val="clear" w:color="auto" w:fill="auto"/>
            <w:vAlign w:val="center"/>
          </w:tcPr>
          <w:p w14:paraId="444D4AD6">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187" w:type="dxa"/>
            <w:shd w:val="clear" w:color="auto" w:fill="auto"/>
            <w:vAlign w:val="center"/>
          </w:tcPr>
          <w:p w14:paraId="2E2778A7">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r>
      <w:tr w14:paraId="66F3C7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89" w:hRule="atLeast"/>
          <w:jc w:val="center"/>
        </w:trPr>
        <w:tc>
          <w:tcPr>
            <w:tcW w:w="1167" w:type="dxa"/>
            <w:vMerge w:val="continue"/>
            <w:shd w:val="clear" w:color="auto" w:fill="auto"/>
            <w:vAlign w:val="center"/>
          </w:tcPr>
          <w:p w14:paraId="58FA6905">
            <w:pPr>
              <w:snapToGrid w:val="0"/>
              <w:jc w:val="center"/>
              <w:rPr>
                <w:rFonts w:asciiTheme="minorEastAsia" w:hAnsiTheme="minorEastAsia" w:eastAsiaTheme="minorEastAsia" w:cstheme="minorEastAsia"/>
                <w:kern w:val="0"/>
                <w:sz w:val="18"/>
                <w:szCs w:val="18"/>
              </w:rPr>
            </w:pPr>
          </w:p>
        </w:tc>
        <w:tc>
          <w:tcPr>
            <w:tcW w:w="1113" w:type="dxa"/>
            <w:vMerge w:val="continue"/>
            <w:shd w:val="clear" w:color="auto" w:fill="auto"/>
            <w:vAlign w:val="center"/>
          </w:tcPr>
          <w:p w14:paraId="3AB9A80E">
            <w:pPr>
              <w:widowControl/>
              <w:snapToGrid w:val="0"/>
              <w:jc w:val="center"/>
              <w:rPr>
                <w:rFonts w:asciiTheme="minorEastAsia" w:hAnsiTheme="minorEastAsia" w:eastAsiaTheme="minorEastAsia" w:cstheme="minorEastAsia"/>
                <w:kern w:val="0"/>
                <w:sz w:val="18"/>
                <w:szCs w:val="18"/>
              </w:rPr>
            </w:pPr>
          </w:p>
        </w:tc>
        <w:tc>
          <w:tcPr>
            <w:tcW w:w="2509" w:type="dxa"/>
            <w:shd w:val="clear" w:color="auto" w:fill="auto"/>
            <w:vAlign w:val="center"/>
          </w:tcPr>
          <w:p w14:paraId="338F4BE7">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资金使用合规性</w:t>
            </w:r>
          </w:p>
        </w:tc>
        <w:tc>
          <w:tcPr>
            <w:tcW w:w="949" w:type="dxa"/>
            <w:shd w:val="clear" w:color="auto" w:fill="auto"/>
            <w:vAlign w:val="center"/>
          </w:tcPr>
          <w:p w14:paraId="1AB4798E">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c>
          <w:tcPr>
            <w:tcW w:w="1187" w:type="dxa"/>
            <w:shd w:val="clear" w:color="auto" w:fill="auto"/>
            <w:vAlign w:val="center"/>
          </w:tcPr>
          <w:p w14:paraId="697BBA79">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w:t>
            </w:r>
          </w:p>
        </w:tc>
      </w:tr>
      <w:tr w14:paraId="0CA8A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 w:hRule="atLeast"/>
          <w:jc w:val="center"/>
        </w:trPr>
        <w:tc>
          <w:tcPr>
            <w:tcW w:w="1167" w:type="dxa"/>
            <w:vMerge w:val="continue"/>
            <w:shd w:val="clear" w:color="auto" w:fill="auto"/>
            <w:vAlign w:val="center"/>
          </w:tcPr>
          <w:p w14:paraId="568B2A63">
            <w:pPr>
              <w:snapToGrid w:val="0"/>
              <w:jc w:val="center"/>
              <w:rPr>
                <w:rFonts w:asciiTheme="minorEastAsia" w:hAnsiTheme="minorEastAsia" w:eastAsiaTheme="minorEastAsia" w:cstheme="minorEastAsia"/>
                <w:kern w:val="0"/>
                <w:sz w:val="18"/>
                <w:szCs w:val="18"/>
              </w:rPr>
            </w:pPr>
          </w:p>
        </w:tc>
        <w:tc>
          <w:tcPr>
            <w:tcW w:w="1113" w:type="dxa"/>
            <w:vMerge w:val="restart"/>
            <w:shd w:val="clear" w:color="auto" w:fill="auto"/>
            <w:vAlign w:val="center"/>
          </w:tcPr>
          <w:p w14:paraId="4DB729B2">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组织实施</w:t>
            </w:r>
          </w:p>
          <w:p w14:paraId="7AFAF415">
            <w:pPr>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w:t>
            </w:r>
          </w:p>
        </w:tc>
        <w:tc>
          <w:tcPr>
            <w:tcW w:w="2509" w:type="dxa"/>
            <w:shd w:val="clear" w:color="auto" w:fill="auto"/>
            <w:vAlign w:val="center"/>
          </w:tcPr>
          <w:p w14:paraId="0C7A187A">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管理制度健全性</w:t>
            </w:r>
          </w:p>
        </w:tc>
        <w:tc>
          <w:tcPr>
            <w:tcW w:w="949" w:type="dxa"/>
            <w:shd w:val="clear" w:color="auto" w:fill="auto"/>
            <w:vAlign w:val="center"/>
          </w:tcPr>
          <w:p w14:paraId="21EC0B82">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1187" w:type="dxa"/>
            <w:shd w:val="clear" w:color="auto" w:fill="auto"/>
            <w:vAlign w:val="center"/>
          </w:tcPr>
          <w:p w14:paraId="49B14FD0">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r>
      <w:tr w14:paraId="4CA96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9" w:hRule="atLeast"/>
          <w:jc w:val="center"/>
        </w:trPr>
        <w:tc>
          <w:tcPr>
            <w:tcW w:w="1167" w:type="dxa"/>
            <w:vMerge w:val="continue"/>
            <w:shd w:val="clear" w:color="auto" w:fill="auto"/>
            <w:vAlign w:val="center"/>
          </w:tcPr>
          <w:p w14:paraId="54539B55">
            <w:pPr>
              <w:widowControl/>
              <w:snapToGrid w:val="0"/>
              <w:jc w:val="center"/>
              <w:rPr>
                <w:rFonts w:asciiTheme="minorEastAsia" w:hAnsiTheme="minorEastAsia" w:eastAsiaTheme="minorEastAsia" w:cstheme="minorEastAsia"/>
                <w:kern w:val="0"/>
                <w:sz w:val="18"/>
                <w:szCs w:val="18"/>
              </w:rPr>
            </w:pPr>
          </w:p>
        </w:tc>
        <w:tc>
          <w:tcPr>
            <w:tcW w:w="1113" w:type="dxa"/>
            <w:vMerge w:val="continue"/>
            <w:shd w:val="clear" w:color="auto" w:fill="auto"/>
            <w:vAlign w:val="center"/>
          </w:tcPr>
          <w:p w14:paraId="1CDAD477">
            <w:pPr>
              <w:widowControl/>
              <w:snapToGrid w:val="0"/>
              <w:jc w:val="center"/>
              <w:rPr>
                <w:rFonts w:asciiTheme="minorEastAsia" w:hAnsiTheme="minorEastAsia" w:eastAsiaTheme="minorEastAsia" w:cstheme="minorEastAsia"/>
                <w:kern w:val="0"/>
                <w:sz w:val="18"/>
                <w:szCs w:val="18"/>
              </w:rPr>
            </w:pPr>
          </w:p>
        </w:tc>
        <w:tc>
          <w:tcPr>
            <w:tcW w:w="2509" w:type="dxa"/>
            <w:shd w:val="clear" w:color="auto" w:fill="auto"/>
            <w:vAlign w:val="center"/>
          </w:tcPr>
          <w:p w14:paraId="035072DF">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制度执行有效性</w:t>
            </w:r>
          </w:p>
        </w:tc>
        <w:tc>
          <w:tcPr>
            <w:tcW w:w="949" w:type="dxa"/>
            <w:shd w:val="clear" w:color="auto" w:fill="auto"/>
            <w:vAlign w:val="center"/>
          </w:tcPr>
          <w:p w14:paraId="232C7463">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c>
          <w:tcPr>
            <w:tcW w:w="1187" w:type="dxa"/>
            <w:shd w:val="clear" w:color="auto" w:fill="auto"/>
            <w:vAlign w:val="center"/>
          </w:tcPr>
          <w:p w14:paraId="29D22F47">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p>
        </w:tc>
      </w:tr>
      <w:tr w14:paraId="17220A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2" w:hRule="atLeast"/>
          <w:jc w:val="center"/>
        </w:trPr>
        <w:tc>
          <w:tcPr>
            <w:tcW w:w="1167" w:type="dxa"/>
            <w:vMerge w:val="restart"/>
            <w:shd w:val="clear" w:color="auto" w:fill="auto"/>
            <w:vAlign w:val="center"/>
          </w:tcPr>
          <w:p w14:paraId="1299E022">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产出</w:t>
            </w:r>
          </w:p>
        </w:tc>
        <w:tc>
          <w:tcPr>
            <w:tcW w:w="1113" w:type="dxa"/>
            <w:shd w:val="clear" w:color="auto" w:fill="auto"/>
            <w:vAlign w:val="center"/>
          </w:tcPr>
          <w:p w14:paraId="399D8E4E">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产出数量</w:t>
            </w:r>
          </w:p>
        </w:tc>
        <w:tc>
          <w:tcPr>
            <w:tcW w:w="2509" w:type="dxa"/>
            <w:shd w:val="clear" w:color="auto" w:fill="auto"/>
            <w:vAlign w:val="center"/>
          </w:tcPr>
          <w:p w14:paraId="2348130A">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实际完成率</w:t>
            </w:r>
          </w:p>
        </w:tc>
        <w:tc>
          <w:tcPr>
            <w:tcW w:w="949" w:type="dxa"/>
            <w:shd w:val="clear" w:color="auto" w:fill="auto"/>
            <w:vAlign w:val="center"/>
          </w:tcPr>
          <w:p w14:paraId="385969B6">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87" w:type="dxa"/>
            <w:shd w:val="clear" w:color="auto" w:fill="auto"/>
            <w:vAlign w:val="center"/>
          </w:tcPr>
          <w:p w14:paraId="1E7EA838">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r>
      <w:tr w14:paraId="059028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jc w:val="center"/>
        </w:trPr>
        <w:tc>
          <w:tcPr>
            <w:tcW w:w="1167" w:type="dxa"/>
            <w:vMerge w:val="continue"/>
            <w:shd w:val="clear" w:color="auto" w:fill="auto"/>
            <w:vAlign w:val="center"/>
          </w:tcPr>
          <w:p w14:paraId="3741213D">
            <w:pPr>
              <w:widowControl/>
              <w:snapToGrid w:val="0"/>
              <w:jc w:val="center"/>
              <w:rPr>
                <w:rFonts w:asciiTheme="minorEastAsia" w:hAnsiTheme="minorEastAsia" w:eastAsiaTheme="minorEastAsia" w:cstheme="minorEastAsia"/>
                <w:kern w:val="0"/>
                <w:sz w:val="18"/>
                <w:szCs w:val="18"/>
              </w:rPr>
            </w:pPr>
          </w:p>
        </w:tc>
        <w:tc>
          <w:tcPr>
            <w:tcW w:w="1113" w:type="dxa"/>
            <w:shd w:val="clear" w:color="auto" w:fill="auto"/>
            <w:vAlign w:val="center"/>
          </w:tcPr>
          <w:p w14:paraId="0A14F6F0">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产出质量</w:t>
            </w:r>
          </w:p>
        </w:tc>
        <w:tc>
          <w:tcPr>
            <w:tcW w:w="2509" w:type="dxa"/>
            <w:shd w:val="clear" w:color="auto" w:fill="auto"/>
            <w:vAlign w:val="center"/>
          </w:tcPr>
          <w:p w14:paraId="1E613D3C">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质量达标率</w:t>
            </w:r>
          </w:p>
        </w:tc>
        <w:tc>
          <w:tcPr>
            <w:tcW w:w="949" w:type="dxa"/>
            <w:shd w:val="clear" w:color="auto" w:fill="auto"/>
            <w:vAlign w:val="center"/>
          </w:tcPr>
          <w:p w14:paraId="17DCDE76">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87" w:type="dxa"/>
            <w:shd w:val="clear" w:color="auto" w:fill="auto"/>
            <w:vAlign w:val="center"/>
          </w:tcPr>
          <w:p w14:paraId="3716DA6B">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r>
      <w:tr w14:paraId="0D3AC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167" w:type="dxa"/>
            <w:vMerge w:val="continue"/>
            <w:shd w:val="clear" w:color="auto" w:fill="auto"/>
            <w:vAlign w:val="center"/>
          </w:tcPr>
          <w:p w14:paraId="58251A5F">
            <w:pPr>
              <w:snapToGrid w:val="0"/>
              <w:jc w:val="center"/>
              <w:rPr>
                <w:rFonts w:asciiTheme="minorEastAsia" w:hAnsiTheme="minorEastAsia" w:eastAsiaTheme="minorEastAsia" w:cstheme="minorEastAsia"/>
                <w:kern w:val="0"/>
                <w:sz w:val="18"/>
                <w:szCs w:val="18"/>
              </w:rPr>
            </w:pPr>
          </w:p>
        </w:tc>
        <w:tc>
          <w:tcPr>
            <w:tcW w:w="1113" w:type="dxa"/>
            <w:shd w:val="clear" w:color="auto" w:fill="auto"/>
            <w:vAlign w:val="center"/>
          </w:tcPr>
          <w:p w14:paraId="02E1B7F2">
            <w:pPr>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产出时效</w:t>
            </w:r>
          </w:p>
        </w:tc>
        <w:tc>
          <w:tcPr>
            <w:tcW w:w="2509" w:type="dxa"/>
            <w:shd w:val="clear" w:color="auto" w:fill="auto"/>
            <w:vAlign w:val="center"/>
          </w:tcPr>
          <w:p w14:paraId="4CE37162">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完成及时性</w:t>
            </w:r>
          </w:p>
        </w:tc>
        <w:tc>
          <w:tcPr>
            <w:tcW w:w="949" w:type="dxa"/>
            <w:shd w:val="clear" w:color="auto" w:fill="auto"/>
            <w:vAlign w:val="center"/>
          </w:tcPr>
          <w:p w14:paraId="47186430">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87" w:type="dxa"/>
            <w:shd w:val="clear" w:color="auto" w:fill="auto"/>
            <w:vAlign w:val="center"/>
          </w:tcPr>
          <w:p w14:paraId="66866F95">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r>
      <w:tr w14:paraId="1BD08B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5" w:hRule="atLeast"/>
          <w:jc w:val="center"/>
        </w:trPr>
        <w:tc>
          <w:tcPr>
            <w:tcW w:w="1167" w:type="dxa"/>
            <w:vMerge w:val="continue"/>
            <w:shd w:val="clear" w:color="auto" w:fill="auto"/>
            <w:vAlign w:val="center"/>
          </w:tcPr>
          <w:p w14:paraId="7097A7E6">
            <w:pPr>
              <w:widowControl/>
              <w:snapToGrid w:val="0"/>
              <w:jc w:val="center"/>
              <w:rPr>
                <w:rFonts w:asciiTheme="minorEastAsia" w:hAnsiTheme="minorEastAsia" w:eastAsiaTheme="minorEastAsia" w:cstheme="minorEastAsia"/>
                <w:kern w:val="0"/>
                <w:sz w:val="18"/>
                <w:szCs w:val="18"/>
              </w:rPr>
            </w:pPr>
          </w:p>
        </w:tc>
        <w:tc>
          <w:tcPr>
            <w:tcW w:w="1113" w:type="dxa"/>
            <w:shd w:val="clear" w:color="auto" w:fill="auto"/>
            <w:vAlign w:val="center"/>
          </w:tcPr>
          <w:p w14:paraId="4F4CEFBF">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产出成本</w:t>
            </w:r>
          </w:p>
        </w:tc>
        <w:tc>
          <w:tcPr>
            <w:tcW w:w="2509" w:type="dxa"/>
            <w:shd w:val="clear" w:color="auto" w:fill="auto"/>
            <w:vAlign w:val="center"/>
          </w:tcPr>
          <w:p w14:paraId="63E55045">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成本节约率</w:t>
            </w:r>
          </w:p>
        </w:tc>
        <w:tc>
          <w:tcPr>
            <w:tcW w:w="949" w:type="dxa"/>
            <w:shd w:val="clear" w:color="auto" w:fill="auto"/>
            <w:vAlign w:val="center"/>
          </w:tcPr>
          <w:p w14:paraId="2C8413BE">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87" w:type="dxa"/>
            <w:shd w:val="clear" w:color="auto" w:fill="auto"/>
            <w:vAlign w:val="center"/>
          </w:tcPr>
          <w:p w14:paraId="0C190A20">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r>
      <w:tr w14:paraId="15C81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 w:hRule="atLeast"/>
          <w:jc w:val="center"/>
        </w:trPr>
        <w:tc>
          <w:tcPr>
            <w:tcW w:w="1167" w:type="dxa"/>
            <w:vMerge w:val="restart"/>
            <w:shd w:val="clear" w:color="auto" w:fill="auto"/>
            <w:vAlign w:val="center"/>
          </w:tcPr>
          <w:p w14:paraId="42ED9DA2">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效益　</w:t>
            </w:r>
          </w:p>
        </w:tc>
        <w:tc>
          <w:tcPr>
            <w:tcW w:w="1113" w:type="dxa"/>
            <w:vMerge w:val="restart"/>
            <w:shd w:val="clear" w:color="auto" w:fill="auto"/>
            <w:vAlign w:val="center"/>
          </w:tcPr>
          <w:p w14:paraId="0961E2A4">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项目效益　</w:t>
            </w:r>
          </w:p>
        </w:tc>
        <w:tc>
          <w:tcPr>
            <w:tcW w:w="2509" w:type="dxa"/>
            <w:shd w:val="clear" w:color="auto" w:fill="auto"/>
            <w:vAlign w:val="center"/>
          </w:tcPr>
          <w:p w14:paraId="3A7E278D">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实施效益</w:t>
            </w:r>
          </w:p>
        </w:tc>
        <w:tc>
          <w:tcPr>
            <w:tcW w:w="949" w:type="dxa"/>
            <w:shd w:val="clear" w:color="auto" w:fill="auto"/>
            <w:vAlign w:val="center"/>
          </w:tcPr>
          <w:p w14:paraId="04F70EDB">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87" w:type="dxa"/>
            <w:shd w:val="clear" w:color="auto" w:fill="auto"/>
            <w:vAlign w:val="center"/>
          </w:tcPr>
          <w:p w14:paraId="42C8A767">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r>
      <w:tr w14:paraId="1B589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2" w:hRule="atLeast"/>
          <w:jc w:val="center"/>
        </w:trPr>
        <w:tc>
          <w:tcPr>
            <w:tcW w:w="1167" w:type="dxa"/>
            <w:vMerge w:val="continue"/>
            <w:shd w:val="clear" w:color="auto" w:fill="auto"/>
            <w:vAlign w:val="center"/>
          </w:tcPr>
          <w:p w14:paraId="6B0AAC8D">
            <w:pPr>
              <w:widowControl/>
              <w:snapToGrid w:val="0"/>
              <w:jc w:val="center"/>
              <w:rPr>
                <w:rFonts w:asciiTheme="minorEastAsia" w:hAnsiTheme="minorEastAsia" w:eastAsiaTheme="minorEastAsia" w:cstheme="minorEastAsia"/>
                <w:kern w:val="0"/>
                <w:sz w:val="18"/>
                <w:szCs w:val="18"/>
              </w:rPr>
            </w:pPr>
          </w:p>
        </w:tc>
        <w:tc>
          <w:tcPr>
            <w:tcW w:w="1113" w:type="dxa"/>
            <w:vMerge w:val="continue"/>
            <w:shd w:val="clear" w:color="auto" w:fill="auto"/>
            <w:vAlign w:val="center"/>
          </w:tcPr>
          <w:p w14:paraId="28BE65BF">
            <w:pPr>
              <w:widowControl/>
              <w:snapToGrid w:val="0"/>
              <w:jc w:val="center"/>
              <w:rPr>
                <w:rFonts w:asciiTheme="minorEastAsia" w:hAnsiTheme="minorEastAsia" w:eastAsiaTheme="minorEastAsia" w:cstheme="minorEastAsia"/>
                <w:kern w:val="0"/>
                <w:sz w:val="18"/>
                <w:szCs w:val="18"/>
              </w:rPr>
            </w:pPr>
          </w:p>
        </w:tc>
        <w:tc>
          <w:tcPr>
            <w:tcW w:w="2509" w:type="dxa"/>
            <w:shd w:val="clear" w:color="auto" w:fill="auto"/>
            <w:vAlign w:val="center"/>
          </w:tcPr>
          <w:p w14:paraId="78CCCFBC">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满意度</w:t>
            </w:r>
          </w:p>
        </w:tc>
        <w:tc>
          <w:tcPr>
            <w:tcW w:w="949" w:type="dxa"/>
            <w:shd w:val="clear" w:color="auto" w:fill="auto"/>
            <w:vAlign w:val="center"/>
          </w:tcPr>
          <w:p w14:paraId="6CC3BE75">
            <w:pPr>
              <w:widowControl/>
              <w:snapToGrid w:val="0"/>
              <w:jc w:val="center"/>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c>
          <w:tcPr>
            <w:tcW w:w="1187" w:type="dxa"/>
            <w:shd w:val="clear" w:color="auto" w:fill="auto"/>
            <w:vAlign w:val="center"/>
          </w:tcPr>
          <w:p w14:paraId="5E56F17C">
            <w:pPr>
              <w:widowControl/>
              <w:snapToGrid w:val="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w:t>
            </w:r>
          </w:p>
        </w:tc>
      </w:tr>
    </w:tbl>
    <w:p w14:paraId="358450B7">
      <w:pPr>
        <w:keepNext w:val="0"/>
        <w:keepLines w:val="0"/>
        <w:pageBreakBefore w:val="0"/>
        <w:kinsoku/>
        <w:wordWrap/>
        <w:overflowPunct/>
        <w:topLinePunct w:val="0"/>
        <w:autoSpaceDE/>
        <w:autoSpaceDN/>
        <w:bidi w:val="0"/>
        <w:adjustRightInd/>
        <w:snapToGrid/>
        <w:spacing w:line="560" w:lineRule="exact"/>
        <w:ind w:right="0" w:rightChars="0" w:firstLine="627"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Cs w:val="0"/>
          <w:spacing w:val="-4"/>
          <w:sz w:val="32"/>
          <w:szCs w:val="32"/>
        </w:rPr>
        <w:t>3.评价方法：</w:t>
      </w:r>
      <w:r>
        <w:rPr>
          <w:rStyle w:val="22"/>
          <w:rFonts w:hint="eastAsia" w:ascii="仿宋" w:hAnsi="仿宋" w:eastAsia="仿宋" w:cs="仿宋"/>
          <w:b w:val="0"/>
          <w:spacing w:val="-4"/>
          <w:sz w:val="32"/>
          <w:szCs w:val="32"/>
        </w:rPr>
        <w:t>本次绩效评价的方法，主要包括比较法和公众评判法。比如对学生满意度和思政教师满意度的评价采用的是公众评判法；学院的育人能力和社会认可度，学生的政治素养和爱国主义情怀等，采用的是比较法。</w:t>
      </w:r>
    </w:p>
    <w:p w14:paraId="26D8CF4D">
      <w:pPr>
        <w:keepNext w:val="0"/>
        <w:keepLines w:val="0"/>
        <w:pageBreakBefore w:val="0"/>
        <w:kinsoku/>
        <w:wordWrap/>
        <w:overflowPunct/>
        <w:topLinePunct w:val="0"/>
        <w:autoSpaceDE/>
        <w:autoSpaceDN/>
        <w:bidi w:val="0"/>
        <w:adjustRightInd/>
        <w:snapToGrid/>
        <w:spacing w:line="560" w:lineRule="exact"/>
        <w:ind w:right="0" w:rightChars="0" w:firstLine="627" w:firstLineChars="200"/>
        <w:textAlignment w:val="auto"/>
        <w:rPr>
          <w:rStyle w:val="22"/>
          <w:rFonts w:ascii="仿宋" w:hAnsi="仿宋" w:eastAsia="仿宋" w:cs="仿宋"/>
          <w:b w:val="0"/>
          <w:bCs w:val="0"/>
          <w:spacing w:val="-4"/>
          <w:sz w:val="32"/>
          <w:szCs w:val="32"/>
        </w:rPr>
      </w:pPr>
      <w:r>
        <w:rPr>
          <w:rStyle w:val="22"/>
          <w:rFonts w:hint="eastAsia" w:ascii="仿宋" w:hAnsi="仿宋" w:eastAsia="仿宋" w:cs="仿宋"/>
          <w:bCs w:val="0"/>
          <w:spacing w:val="-4"/>
          <w:sz w:val="32"/>
          <w:szCs w:val="32"/>
        </w:rPr>
        <w:t>4.评价标准：</w:t>
      </w:r>
      <w:r>
        <w:rPr>
          <w:rStyle w:val="22"/>
          <w:rFonts w:hint="eastAsia" w:ascii="仿宋" w:hAnsi="仿宋" w:eastAsia="仿宋" w:cs="仿宋"/>
          <w:b w:val="0"/>
          <w:spacing w:val="-4"/>
          <w:sz w:val="32"/>
          <w:szCs w:val="32"/>
        </w:rPr>
        <w:t>本次绩效评价的评价标准主要采用的是计划标准、行业标准，评价指标都是以预先制定的目标、计划和预算指标估为评价标准。</w:t>
      </w:r>
    </w:p>
    <w:p w14:paraId="2E0A65B7">
      <w:pPr>
        <w:keepNext w:val="0"/>
        <w:keepLines w:val="0"/>
        <w:pageBreakBefore w:val="0"/>
        <w:kinsoku/>
        <w:wordWrap/>
        <w:overflowPunct/>
        <w:topLinePunct w:val="0"/>
        <w:autoSpaceDE/>
        <w:autoSpaceDN/>
        <w:bidi w:val="0"/>
        <w:adjustRightInd/>
        <w:snapToGrid/>
        <w:spacing w:line="560" w:lineRule="exact"/>
        <w:ind w:right="0" w:rightChars="0" w:firstLine="321" w:firstLineChars="100"/>
        <w:jc w:val="left"/>
        <w:textAlignment w:val="auto"/>
        <w:rPr>
          <w:rFonts w:ascii="仿宋" w:hAnsi="仿宋" w:eastAsia="仿宋" w:cs="仿宋"/>
          <w:b/>
          <w:bCs/>
          <w:sz w:val="32"/>
          <w:szCs w:val="32"/>
        </w:rPr>
      </w:pPr>
      <w:r>
        <w:rPr>
          <w:rFonts w:hint="eastAsia" w:ascii="仿宋" w:hAnsi="仿宋" w:eastAsia="仿宋" w:cs="仿宋"/>
          <w:b/>
          <w:bCs/>
          <w:sz w:val="32"/>
          <w:szCs w:val="32"/>
        </w:rPr>
        <w:t>（三）绩效评价工作过程。</w:t>
      </w:r>
    </w:p>
    <w:p w14:paraId="5FA11209">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b w:val="0"/>
          <w:spacing w:val="-4"/>
          <w:sz w:val="32"/>
          <w:szCs w:val="32"/>
        </w:rPr>
      </w:pPr>
      <w:r>
        <w:rPr>
          <w:rStyle w:val="22"/>
          <w:rFonts w:hint="eastAsia" w:ascii="仿宋" w:hAnsi="仿宋" w:eastAsia="仿宋" w:cs="仿宋"/>
          <w:bCs w:val="0"/>
          <w:spacing w:val="-4"/>
          <w:sz w:val="32"/>
          <w:szCs w:val="32"/>
        </w:rPr>
        <w:t>1.前期准备。</w:t>
      </w:r>
      <w:r>
        <w:rPr>
          <w:rStyle w:val="22"/>
          <w:rFonts w:hint="eastAsia" w:ascii="仿宋" w:hAnsi="仿宋" w:eastAsia="仿宋" w:cs="仿宋"/>
          <w:b w:val="0"/>
          <w:spacing w:val="-4"/>
          <w:sz w:val="32"/>
          <w:szCs w:val="32"/>
        </w:rPr>
        <w:t>202</w:t>
      </w:r>
      <w:r>
        <w:rPr>
          <w:rStyle w:val="22"/>
          <w:rFonts w:hint="eastAsia" w:ascii="仿宋" w:hAnsi="仿宋" w:eastAsia="仿宋" w:cs="仿宋"/>
          <w:b w:val="0"/>
          <w:spacing w:val="-4"/>
          <w:sz w:val="32"/>
          <w:szCs w:val="32"/>
          <w:lang w:val="en-US" w:eastAsia="zh-CN"/>
        </w:rPr>
        <w:t>3</w:t>
      </w:r>
      <w:r>
        <w:rPr>
          <w:rStyle w:val="22"/>
          <w:rFonts w:hint="eastAsia" w:ascii="仿宋" w:hAnsi="仿宋" w:eastAsia="仿宋" w:cs="仿宋"/>
          <w:b w:val="0"/>
          <w:spacing w:val="-4"/>
          <w:sz w:val="32"/>
          <w:szCs w:val="32"/>
        </w:rPr>
        <w:t>年 12 月</w:t>
      </w:r>
      <w:r>
        <w:rPr>
          <w:rStyle w:val="22"/>
          <w:rFonts w:hint="eastAsia" w:ascii="仿宋" w:hAnsi="仿宋" w:eastAsia="仿宋" w:cs="仿宋"/>
          <w:b w:val="0"/>
          <w:spacing w:val="-4"/>
          <w:sz w:val="32"/>
          <w:szCs w:val="32"/>
          <w:lang w:val="en-US" w:eastAsia="zh-CN"/>
        </w:rPr>
        <w:t>2</w:t>
      </w:r>
      <w:r>
        <w:rPr>
          <w:rStyle w:val="22"/>
          <w:rFonts w:hint="eastAsia" w:ascii="仿宋" w:hAnsi="仿宋" w:eastAsia="仿宋" w:cs="仿宋"/>
          <w:b w:val="0"/>
          <w:spacing w:val="-4"/>
          <w:sz w:val="32"/>
          <w:szCs w:val="32"/>
        </w:rPr>
        <w:t>0日，</w:t>
      </w:r>
      <w:r>
        <w:rPr>
          <w:rStyle w:val="22"/>
          <w:rFonts w:hint="eastAsia" w:ascii="仿宋" w:hAnsi="仿宋" w:eastAsia="仿宋" w:cs="仿宋"/>
          <w:b w:val="0"/>
          <w:spacing w:val="-4"/>
          <w:sz w:val="32"/>
          <w:szCs w:val="32"/>
          <w:lang w:val="zh-CN"/>
        </w:rPr>
        <w:t>开始前期准备工作，评价组通过前期调研</w:t>
      </w:r>
      <w:r>
        <w:rPr>
          <w:rStyle w:val="22"/>
          <w:rFonts w:hint="eastAsia" w:ascii="仿宋" w:hAnsi="仿宋" w:eastAsia="仿宋" w:cs="仿宋"/>
          <w:b w:val="0"/>
          <w:spacing w:val="-4"/>
          <w:sz w:val="32"/>
          <w:szCs w:val="32"/>
        </w:rPr>
        <w:t>确定绩效评价对象和范围，</w:t>
      </w:r>
      <w:r>
        <w:rPr>
          <w:rStyle w:val="22"/>
          <w:rFonts w:hint="eastAsia" w:ascii="仿宋" w:hAnsi="仿宋" w:eastAsia="仿宋" w:cs="仿宋"/>
          <w:b w:val="0"/>
          <w:spacing w:val="-4"/>
          <w:sz w:val="32"/>
          <w:szCs w:val="32"/>
          <w:lang w:val="zh-CN"/>
        </w:rPr>
        <w:t>确定了评价的目的、方法以及评价的原则，根据项目的内容和特征制定了评价指标体系及评价标准以及评价实施方案，修正并确定所需资料清单，最终确定</w:t>
      </w:r>
      <w:r>
        <w:rPr>
          <w:rStyle w:val="22"/>
          <w:rFonts w:hint="eastAsia" w:ascii="仿宋" w:hAnsi="仿宋" w:eastAsia="仿宋" w:cs="仿宋"/>
          <w:b w:val="0"/>
          <w:spacing w:val="-4"/>
          <w:sz w:val="32"/>
          <w:szCs w:val="32"/>
        </w:rPr>
        <w:t>绩效评价工作方案。</w:t>
      </w:r>
    </w:p>
    <w:p w14:paraId="1605787C">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Cs w:val="0"/>
          <w:spacing w:val="-4"/>
          <w:sz w:val="32"/>
          <w:szCs w:val="32"/>
        </w:rPr>
        <w:t>2.组织实施。</w:t>
      </w:r>
      <w:r>
        <w:rPr>
          <w:rStyle w:val="22"/>
          <w:rFonts w:hint="eastAsia" w:ascii="仿宋" w:hAnsi="仿宋" w:eastAsia="仿宋" w:cs="仿宋"/>
          <w:b w:val="0"/>
          <w:spacing w:val="-4"/>
          <w:sz w:val="32"/>
          <w:szCs w:val="32"/>
          <w:lang w:val="zh-CN"/>
        </w:rPr>
        <w:t>202</w:t>
      </w:r>
      <w:r>
        <w:rPr>
          <w:rStyle w:val="22"/>
          <w:rFonts w:hint="eastAsia" w:ascii="仿宋" w:hAnsi="仿宋" w:eastAsia="仿宋" w:cs="仿宋"/>
          <w:b w:val="0"/>
          <w:spacing w:val="-4"/>
          <w:sz w:val="32"/>
          <w:szCs w:val="32"/>
          <w:lang w:val="en-US" w:eastAsia="zh-CN"/>
        </w:rPr>
        <w:t>4</w:t>
      </w:r>
      <w:r>
        <w:rPr>
          <w:rStyle w:val="22"/>
          <w:rFonts w:hint="eastAsia" w:ascii="仿宋" w:hAnsi="仿宋" w:eastAsia="仿宋" w:cs="仿宋"/>
          <w:b w:val="0"/>
          <w:spacing w:val="-4"/>
          <w:sz w:val="32"/>
          <w:szCs w:val="32"/>
          <w:lang w:val="zh-CN"/>
        </w:rPr>
        <w:t>年</w:t>
      </w:r>
      <w:r>
        <w:rPr>
          <w:rStyle w:val="22"/>
          <w:rFonts w:hint="eastAsia" w:ascii="仿宋" w:hAnsi="仿宋" w:eastAsia="仿宋" w:cs="仿宋"/>
          <w:b w:val="0"/>
          <w:spacing w:val="-4"/>
          <w:sz w:val="32"/>
          <w:szCs w:val="32"/>
          <w:lang w:val="en-US" w:eastAsia="zh-CN"/>
        </w:rPr>
        <w:t>2</w:t>
      </w:r>
      <w:r>
        <w:rPr>
          <w:rStyle w:val="22"/>
          <w:rFonts w:hint="eastAsia" w:ascii="仿宋" w:hAnsi="仿宋" w:eastAsia="仿宋" w:cs="仿宋"/>
          <w:b w:val="0"/>
          <w:spacing w:val="-4"/>
          <w:sz w:val="32"/>
          <w:szCs w:val="32"/>
          <w:lang w:val="zh-CN"/>
        </w:rPr>
        <w:t>月</w:t>
      </w:r>
      <w:r>
        <w:rPr>
          <w:rStyle w:val="22"/>
          <w:rFonts w:hint="eastAsia" w:ascii="仿宋" w:hAnsi="仿宋" w:eastAsia="仿宋" w:cs="仿宋"/>
          <w:b w:val="0"/>
          <w:spacing w:val="-4"/>
          <w:sz w:val="32"/>
          <w:szCs w:val="32"/>
        </w:rPr>
        <w:t>1</w:t>
      </w:r>
      <w:r>
        <w:rPr>
          <w:rStyle w:val="22"/>
          <w:rFonts w:hint="eastAsia" w:ascii="仿宋" w:hAnsi="仿宋" w:eastAsia="仿宋" w:cs="仿宋"/>
          <w:b w:val="0"/>
          <w:spacing w:val="-4"/>
          <w:sz w:val="32"/>
          <w:szCs w:val="32"/>
          <w:lang w:val="en-US" w:eastAsia="zh-CN"/>
        </w:rPr>
        <w:t>8</w:t>
      </w:r>
      <w:r>
        <w:rPr>
          <w:rStyle w:val="22"/>
          <w:rFonts w:hint="eastAsia" w:ascii="仿宋" w:hAnsi="仿宋" w:eastAsia="仿宋" w:cs="仿宋"/>
          <w:b w:val="0"/>
          <w:spacing w:val="-4"/>
          <w:sz w:val="32"/>
          <w:szCs w:val="32"/>
          <w:lang w:val="zh-CN"/>
        </w:rPr>
        <w:t xml:space="preserve">日- </w:t>
      </w:r>
      <w:r>
        <w:rPr>
          <w:rStyle w:val="22"/>
          <w:rFonts w:hint="eastAsia" w:ascii="仿宋" w:hAnsi="仿宋" w:eastAsia="仿宋" w:cs="仿宋"/>
          <w:b w:val="0"/>
          <w:spacing w:val="-4"/>
          <w:sz w:val="32"/>
          <w:szCs w:val="32"/>
          <w:lang w:val="en-US" w:eastAsia="zh-CN"/>
        </w:rPr>
        <w:t>3</w:t>
      </w:r>
      <w:r>
        <w:rPr>
          <w:rStyle w:val="22"/>
          <w:rFonts w:hint="eastAsia" w:ascii="仿宋" w:hAnsi="仿宋" w:eastAsia="仿宋" w:cs="仿宋"/>
          <w:b w:val="0"/>
          <w:spacing w:val="-4"/>
          <w:sz w:val="32"/>
          <w:szCs w:val="32"/>
          <w:lang w:val="zh-CN"/>
        </w:rPr>
        <w:t>月</w:t>
      </w:r>
      <w:r>
        <w:rPr>
          <w:rStyle w:val="22"/>
          <w:rFonts w:hint="eastAsia" w:ascii="仿宋" w:hAnsi="仿宋" w:eastAsia="仿宋" w:cs="仿宋"/>
          <w:b w:val="0"/>
          <w:spacing w:val="-4"/>
          <w:sz w:val="32"/>
          <w:szCs w:val="32"/>
          <w:lang w:val="en-US" w:eastAsia="zh-CN"/>
        </w:rPr>
        <w:t>20</w:t>
      </w:r>
      <w:r>
        <w:rPr>
          <w:rStyle w:val="22"/>
          <w:rFonts w:hint="eastAsia" w:ascii="仿宋" w:hAnsi="仿宋" w:eastAsia="仿宋" w:cs="仿宋"/>
          <w:b w:val="0"/>
          <w:spacing w:val="-4"/>
          <w:sz w:val="32"/>
          <w:szCs w:val="32"/>
          <w:lang w:val="zh-CN"/>
        </w:rPr>
        <w:t xml:space="preserve">日，评价工作进入实施阶段，评价组收集绩效评价相关数据资料，进行现场调研、座谈；了解资金的内容、操作流程、管理机制、资金使用方向等情况，分析形成初步结论。 </w:t>
      </w:r>
    </w:p>
    <w:p w14:paraId="1D1947AD">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Cs w:val="0"/>
          <w:spacing w:val="-4"/>
          <w:sz w:val="32"/>
          <w:szCs w:val="32"/>
        </w:rPr>
        <w:t>3.分析评价。</w:t>
      </w:r>
      <w:r>
        <w:rPr>
          <w:rStyle w:val="22"/>
          <w:rFonts w:hint="eastAsia" w:ascii="仿宋" w:hAnsi="仿宋" w:eastAsia="仿宋" w:cs="仿宋"/>
          <w:b w:val="0"/>
          <w:spacing w:val="-4"/>
          <w:sz w:val="32"/>
          <w:szCs w:val="32"/>
          <w:lang w:val="zh-CN"/>
        </w:rPr>
        <w:t>202</w:t>
      </w:r>
      <w:r>
        <w:rPr>
          <w:rStyle w:val="22"/>
          <w:rFonts w:hint="eastAsia" w:ascii="仿宋" w:hAnsi="仿宋" w:eastAsia="仿宋" w:cs="仿宋"/>
          <w:b w:val="0"/>
          <w:spacing w:val="-4"/>
          <w:sz w:val="32"/>
          <w:szCs w:val="32"/>
          <w:lang w:val="en-US" w:eastAsia="zh-CN"/>
        </w:rPr>
        <w:t>4</w:t>
      </w:r>
      <w:r>
        <w:rPr>
          <w:rStyle w:val="22"/>
          <w:rFonts w:hint="eastAsia" w:ascii="仿宋" w:hAnsi="仿宋" w:eastAsia="仿宋" w:cs="仿宋"/>
          <w:b w:val="0"/>
          <w:spacing w:val="-4"/>
          <w:sz w:val="32"/>
          <w:szCs w:val="32"/>
          <w:lang w:val="zh-CN"/>
        </w:rPr>
        <w:t>年</w:t>
      </w:r>
      <w:r>
        <w:rPr>
          <w:rStyle w:val="22"/>
          <w:rFonts w:hint="eastAsia" w:ascii="仿宋" w:hAnsi="仿宋" w:eastAsia="仿宋" w:cs="仿宋"/>
          <w:b w:val="0"/>
          <w:spacing w:val="-4"/>
          <w:sz w:val="32"/>
          <w:szCs w:val="32"/>
          <w:lang w:val="en-US" w:eastAsia="zh-CN"/>
        </w:rPr>
        <w:t>3</w:t>
      </w:r>
      <w:r>
        <w:rPr>
          <w:rStyle w:val="22"/>
          <w:rFonts w:hint="eastAsia" w:ascii="仿宋" w:hAnsi="仿宋" w:eastAsia="仿宋" w:cs="仿宋"/>
          <w:b w:val="0"/>
          <w:spacing w:val="-4"/>
          <w:sz w:val="32"/>
          <w:szCs w:val="32"/>
          <w:lang w:val="zh-CN"/>
        </w:rPr>
        <w:t>月</w:t>
      </w:r>
      <w:r>
        <w:rPr>
          <w:rStyle w:val="22"/>
          <w:rFonts w:hint="eastAsia" w:ascii="仿宋" w:hAnsi="仿宋" w:eastAsia="仿宋" w:cs="仿宋"/>
          <w:b w:val="0"/>
          <w:spacing w:val="-4"/>
          <w:sz w:val="32"/>
          <w:szCs w:val="32"/>
          <w:lang w:val="en-US" w:eastAsia="zh-CN"/>
        </w:rPr>
        <w:t>20</w:t>
      </w:r>
      <w:r>
        <w:rPr>
          <w:rStyle w:val="22"/>
          <w:rFonts w:hint="eastAsia" w:ascii="仿宋" w:hAnsi="仿宋" w:eastAsia="仿宋" w:cs="仿宋"/>
          <w:b w:val="0"/>
          <w:spacing w:val="-4"/>
          <w:sz w:val="32"/>
          <w:szCs w:val="32"/>
          <w:lang w:val="zh-CN"/>
        </w:rPr>
        <w:t xml:space="preserve">日- </w:t>
      </w:r>
      <w:r>
        <w:rPr>
          <w:rStyle w:val="22"/>
          <w:rFonts w:hint="eastAsia" w:ascii="仿宋" w:hAnsi="仿宋" w:eastAsia="仿宋" w:cs="仿宋"/>
          <w:b w:val="0"/>
          <w:spacing w:val="-4"/>
          <w:sz w:val="32"/>
          <w:szCs w:val="32"/>
          <w:lang w:val="en-US" w:eastAsia="zh-CN"/>
        </w:rPr>
        <w:t>3</w:t>
      </w:r>
      <w:r>
        <w:rPr>
          <w:rStyle w:val="22"/>
          <w:rFonts w:hint="eastAsia" w:ascii="仿宋" w:hAnsi="仿宋" w:eastAsia="仿宋" w:cs="仿宋"/>
          <w:b w:val="0"/>
          <w:spacing w:val="-4"/>
          <w:sz w:val="32"/>
          <w:szCs w:val="32"/>
          <w:lang w:val="zh-CN"/>
        </w:rPr>
        <w:t>月</w:t>
      </w:r>
      <w:r>
        <w:rPr>
          <w:rStyle w:val="22"/>
          <w:rFonts w:hint="eastAsia" w:ascii="仿宋" w:hAnsi="仿宋" w:eastAsia="仿宋" w:cs="仿宋"/>
          <w:b w:val="0"/>
          <w:spacing w:val="-4"/>
          <w:sz w:val="32"/>
          <w:szCs w:val="32"/>
          <w:lang w:val="en-US" w:eastAsia="zh-CN"/>
        </w:rPr>
        <w:t>31</w:t>
      </w:r>
      <w:r>
        <w:rPr>
          <w:rStyle w:val="22"/>
          <w:rFonts w:hint="eastAsia" w:ascii="仿宋" w:hAnsi="仿宋" w:eastAsia="仿宋" w:cs="仿宋"/>
          <w:b w:val="0"/>
          <w:spacing w:val="-4"/>
          <w:sz w:val="32"/>
          <w:szCs w:val="32"/>
          <w:lang w:val="zh-CN"/>
        </w:rPr>
        <w:t>日，评价组按照绩效评价的原则和规范，对取得的资料进行审查核实，对采集的数据进行分析，按照绩效评价指标评分表逐项进行分析、打分，汇总各方评价结果，综合分析并形成评价结论。</w:t>
      </w:r>
    </w:p>
    <w:p w14:paraId="133192B5">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left"/>
        <w:textAlignment w:val="auto"/>
        <w:rPr>
          <w:rFonts w:ascii="仿宋_GB2312"/>
          <w:sz w:val="32"/>
          <w:szCs w:val="32"/>
        </w:rPr>
      </w:pPr>
      <w:r>
        <w:rPr>
          <w:rFonts w:hint="eastAsia" w:ascii="黑体" w:hAnsi="黑体" w:eastAsia="黑体"/>
          <w:sz w:val="32"/>
          <w:szCs w:val="32"/>
          <w:lang w:val="zh-CN"/>
        </w:rPr>
        <w:t>三、综合评价情</w:t>
      </w:r>
      <w:r>
        <w:rPr>
          <w:rFonts w:hint="eastAsia" w:ascii="黑体" w:hAnsi="黑体" w:eastAsia="黑体"/>
          <w:sz w:val="32"/>
          <w:szCs w:val="32"/>
        </w:rPr>
        <w:t>况及评价结论（附相关评分表）</w:t>
      </w:r>
    </w:p>
    <w:p w14:paraId="2B3891B7">
      <w:pPr>
        <w:keepNext w:val="0"/>
        <w:keepLines w:val="0"/>
        <w:pageBreakBefore w:val="0"/>
        <w:kinsoku/>
        <w:wordWrap/>
        <w:overflowPunct/>
        <w:topLinePunct w:val="0"/>
        <w:autoSpaceDE/>
        <w:autoSpaceDN/>
        <w:bidi w:val="0"/>
        <w:adjustRightInd/>
        <w:snapToGrid/>
        <w:spacing w:line="560" w:lineRule="exact"/>
        <w:ind w:right="0" w:rightChars="0" w:firstLine="627" w:firstLineChars="200"/>
        <w:textAlignment w:val="auto"/>
        <w:rPr>
          <w:rStyle w:val="22"/>
          <w:rFonts w:ascii="仿宋" w:hAnsi="仿宋" w:eastAsia="仿宋" w:cs="仿宋"/>
          <w:bCs w:val="0"/>
          <w:spacing w:val="-4"/>
          <w:sz w:val="32"/>
          <w:szCs w:val="32"/>
        </w:rPr>
      </w:pPr>
      <w:r>
        <w:rPr>
          <w:rStyle w:val="22"/>
          <w:rFonts w:hint="eastAsia" w:ascii="仿宋" w:hAnsi="仿宋" w:eastAsia="仿宋" w:cs="仿宋"/>
          <w:bCs w:val="0"/>
          <w:spacing w:val="-4"/>
          <w:sz w:val="32"/>
          <w:szCs w:val="32"/>
        </w:rPr>
        <w:t xml:space="preserve">（一）综合评价情况 </w:t>
      </w:r>
    </w:p>
    <w:p w14:paraId="1042F7CD">
      <w:pPr>
        <w:keepNext w:val="0"/>
        <w:keepLines w:val="0"/>
        <w:pageBreakBefore w:val="0"/>
        <w:widowControl/>
        <w:kinsoku/>
        <w:wordWrap/>
        <w:overflowPunct/>
        <w:topLinePunct w:val="0"/>
        <w:autoSpaceDE/>
        <w:autoSpaceDN/>
        <w:bidi w:val="0"/>
        <w:adjustRightInd/>
        <w:snapToGrid/>
        <w:spacing w:line="560" w:lineRule="exact"/>
        <w:ind w:right="0" w:rightChars="0" w:firstLine="624"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 w:val="0"/>
          <w:spacing w:val="-4"/>
          <w:sz w:val="32"/>
          <w:szCs w:val="32"/>
          <w:lang w:val="zh-CN"/>
        </w:rPr>
        <w:t>本项目严格按照科学公正、统筹兼顾的绩效评价原则，采用定量与定性评价相结合的比较法和公众评判法，总分</w:t>
      </w:r>
      <w:r>
        <w:rPr>
          <w:rStyle w:val="22"/>
          <w:rFonts w:hint="eastAsia" w:ascii="仿宋" w:hAnsi="仿宋" w:eastAsia="仿宋" w:cs="仿宋"/>
          <w:b w:val="0"/>
          <w:spacing w:val="-4"/>
          <w:sz w:val="32"/>
          <w:szCs w:val="32"/>
        </w:rPr>
        <w:t>由</w:t>
      </w:r>
      <w:r>
        <w:rPr>
          <w:rStyle w:val="22"/>
          <w:rFonts w:hint="eastAsia" w:ascii="仿宋" w:hAnsi="仿宋" w:eastAsia="仿宋" w:cs="仿宋"/>
          <w:b w:val="0"/>
          <w:spacing w:val="-4"/>
          <w:sz w:val="32"/>
          <w:szCs w:val="32"/>
          <w:lang w:val="zh-CN"/>
        </w:rPr>
        <w:t>各项指标得分汇总形成。坚持公开透明的绩效评价标准对本项目的立项、项绩效目标、资金投入、资金管理、组织实施、产出指标、满意度指标和项目效益进行了综合评价。</w:t>
      </w:r>
    </w:p>
    <w:p w14:paraId="2212737A">
      <w:pPr>
        <w:keepNext w:val="0"/>
        <w:keepLines w:val="0"/>
        <w:pageBreakBefore w:val="0"/>
        <w:widowControl/>
        <w:kinsoku/>
        <w:wordWrap/>
        <w:overflowPunct/>
        <w:topLinePunct w:val="0"/>
        <w:autoSpaceDE/>
        <w:autoSpaceDN/>
        <w:bidi w:val="0"/>
        <w:adjustRightInd/>
        <w:snapToGrid/>
        <w:spacing w:line="560" w:lineRule="exact"/>
        <w:ind w:right="0" w:rightChars="0" w:firstLine="420" w:firstLineChars="200"/>
        <w:jc w:val="center"/>
        <w:textAlignment w:val="auto"/>
        <w:rPr>
          <w:rStyle w:val="22"/>
          <w:rFonts w:ascii="仿宋_GB2312" w:hAnsi="仿宋_GB2312" w:eastAsia="仿宋_GB2312" w:cs="仿宋_GB2312"/>
          <w:b w:val="0"/>
          <w:spacing w:val="-4"/>
          <w:szCs w:val="21"/>
          <w:lang w:val="zh-CN"/>
        </w:rPr>
      </w:pPr>
      <w:r>
        <w:rPr>
          <w:rFonts w:hint="eastAsia"/>
          <w:color w:val="000000"/>
          <w:szCs w:val="21"/>
        </w:rPr>
        <w:t>思想政治教育工作专项经费</w:t>
      </w:r>
      <w:r>
        <w:rPr>
          <w:rFonts w:hint="eastAsia"/>
          <w:color w:val="000000"/>
          <w:szCs w:val="21"/>
          <w:lang w:val="zh-CN"/>
        </w:rPr>
        <w:t>项目评价得分情况</w:t>
      </w:r>
    </w:p>
    <w:tbl>
      <w:tblPr>
        <w:tblStyle w:val="20"/>
        <w:tblW w:w="7583" w:type="dxa"/>
        <w:jc w:val="center"/>
        <w:tblLayout w:type="fixed"/>
        <w:tblCellMar>
          <w:top w:w="0" w:type="dxa"/>
          <w:left w:w="108" w:type="dxa"/>
          <w:bottom w:w="0" w:type="dxa"/>
          <w:right w:w="108" w:type="dxa"/>
        </w:tblCellMar>
      </w:tblPr>
      <w:tblGrid>
        <w:gridCol w:w="3137"/>
        <w:gridCol w:w="2168"/>
        <w:gridCol w:w="2278"/>
      </w:tblGrid>
      <w:tr w14:paraId="740DD5AB">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4EE152FB">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2F05960D">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5B27CF07">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得分</w:t>
            </w:r>
          </w:p>
        </w:tc>
      </w:tr>
      <w:tr w14:paraId="1C6CD49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2D974FDF">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项目决策</w:t>
            </w:r>
          </w:p>
        </w:tc>
        <w:tc>
          <w:tcPr>
            <w:tcW w:w="2168" w:type="dxa"/>
            <w:tcBorders>
              <w:top w:val="nil"/>
              <w:left w:val="nil"/>
              <w:bottom w:val="single" w:color="auto" w:sz="4" w:space="0"/>
              <w:right w:val="single" w:color="auto" w:sz="4" w:space="0"/>
            </w:tcBorders>
            <w:vAlign w:val="center"/>
          </w:tcPr>
          <w:p w14:paraId="05901C3A">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2278" w:type="dxa"/>
            <w:tcBorders>
              <w:top w:val="nil"/>
              <w:left w:val="nil"/>
              <w:bottom w:val="single" w:color="auto" w:sz="4" w:space="0"/>
              <w:right w:val="single" w:color="auto" w:sz="4" w:space="0"/>
            </w:tcBorders>
            <w:vAlign w:val="center"/>
          </w:tcPr>
          <w:p w14:paraId="2D1FB98E">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r>
      <w:tr w14:paraId="1E7860C5">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39388B84">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项目过程</w:t>
            </w:r>
          </w:p>
        </w:tc>
        <w:tc>
          <w:tcPr>
            <w:tcW w:w="2168" w:type="dxa"/>
            <w:tcBorders>
              <w:top w:val="nil"/>
              <w:left w:val="nil"/>
              <w:bottom w:val="single" w:color="auto" w:sz="4" w:space="0"/>
              <w:right w:val="single" w:color="auto" w:sz="4" w:space="0"/>
            </w:tcBorders>
            <w:vAlign w:val="center"/>
          </w:tcPr>
          <w:p w14:paraId="506044EA">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w:t>
            </w:r>
          </w:p>
        </w:tc>
        <w:tc>
          <w:tcPr>
            <w:tcW w:w="2278" w:type="dxa"/>
            <w:tcBorders>
              <w:top w:val="nil"/>
              <w:left w:val="nil"/>
              <w:bottom w:val="single" w:color="auto" w:sz="4" w:space="0"/>
              <w:right w:val="single" w:color="auto" w:sz="4" w:space="0"/>
            </w:tcBorders>
            <w:vAlign w:val="center"/>
          </w:tcPr>
          <w:p w14:paraId="084164B9">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w:t>
            </w:r>
          </w:p>
        </w:tc>
      </w:tr>
      <w:tr w14:paraId="4450A70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2328C1E5">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项目产出</w:t>
            </w:r>
          </w:p>
        </w:tc>
        <w:tc>
          <w:tcPr>
            <w:tcW w:w="2168" w:type="dxa"/>
            <w:tcBorders>
              <w:top w:val="nil"/>
              <w:left w:val="nil"/>
              <w:bottom w:val="single" w:color="auto" w:sz="4" w:space="0"/>
              <w:right w:val="single" w:color="auto" w:sz="4" w:space="0"/>
            </w:tcBorders>
            <w:vAlign w:val="center"/>
          </w:tcPr>
          <w:p w14:paraId="0C9388C4">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w:t>
            </w:r>
          </w:p>
        </w:tc>
        <w:tc>
          <w:tcPr>
            <w:tcW w:w="2278" w:type="dxa"/>
            <w:tcBorders>
              <w:top w:val="nil"/>
              <w:left w:val="nil"/>
              <w:bottom w:val="single" w:color="auto" w:sz="4" w:space="0"/>
              <w:right w:val="single" w:color="auto" w:sz="4" w:space="0"/>
            </w:tcBorders>
            <w:vAlign w:val="center"/>
          </w:tcPr>
          <w:p w14:paraId="37C3EF2A">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35</w:t>
            </w:r>
          </w:p>
        </w:tc>
      </w:tr>
      <w:tr w14:paraId="641B90C8">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18E27829">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项目效益</w:t>
            </w:r>
          </w:p>
        </w:tc>
        <w:tc>
          <w:tcPr>
            <w:tcW w:w="2168" w:type="dxa"/>
            <w:tcBorders>
              <w:top w:val="nil"/>
              <w:left w:val="nil"/>
              <w:bottom w:val="single" w:color="auto" w:sz="4" w:space="0"/>
              <w:right w:val="single" w:color="auto" w:sz="4" w:space="0"/>
            </w:tcBorders>
            <w:vAlign w:val="center"/>
          </w:tcPr>
          <w:p w14:paraId="195E2BA2">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2278" w:type="dxa"/>
            <w:tcBorders>
              <w:top w:val="nil"/>
              <w:left w:val="nil"/>
              <w:bottom w:val="single" w:color="auto" w:sz="4" w:space="0"/>
              <w:right w:val="single" w:color="auto" w:sz="4" w:space="0"/>
            </w:tcBorders>
            <w:vAlign w:val="center"/>
          </w:tcPr>
          <w:p w14:paraId="6D3B38B4">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r>
      <w:tr w14:paraId="76CF8CB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2F62B914">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合计</w:t>
            </w:r>
          </w:p>
        </w:tc>
        <w:tc>
          <w:tcPr>
            <w:tcW w:w="2168" w:type="dxa"/>
            <w:tcBorders>
              <w:top w:val="nil"/>
              <w:left w:val="nil"/>
              <w:bottom w:val="single" w:color="auto" w:sz="4" w:space="0"/>
              <w:right w:val="single" w:color="auto" w:sz="4" w:space="0"/>
            </w:tcBorders>
            <w:vAlign w:val="center"/>
          </w:tcPr>
          <w:p w14:paraId="259074B2">
            <w:pPr>
              <w:keepNext w:val="0"/>
              <w:keepLines w:val="0"/>
              <w:pageBreakBefore w:val="0"/>
              <w:kinsoku/>
              <w:wordWrap/>
              <w:overflowPunct/>
              <w:topLinePunct w:val="0"/>
              <w:autoSpaceDE/>
              <w:autoSpaceDN/>
              <w:bidi w:val="0"/>
              <w:adjustRightInd/>
              <w:snapToGrid/>
              <w:spacing w:line="560" w:lineRule="exact"/>
              <w:ind w:right="0" w:rightChars="0"/>
              <w:jc w:val="center"/>
              <w:textAlignment w:val="auto"/>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100</w:t>
            </w:r>
          </w:p>
        </w:tc>
        <w:tc>
          <w:tcPr>
            <w:tcW w:w="2278" w:type="dxa"/>
            <w:tcBorders>
              <w:top w:val="nil"/>
              <w:left w:val="nil"/>
              <w:bottom w:val="single" w:color="auto" w:sz="4" w:space="0"/>
              <w:right w:val="single" w:color="auto" w:sz="4" w:space="0"/>
            </w:tcBorders>
            <w:vAlign w:val="center"/>
          </w:tcPr>
          <w:p w14:paraId="483370E0">
            <w:pPr>
              <w:keepNext w:val="0"/>
              <w:keepLines w:val="0"/>
              <w:pageBreakBefore w:val="0"/>
              <w:kinsoku/>
              <w:wordWrap/>
              <w:overflowPunct/>
              <w:topLinePunct w:val="0"/>
              <w:autoSpaceDE/>
              <w:autoSpaceDN/>
              <w:bidi w:val="0"/>
              <w:adjustRightInd/>
              <w:snapToGrid/>
              <w:spacing w:line="560" w:lineRule="exact"/>
              <w:ind w:right="0" w:rightChars="0"/>
              <w:jc w:val="both"/>
              <w:textAlignment w:val="auto"/>
              <w:rPr>
                <w:rFonts w:hint="default" w:asciiTheme="minorEastAsia" w:hAnsiTheme="minorEastAsia" w:eastAsiaTheme="minorEastAsia" w:cstheme="minorEastAsia"/>
                <w:b/>
                <w:bCs/>
                <w:sz w:val="18"/>
                <w:szCs w:val="18"/>
                <w:lang w:val="en-US" w:eastAsia="zh-CN"/>
              </w:rPr>
            </w:pPr>
            <w:r>
              <w:rPr>
                <w:rFonts w:hint="eastAsia" w:asciiTheme="minorEastAsia" w:hAnsiTheme="minorEastAsia" w:eastAsiaTheme="minorEastAsia" w:cstheme="minorEastAsia"/>
                <w:b/>
                <w:bCs/>
                <w:sz w:val="18"/>
                <w:szCs w:val="18"/>
                <w:lang w:val="en-US" w:eastAsia="zh-CN"/>
              </w:rPr>
              <w:t>95</w:t>
            </w:r>
          </w:p>
        </w:tc>
      </w:tr>
    </w:tbl>
    <w:p w14:paraId="7736128C">
      <w:pPr>
        <w:keepNext w:val="0"/>
        <w:keepLines w:val="0"/>
        <w:pageBreakBefore w:val="0"/>
        <w:kinsoku/>
        <w:wordWrap/>
        <w:overflowPunct/>
        <w:topLinePunct w:val="0"/>
        <w:autoSpaceDE/>
        <w:autoSpaceDN/>
        <w:bidi w:val="0"/>
        <w:adjustRightInd/>
        <w:snapToGrid/>
        <w:spacing w:line="560" w:lineRule="exact"/>
        <w:ind w:right="0" w:rightChars="0" w:firstLine="627" w:firstLineChars="200"/>
        <w:textAlignment w:val="auto"/>
        <w:rPr>
          <w:rStyle w:val="22"/>
          <w:rFonts w:ascii="仿宋" w:hAnsi="仿宋" w:eastAsia="仿宋" w:cs="仿宋"/>
          <w:bCs w:val="0"/>
          <w:spacing w:val="-4"/>
          <w:sz w:val="32"/>
          <w:szCs w:val="32"/>
        </w:rPr>
      </w:pPr>
      <w:r>
        <w:rPr>
          <w:rStyle w:val="22"/>
          <w:rFonts w:hint="eastAsia" w:ascii="仿宋" w:hAnsi="仿宋" w:eastAsia="仿宋" w:cs="仿宋"/>
          <w:bCs w:val="0"/>
          <w:spacing w:val="-4"/>
          <w:sz w:val="32"/>
          <w:szCs w:val="32"/>
        </w:rPr>
        <w:t>（二）综合评价</w:t>
      </w:r>
    </w:p>
    <w:p w14:paraId="5C11909E">
      <w:pPr>
        <w:keepNext w:val="0"/>
        <w:keepLines w:val="0"/>
        <w:pageBreakBefore w:val="0"/>
        <w:widowControl/>
        <w:kinsoku/>
        <w:wordWrap/>
        <w:overflowPunct/>
        <w:topLinePunct w:val="0"/>
        <w:autoSpaceDE/>
        <w:autoSpaceDN/>
        <w:bidi w:val="0"/>
        <w:adjustRightInd/>
        <w:snapToGrid/>
        <w:spacing w:line="560" w:lineRule="exact"/>
        <w:ind w:right="0" w:rightChars="0" w:firstLine="624" w:firstLineChars="200"/>
        <w:jc w:val="left"/>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lang w:val="zh-CN"/>
        </w:rPr>
        <w:t>本项目的项目决策、项目过程、项目产出、项目效益均达到了预期要求，最终得分为</w:t>
      </w:r>
      <w:r>
        <w:rPr>
          <w:rStyle w:val="22"/>
          <w:rFonts w:hint="eastAsia" w:ascii="仿宋" w:hAnsi="仿宋" w:eastAsia="仿宋" w:cs="仿宋"/>
          <w:b w:val="0"/>
          <w:spacing w:val="-4"/>
          <w:sz w:val="32"/>
          <w:szCs w:val="32"/>
          <w:lang w:val="en-US" w:eastAsia="zh-CN"/>
        </w:rPr>
        <w:t>95</w:t>
      </w:r>
      <w:r>
        <w:rPr>
          <w:rStyle w:val="22"/>
          <w:rFonts w:hint="eastAsia" w:ascii="仿宋" w:hAnsi="仿宋" w:eastAsia="仿宋" w:cs="仿宋"/>
          <w:b w:val="0"/>
          <w:spacing w:val="-4"/>
          <w:sz w:val="32"/>
          <w:szCs w:val="32"/>
          <w:lang w:val="zh-CN"/>
        </w:rPr>
        <w:t>，项目达成年度指标。</w:t>
      </w:r>
    </w:p>
    <w:p w14:paraId="7F973814">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sz w:val="32"/>
          <w:szCs w:val="32"/>
        </w:rPr>
      </w:pPr>
      <w:r>
        <w:rPr>
          <w:rFonts w:hint="eastAsia" w:ascii="黑体" w:hAnsi="黑体" w:eastAsia="黑体"/>
          <w:sz w:val="32"/>
          <w:szCs w:val="32"/>
        </w:rPr>
        <w:t>四、绩效评价指标分析</w:t>
      </w:r>
    </w:p>
    <w:p w14:paraId="6C4882FC">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outlineLvl w:val="0"/>
        <w:rPr>
          <w:rFonts w:ascii="仿宋" w:hAnsi="仿宋" w:eastAsia="仿宋" w:cs="仿宋"/>
          <w:b/>
          <w:bCs/>
          <w:sz w:val="32"/>
          <w:szCs w:val="32"/>
        </w:rPr>
      </w:pPr>
      <w:r>
        <w:rPr>
          <w:rFonts w:hint="eastAsia" w:ascii="仿宋" w:hAnsi="仿宋" w:eastAsia="仿宋" w:cs="仿宋"/>
          <w:b/>
          <w:bCs/>
          <w:sz w:val="32"/>
          <w:szCs w:val="32"/>
        </w:rPr>
        <w:t>（一）项目决策情况。</w:t>
      </w:r>
    </w:p>
    <w:p w14:paraId="09F8901C">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bCs w:val="0"/>
          <w:spacing w:val="-4"/>
          <w:sz w:val="32"/>
          <w:szCs w:val="32"/>
          <w:lang w:val="zh-CN"/>
        </w:rPr>
      </w:pPr>
      <w:r>
        <w:rPr>
          <w:rStyle w:val="22"/>
          <w:rFonts w:hint="eastAsia" w:ascii="仿宋" w:hAnsi="仿宋" w:eastAsia="仿宋" w:cs="仿宋"/>
          <w:bCs w:val="0"/>
          <w:spacing w:val="-4"/>
          <w:sz w:val="32"/>
          <w:szCs w:val="32"/>
          <w:lang w:val="zh-CN"/>
        </w:rPr>
        <w:t>1.立项依据充分性</w:t>
      </w:r>
    </w:p>
    <w:p w14:paraId="563ACD04">
      <w:pPr>
        <w:keepNext w:val="0"/>
        <w:keepLines w:val="0"/>
        <w:pageBreakBefore w:val="0"/>
        <w:widowControl/>
        <w:kinsoku/>
        <w:wordWrap/>
        <w:overflowPunct/>
        <w:topLinePunct w:val="0"/>
        <w:autoSpaceDE/>
        <w:autoSpaceDN/>
        <w:bidi w:val="0"/>
        <w:adjustRightInd/>
        <w:snapToGrid/>
        <w:spacing w:line="560" w:lineRule="exact"/>
        <w:ind w:right="0" w:rightChars="0" w:firstLine="624"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 w:val="0"/>
          <w:spacing w:val="-4"/>
          <w:sz w:val="32"/>
          <w:szCs w:val="32"/>
        </w:rPr>
        <w:t>根据</w:t>
      </w:r>
      <w:r>
        <w:rPr>
          <w:rStyle w:val="22"/>
          <w:rFonts w:hint="eastAsia" w:ascii="仿宋" w:hAnsi="仿宋" w:eastAsia="仿宋" w:cs="仿宋"/>
          <w:b w:val="0"/>
          <w:spacing w:val="-4"/>
          <w:sz w:val="32"/>
          <w:szCs w:val="32"/>
          <w:lang w:val="zh-CN"/>
        </w:rPr>
        <w:t>中共中央下发中发〔2004〕16号文件明确了进一步加强和改进大学生思想政治教育工作的指导思想、基本原则、主要任务，自治区党委和自治区人民政府印发了关于进一步加强和改进大学生思想政治教育的实施意见，高校思想政治工作摆在更加突出的位置。</w:t>
      </w:r>
      <w:r>
        <w:rPr>
          <w:rStyle w:val="22"/>
          <w:rFonts w:hint="eastAsia" w:ascii="仿宋" w:hAnsi="仿宋" w:eastAsia="仿宋" w:cs="仿宋"/>
          <w:b w:val="0"/>
          <w:spacing w:val="-4"/>
          <w:sz w:val="32"/>
          <w:szCs w:val="32"/>
        </w:rPr>
        <w:t>2018年教育部发布了《高校思想政治工作专项资金管理暂行办法》，学院严格按照《暂行办法》的要求开展专项经费的使用，</w:t>
      </w:r>
      <w:r>
        <w:rPr>
          <w:rStyle w:val="22"/>
          <w:rFonts w:hint="eastAsia" w:ascii="仿宋" w:hAnsi="仿宋" w:eastAsia="仿宋" w:cs="仿宋"/>
          <w:b w:val="0"/>
          <w:spacing w:val="-4"/>
          <w:sz w:val="32"/>
          <w:szCs w:val="32"/>
          <w:lang w:eastAsia="zh-CN"/>
        </w:rPr>
        <w:t>根据上级机关工作要求、年度工作安排和阶段性工作需要，分阶段有目的的投入思政经费，深入落实党中央、自治区党委及主管机关在思政领域的工作部署。各</w:t>
      </w:r>
      <w:r>
        <w:rPr>
          <w:rStyle w:val="22"/>
          <w:rFonts w:hint="eastAsia" w:ascii="仿宋" w:hAnsi="仿宋" w:eastAsia="仿宋" w:cs="仿宋"/>
          <w:b w:val="0"/>
          <w:spacing w:val="-4"/>
          <w:sz w:val="32"/>
          <w:szCs w:val="32"/>
          <w:lang w:val="zh-CN"/>
        </w:rPr>
        <w:t>项目立项符合国家法律法规、国民经济发展规划和相关政策，与</w:t>
      </w:r>
      <w:r>
        <w:rPr>
          <w:rStyle w:val="22"/>
          <w:rFonts w:hint="eastAsia" w:ascii="仿宋" w:hAnsi="仿宋" w:eastAsia="仿宋" w:cs="仿宋"/>
          <w:b w:val="0"/>
          <w:spacing w:val="-4"/>
          <w:sz w:val="32"/>
          <w:szCs w:val="32"/>
        </w:rPr>
        <w:t>学院宣传部</w:t>
      </w:r>
      <w:r>
        <w:rPr>
          <w:rStyle w:val="22"/>
          <w:rFonts w:hint="eastAsia" w:ascii="仿宋" w:hAnsi="仿宋" w:eastAsia="仿宋" w:cs="仿宋"/>
          <w:b w:val="0"/>
          <w:spacing w:val="-4"/>
          <w:sz w:val="32"/>
          <w:szCs w:val="32"/>
          <w:lang w:val="zh-CN"/>
        </w:rPr>
        <w:t>部门职责范围相符，属于部门履职所需。</w:t>
      </w:r>
    </w:p>
    <w:p w14:paraId="6C4202ED">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Cs w:val="0"/>
          <w:spacing w:val="-4"/>
          <w:sz w:val="32"/>
          <w:szCs w:val="32"/>
          <w:lang w:val="zh-CN"/>
        </w:rPr>
        <w:t>2.立项程序规范性</w:t>
      </w:r>
    </w:p>
    <w:p w14:paraId="1D1F3D2F">
      <w:pPr>
        <w:keepNext w:val="0"/>
        <w:keepLines w:val="0"/>
        <w:pageBreakBefore w:val="0"/>
        <w:widowControl/>
        <w:kinsoku/>
        <w:wordWrap/>
        <w:overflowPunct/>
        <w:topLinePunct w:val="0"/>
        <w:autoSpaceDE/>
        <w:autoSpaceDN/>
        <w:bidi w:val="0"/>
        <w:adjustRightInd/>
        <w:snapToGrid/>
        <w:spacing w:line="560" w:lineRule="exact"/>
        <w:ind w:right="0" w:rightChars="0" w:firstLine="624"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 w:val="0"/>
          <w:spacing w:val="-4"/>
          <w:sz w:val="32"/>
          <w:szCs w:val="32"/>
        </w:rPr>
        <w:t>本项目</w:t>
      </w:r>
      <w:r>
        <w:rPr>
          <w:rStyle w:val="22"/>
          <w:rFonts w:hint="eastAsia" w:ascii="仿宋" w:hAnsi="仿宋" w:eastAsia="仿宋" w:cs="仿宋"/>
          <w:b w:val="0"/>
          <w:spacing w:val="-4"/>
          <w:sz w:val="32"/>
          <w:szCs w:val="32"/>
          <w:lang w:eastAsia="zh-CN"/>
        </w:rPr>
        <w:t>内子项目立项及执行过程均</w:t>
      </w:r>
      <w:r>
        <w:rPr>
          <w:rStyle w:val="22"/>
          <w:rFonts w:hint="eastAsia" w:ascii="仿宋" w:hAnsi="仿宋" w:eastAsia="仿宋" w:cs="仿宋"/>
          <w:b w:val="0"/>
          <w:spacing w:val="-4"/>
          <w:sz w:val="32"/>
          <w:szCs w:val="32"/>
          <w:lang w:val="zh-CN"/>
        </w:rPr>
        <w:t>按照学院资产及财务规定执行，审批文件、材料符合相关要求；事前已经过必要的可行性研究、绩效评估、集体决策。</w:t>
      </w:r>
    </w:p>
    <w:p w14:paraId="12610C20">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bCs w:val="0"/>
          <w:spacing w:val="-4"/>
          <w:sz w:val="32"/>
          <w:szCs w:val="32"/>
          <w:lang w:val="zh-CN"/>
        </w:rPr>
      </w:pPr>
      <w:r>
        <w:rPr>
          <w:rStyle w:val="22"/>
          <w:rFonts w:hint="eastAsia" w:ascii="仿宋" w:hAnsi="仿宋" w:eastAsia="仿宋" w:cs="仿宋"/>
          <w:bCs w:val="0"/>
          <w:spacing w:val="-4"/>
          <w:sz w:val="32"/>
          <w:szCs w:val="32"/>
          <w:lang w:val="zh-CN"/>
        </w:rPr>
        <w:t>3.绩效目标合理性</w:t>
      </w:r>
    </w:p>
    <w:p w14:paraId="1F9FB833">
      <w:pPr>
        <w:keepNext w:val="0"/>
        <w:keepLines w:val="0"/>
        <w:pageBreakBefore w:val="0"/>
        <w:widowControl/>
        <w:kinsoku/>
        <w:wordWrap/>
        <w:overflowPunct/>
        <w:topLinePunct w:val="0"/>
        <w:autoSpaceDE/>
        <w:autoSpaceDN/>
        <w:bidi w:val="0"/>
        <w:adjustRightInd/>
        <w:snapToGrid/>
        <w:spacing w:line="560" w:lineRule="exact"/>
        <w:ind w:right="0" w:rightChars="0" w:firstLine="624"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 w:val="0"/>
          <w:spacing w:val="-4"/>
          <w:sz w:val="32"/>
          <w:szCs w:val="32"/>
        </w:rPr>
        <w:t>思想政治教育工作专项经费</w:t>
      </w:r>
      <w:r>
        <w:rPr>
          <w:rStyle w:val="22"/>
          <w:rFonts w:hint="eastAsia" w:ascii="仿宋" w:hAnsi="仿宋" w:eastAsia="仿宋" w:cs="仿宋"/>
          <w:b w:val="0"/>
          <w:spacing w:val="-4"/>
          <w:sz w:val="32"/>
          <w:szCs w:val="32"/>
          <w:lang w:val="zh-CN"/>
        </w:rPr>
        <w:t>项目设立了项目绩效目标，与</w:t>
      </w:r>
      <w:r>
        <w:rPr>
          <w:rStyle w:val="22"/>
          <w:rFonts w:hint="eastAsia" w:ascii="仿宋" w:hAnsi="仿宋" w:eastAsia="仿宋" w:cs="仿宋"/>
          <w:b w:val="0"/>
          <w:spacing w:val="-4"/>
          <w:sz w:val="32"/>
          <w:szCs w:val="32"/>
        </w:rPr>
        <w:t>宣传部加强大学生理想信念教育，培育和践行社会主义核心价值观，全面提升高校思想政治工作质量</w:t>
      </w:r>
      <w:r>
        <w:rPr>
          <w:rStyle w:val="22"/>
          <w:rFonts w:hint="eastAsia" w:ascii="仿宋" w:hAnsi="仿宋" w:eastAsia="仿宋" w:cs="仿宋"/>
          <w:b w:val="0"/>
          <w:spacing w:val="-4"/>
          <w:sz w:val="32"/>
          <w:szCs w:val="32"/>
          <w:lang w:val="zh-CN"/>
        </w:rPr>
        <w:t>具有相关性，项目的预期产出效益和效果也均能符合正常的业绩水平，并且与预算确定的项目投资额或资金量相匹配。</w:t>
      </w:r>
    </w:p>
    <w:p w14:paraId="2BC435D6">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bCs w:val="0"/>
          <w:spacing w:val="-4"/>
          <w:sz w:val="32"/>
          <w:szCs w:val="32"/>
          <w:lang w:val="zh-CN"/>
        </w:rPr>
      </w:pPr>
      <w:r>
        <w:rPr>
          <w:rStyle w:val="22"/>
          <w:rFonts w:hint="eastAsia" w:ascii="仿宋" w:hAnsi="仿宋" w:eastAsia="仿宋" w:cs="仿宋"/>
          <w:bCs w:val="0"/>
          <w:spacing w:val="-4"/>
          <w:sz w:val="32"/>
          <w:szCs w:val="32"/>
          <w:lang w:val="zh-CN"/>
        </w:rPr>
        <w:t>4.绩效指标明确性</w:t>
      </w:r>
    </w:p>
    <w:p w14:paraId="219CCC5B">
      <w:pPr>
        <w:keepNext w:val="0"/>
        <w:keepLines w:val="0"/>
        <w:pageBreakBefore w:val="0"/>
        <w:widowControl/>
        <w:kinsoku/>
        <w:wordWrap/>
        <w:overflowPunct/>
        <w:topLinePunct w:val="0"/>
        <w:autoSpaceDE/>
        <w:autoSpaceDN/>
        <w:bidi w:val="0"/>
        <w:adjustRightInd/>
        <w:snapToGrid/>
        <w:spacing w:line="560" w:lineRule="exact"/>
        <w:ind w:right="0" w:rightChars="0" w:firstLine="624" w:firstLineChars="200"/>
        <w:jc w:val="left"/>
        <w:textAlignment w:val="auto"/>
        <w:rPr>
          <w:rStyle w:val="22"/>
          <w:rFonts w:ascii="仿宋" w:hAnsi="仿宋" w:eastAsia="仿宋" w:cs="仿宋"/>
          <w:b w:val="0"/>
          <w:spacing w:val="-4"/>
          <w:sz w:val="32"/>
          <w:szCs w:val="32"/>
          <w:lang w:val="zh-CN"/>
        </w:rPr>
      </w:pPr>
      <w:bookmarkStart w:id="0" w:name="_Hlk68699917"/>
      <w:r>
        <w:rPr>
          <w:rStyle w:val="22"/>
          <w:rFonts w:hint="eastAsia" w:ascii="仿宋" w:hAnsi="仿宋" w:eastAsia="仿宋" w:cs="仿宋"/>
          <w:b w:val="0"/>
          <w:spacing w:val="-4"/>
          <w:sz w:val="32"/>
          <w:szCs w:val="32"/>
        </w:rPr>
        <w:t>思想政治教育工作专项经费</w:t>
      </w:r>
      <w:r>
        <w:rPr>
          <w:rStyle w:val="22"/>
          <w:rFonts w:hint="eastAsia" w:ascii="仿宋" w:hAnsi="仿宋" w:eastAsia="仿宋" w:cs="仿宋"/>
          <w:b w:val="0"/>
          <w:spacing w:val="-4"/>
          <w:sz w:val="32"/>
          <w:szCs w:val="32"/>
          <w:lang w:val="zh-CN"/>
        </w:rPr>
        <w:t>项目将项目绩效目标细化分解为具体的绩效指标，</w:t>
      </w:r>
      <w:bookmarkEnd w:id="0"/>
    </w:p>
    <w:p w14:paraId="0A1DC974">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Cs w:val="0"/>
          <w:spacing w:val="-4"/>
          <w:sz w:val="32"/>
          <w:szCs w:val="32"/>
          <w:lang w:val="zh-CN"/>
        </w:rPr>
        <w:t>5.预算编制科学性</w:t>
      </w:r>
    </w:p>
    <w:p w14:paraId="697B8990">
      <w:pPr>
        <w:keepNext w:val="0"/>
        <w:keepLines w:val="0"/>
        <w:pageBreakBefore w:val="0"/>
        <w:widowControl/>
        <w:kinsoku/>
        <w:wordWrap/>
        <w:overflowPunct/>
        <w:topLinePunct w:val="0"/>
        <w:autoSpaceDE/>
        <w:autoSpaceDN/>
        <w:bidi w:val="0"/>
        <w:adjustRightInd/>
        <w:snapToGrid/>
        <w:spacing w:line="560" w:lineRule="exact"/>
        <w:ind w:right="0" w:rightChars="0" w:firstLine="624"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 w:val="0"/>
          <w:spacing w:val="-4"/>
          <w:sz w:val="32"/>
          <w:szCs w:val="32"/>
        </w:rPr>
        <w:t>思想政治教育工作专项经费</w:t>
      </w:r>
      <w:r>
        <w:rPr>
          <w:rStyle w:val="22"/>
          <w:rFonts w:hint="eastAsia" w:ascii="仿宋" w:hAnsi="仿宋" w:eastAsia="仿宋" w:cs="仿宋"/>
          <w:b w:val="0"/>
          <w:spacing w:val="-4"/>
          <w:sz w:val="32"/>
          <w:szCs w:val="32"/>
          <w:lang w:val="zh-CN"/>
        </w:rPr>
        <w:t>项目预算编制经过科学论证；预算内容与项目内容</w:t>
      </w:r>
      <w:r>
        <w:rPr>
          <w:rStyle w:val="22"/>
          <w:rFonts w:hint="eastAsia" w:ascii="仿宋" w:hAnsi="仿宋" w:eastAsia="仿宋" w:cs="仿宋"/>
          <w:b w:val="0"/>
          <w:spacing w:val="-4"/>
          <w:sz w:val="32"/>
          <w:szCs w:val="32"/>
        </w:rPr>
        <w:t>完全</w:t>
      </w:r>
      <w:r>
        <w:rPr>
          <w:rStyle w:val="22"/>
          <w:rFonts w:hint="eastAsia" w:ascii="仿宋" w:hAnsi="仿宋" w:eastAsia="仿宋" w:cs="仿宋"/>
          <w:b w:val="0"/>
          <w:spacing w:val="-4"/>
          <w:sz w:val="32"/>
          <w:szCs w:val="32"/>
          <w:lang w:val="zh-CN"/>
        </w:rPr>
        <w:t>匹配；预算额度测算依据充分，预算确定的项目资金量与</w:t>
      </w:r>
      <w:r>
        <w:rPr>
          <w:rStyle w:val="22"/>
          <w:rFonts w:hint="eastAsia" w:ascii="仿宋" w:hAnsi="仿宋" w:eastAsia="仿宋" w:cs="仿宋"/>
          <w:b w:val="0"/>
          <w:spacing w:val="-4"/>
          <w:sz w:val="32"/>
          <w:szCs w:val="32"/>
        </w:rPr>
        <w:t>宣传部加强大学生理想信念教育，培育和践行社会主义核心价值观，全面提升高校思想政治工作质量</w:t>
      </w:r>
      <w:r>
        <w:rPr>
          <w:rStyle w:val="22"/>
          <w:rFonts w:hint="eastAsia" w:ascii="仿宋" w:hAnsi="仿宋" w:eastAsia="仿宋" w:cs="仿宋"/>
          <w:b w:val="0"/>
          <w:spacing w:val="-4"/>
          <w:sz w:val="32"/>
          <w:szCs w:val="32"/>
          <w:lang w:val="zh-CN"/>
        </w:rPr>
        <w:t>相匹配。</w:t>
      </w:r>
    </w:p>
    <w:p w14:paraId="431B3A54">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bCs w:val="0"/>
          <w:spacing w:val="-4"/>
          <w:sz w:val="32"/>
          <w:szCs w:val="32"/>
          <w:lang w:val="zh-CN"/>
        </w:rPr>
      </w:pPr>
      <w:r>
        <w:rPr>
          <w:rStyle w:val="22"/>
          <w:rFonts w:hint="eastAsia" w:ascii="仿宋" w:hAnsi="仿宋" w:eastAsia="仿宋" w:cs="仿宋"/>
          <w:bCs w:val="0"/>
          <w:spacing w:val="-4"/>
          <w:sz w:val="32"/>
          <w:szCs w:val="32"/>
          <w:lang w:val="zh-CN"/>
        </w:rPr>
        <w:t>6.资金分配合理性</w:t>
      </w:r>
    </w:p>
    <w:p w14:paraId="2875482D">
      <w:pPr>
        <w:keepNext w:val="0"/>
        <w:keepLines w:val="0"/>
        <w:pageBreakBefore w:val="0"/>
        <w:widowControl/>
        <w:kinsoku/>
        <w:wordWrap/>
        <w:overflowPunct/>
        <w:topLinePunct w:val="0"/>
        <w:autoSpaceDE/>
        <w:autoSpaceDN/>
        <w:bidi w:val="0"/>
        <w:adjustRightInd/>
        <w:snapToGrid/>
        <w:spacing w:line="560" w:lineRule="exact"/>
        <w:ind w:right="0" w:rightChars="0" w:firstLine="624" w:firstLineChars="200"/>
        <w:jc w:val="left"/>
        <w:textAlignment w:val="auto"/>
        <w:rPr>
          <w:rStyle w:val="22"/>
          <w:rFonts w:ascii="仿宋" w:hAnsi="仿宋" w:eastAsia="仿宋" w:cs="仿宋"/>
          <w:b w:val="0"/>
          <w:spacing w:val="-4"/>
          <w:sz w:val="32"/>
          <w:szCs w:val="32"/>
          <w:lang w:val="zh-CN"/>
        </w:rPr>
      </w:pPr>
      <w:r>
        <w:rPr>
          <w:rStyle w:val="22"/>
          <w:rFonts w:hint="eastAsia" w:ascii="仿宋" w:hAnsi="仿宋" w:eastAsia="仿宋" w:cs="仿宋"/>
          <w:b w:val="0"/>
          <w:spacing w:val="-4"/>
          <w:sz w:val="32"/>
          <w:szCs w:val="32"/>
        </w:rPr>
        <w:t>思想政治教育工作专项经费</w:t>
      </w:r>
      <w:r>
        <w:rPr>
          <w:rStyle w:val="22"/>
          <w:rFonts w:hint="eastAsia" w:ascii="仿宋" w:hAnsi="仿宋" w:eastAsia="仿宋" w:cs="仿宋"/>
          <w:b w:val="0"/>
          <w:spacing w:val="-4"/>
          <w:sz w:val="32"/>
          <w:szCs w:val="32"/>
          <w:lang w:val="zh-CN"/>
        </w:rPr>
        <w:t>预算资金分配依据充分，资金分配额度合理，与</w:t>
      </w:r>
      <w:r>
        <w:rPr>
          <w:rStyle w:val="22"/>
          <w:rFonts w:hint="eastAsia" w:ascii="仿宋" w:hAnsi="仿宋" w:eastAsia="仿宋" w:cs="仿宋"/>
          <w:b w:val="0"/>
          <w:spacing w:val="-4"/>
          <w:sz w:val="32"/>
          <w:szCs w:val="32"/>
        </w:rPr>
        <w:t>本</w:t>
      </w:r>
      <w:r>
        <w:rPr>
          <w:rStyle w:val="22"/>
          <w:rFonts w:hint="eastAsia" w:ascii="仿宋" w:hAnsi="仿宋" w:eastAsia="仿宋" w:cs="仿宋"/>
          <w:b w:val="0"/>
          <w:spacing w:val="-4"/>
          <w:sz w:val="32"/>
          <w:szCs w:val="32"/>
          <w:lang w:val="zh-CN"/>
        </w:rPr>
        <w:t>单位实际相适应。</w:t>
      </w:r>
    </w:p>
    <w:p w14:paraId="0ABEEE3B">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outlineLvl w:val="0"/>
        <w:rPr>
          <w:rFonts w:ascii="仿宋" w:hAnsi="仿宋" w:eastAsia="仿宋" w:cs="仿宋"/>
          <w:b/>
          <w:bCs/>
          <w:sz w:val="32"/>
          <w:szCs w:val="32"/>
        </w:rPr>
      </w:pPr>
      <w:r>
        <w:rPr>
          <w:rFonts w:hint="eastAsia" w:ascii="仿宋" w:hAnsi="仿宋" w:eastAsia="仿宋" w:cs="仿宋"/>
          <w:b/>
          <w:bCs/>
          <w:sz w:val="32"/>
          <w:szCs w:val="32"/>
        </w:rPr>
        <w:t>（二）项目过程情况。</w:t>
      </w:r>
    </w:p>
    <w:p w14:paraId="461BDFDC">
      <w:pPr>
        <w:keepNext w:val="0"/>
        <w:keepLines w:val="0"/>
        <w:pageBreakBefore w:val="0"/>
        <w:kinsoku/>
        <w:wordWrap/>
        <w:overflowPunct/>
        <w:topLinePunct w:val="0"/>
        <w:autoSpaceDE/>
        <w:autoSpaceDN/>
        <w:bidi w:val="0"/>
        <w:adjustRightInd/>
        <w:snapToGrid/>
        <w:spacing w:line="560" w:lineRule="exact"/>
        <w:ind w:right="0" w:rightChars="0" w:firstLine="627"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Cs w:val="0"/>
          <w:spacing w:val="-4"/>
          <w:sz w:val="32"/>
          <w:szCs w:val="32"/>
        </w:rPr>
        <w:t>1.资金到位率</w:t>
      </w:r>
    </w:p>
    <w:p w14:paraId="4118DF62">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实际到位资金</w:t>
      </w:r>
      <w:r>
        <w:rPr>
          <w:rStyle w:val="22"/>
          <w:rFonts w:hint="eastAsia" w:ascii="仿宋" w:hAnsi="仿宋" w:eastAsia="仿宋" w:cs="仿宋"/>
          <w:b w:val="0"/>
          <w:spacing w:val="-4"/>
          <w:sz w:val="32"/>
          <w:szCs w:val="32"/>
          <w:lang w:val="en-US" w:eastAsia="zh-CN"/>
        </w:rPr>
        <w:t>50</w:t>
      </w:r>
      <w:r>
        <w:rPr>
          <w:rStyle w:val="22"/>
          <w:rFonts w:hint="eastAsia" w:ascii="仿宋" w:hAnsi="仿宋" w:eastAsia="仿宋" w:cs="仿宋"/>
          <w:b w:val="0"/>
          <w:spacing w:val="-4"/>
          <w:sz w:val="32"/>
          <w:szCs w:val="32"/>
        </w:rPr>
        <w:t>万元，预算资金</w:t>
      </w:r>
      <w:r>
        <w:rPr>
          <w:rStyle w:val="22"/>
          <w:rFonts w:hint="eastAsia" w:ascii="仿宋" w:hAnsi="仿宋" w:eastAsia="仿宋" w:cs="仿宋"/>
          <w:b w:val="0"/>
          <w:spacing w:val="-4"/>
          <w:sz w:val="32"/>
          <w:szCs w:val="32"/>
          <w:lang w:val="en-US" w:eastAsia="zh-CN"/>
        </w:rPr>
        <w:t>50</w:t>
      </w:r>
      <w:r>
        <w:rPr>
          <w:rStyle w:val="22"/>
          <w:rFonts w:hint="eastAsia" w:ascii="仿宋" w:hAnsi="仿宋" w:eastAsia="仿宋" w:cs="仿宋"/>
          <w:b w:val="0"/>
          <w:spacing w:val="-4"/>
          <w:sz w:val="32"/>
          <w:szCs w:val="32"/>
        </w:rPr>
        <w:t>万元，资金到位率100%。</w:t>
      </w:r>
    </w:p>
    <w:p w14:paraId="62C35339">
      <w:pPr>
        <w:keepNext w:val="0"/>
        <w:keepLines w:val="0"/>
        <w:pageBreakBefore w:val="0"/>
        <w:kinsoku/>
        <w:wordWrap/>
        <w:overflowPunct/>
        <w:topLinePunct w:val="0"/>
        <w:autoSpaceDE/>
        <w:autoSpaceDN/>
        <w:bidi w:val="0"/>
        <w:adjustRightInd/>
        <w:snapToGrid/>
        <w:spacing w:line="560" w:lineRule="exact"/>
        <w:ind w:right="0" w:rightChars="0" w:firstLine="627" w:firstLineChars="200"/>
        <w:textAlignment w:val="auto"/>
        <w:rPr>
          <w:rStyle w:val="22"/>
          <w:rFonts w:hint="eastAsia" w:ascii="仿宋" w:hAnsi="仿宋" w:eastAsia="仿宋" w:cs="仿宋"/>
          <w:b w:val="0"/>
          <w:spacing w:val="-4"/>
          <w:sz w:val="32"/>
          <w:szCs w:val="32"/>
        </w:rPr>
      </w:pPr>
      <w:r>
        <w:rPr>
          <w:rStyle w:val="22"/>
          <w:rFonts w:hint="eastAsia" w:ascii="仿宋" w:hAnsi="仿宋" w:eastAsia="仿宋" w:cs="仿宋"/>
          <w:bCs w:val="0"/>
          <w:spacing w:val="-4"/>
          <w:sz w:val="32"/>
          <w:szCs w:val="32"/>
        </w:rPr>
        <w:t>2.预算执行率</w:t>
      </w:r>
      <w:r>
        <w:rPr>
          <w:rStyle w:val="22"/>
          <w:rFonts w:hint="eastAsia" w:ascii="仿宋" w:hAnsi="仿宋" w:eastAsia="仿宋" w:cs="仿宋"/>
          <w:b w:val="0"/>
          <w:spacing w:val="-4"/>
          <w:sz w:val="32"/>
          <w:szCs w:val="32"/>
          <w:lang w:val="en-US" w:eastAsia="zh-CN"/>
        </w:rPr>
        <w:t>年</w:t>
      </w:r>
      <w:r>
        <w:rPr>
          <w:rStyle w:val="22"/>
          <w:rFonts w:hint="eastAsia" w:ascii="仿宋" w:hAnsi="仿宋" w:eastAsia="仿宋" w:cs="仿宋"/>
          <w:b w:val="0"/>
          <w:spacing w:val="-4"/>
          <w:sz w:val="32"/>
          <w:szCs w:val="32"/>
        </w:rPr>
        <w:t>初预算数</w:t>
      </w:r>
      <w:r>
        <w:rPr>
          <w:rStyle w:val="22"/>
          <w:rFonts w:hint="eastAsia" w:ascii="仿宋" w:hAnsi="仿宋" w:eastAsia="仿宋" w:cs="仿宋"/>
          <w:b w:val="0"/>
          <w:spacing w:val="-4"/>
          <w:sz w:val="32"/>
          <w:szCs w:val="32"/>
          <w:lang w:val="en-US" w:eastAsia="zh-CN"/>
        </w:rPr>
        <w:t>50</w:t>
      </w:r>
      <w:r>
        <w:rPr>
          <w:rStyle w:val="22"/>
          <w:rFonts w:hint="eastAsia" w:ascii="仿宋" w:hAnsi="仿宋" w:eastAsia="仿宋" w:cs="仿宋"/>
          <w:b w:val="0"/>
          <w:spacing w:val="-4"/>
          <w:sz w:val="32"/>
          <w:szCs w:val="32"/>
        </w:rPr>
        <w:t>万元，全年预算数</w:t>
      </w:r>
      <w:r>
        <w:rPr>
          <w:rStyle w:val="22"/>
          <w:rFonts w:hint="eastAsia" w:ascii="仿宋" w:hAnsi="仿宋" w:eastAsia="仿宋" w:cs="仿宋"/>
          <w:b w:val="0"/>
          <w:spacing w:val="-4"/>
          <w:sz w:val="32"/>
          <w:szCs w:val="32"/>
          <w:lang w:val="en-US" w:eastAsia="zh-CN"/>
        </w:rPr>
        <w:t>50</w:t>
      </w:r>
      <w:r>
        <w:rPr>
          <w:rStyle w:val="22"/>
          <w:rFonts w:hint="eastAsia" w:ascii="仿宋" w:hAnsi="仿宋" w:eastAsia="仿宋" w:cs="仿宋"/>
          <w:b w:val="0"/>
          <w:spacing w:val="-4"/>
          <w:sz w:val="32"/>
          <w:szCs w:val="32"/>
        </w:rPr>
        <w:t>万元，全年执行数</w:t>
      </w:r>
      <w:r>
        <w:rPr>
          <w:rStyle w:val="22"/>
          <w:rFonts w:hint="eastAsia" w:ascii="仿宋" w:hAnsi="仿宋" w:eastAsia="仿宋" w:cs="仿宋"/>
          <w:b w:val="0"/>
          <w:spacing w:val="-4"/>
          <w:sz w:val="32"/>
          <w:szCs w:val="32"/>
          <w:lang w:val="en-US" w:eastAsia="zh-CN"/>
        </w:rPr>
        <w:t>47.62万元，</w:t>
      </w:r>
      <w:r>
        <w:rPr>
          <w:rStyle w:val="22"/>
          <w:rFonts w:hint="eastAsia" w:ascii="仿宋" w:hAnsi="仿宋" w:eastAsia="仿宋" w:cs="仿宋"/>
          <w:b w:val="0"/>
          <w:spacing w:val="-4"/>
          <w:sz w:val="32"/>
          <w:szCs w:val="32"/>
        </w:rPr>
        <w:t>预算执行率为</w:t>
      </w:r>
      <w:r>
        <w:rPr>
          <w:rStyle w:val="22"/>
          <w:rFonts w:hint="eastAsia" w:ascii="仿宋" w:hAnsi="仿宋" w:eastAsia="仿宋" w:cs="仿宋"/>
          <w:b w:val="0"/>
          <w:spacing w:val="-4"/>
          <w:sz w:val="32"/>
          <w:szCs w:val="32"/>
          <w:lang w:val="en-US" w:eastAsia="zh-CN"/>
        </w:rPr>
        <w:t>95.24</w:t>
      </w:r>
      <w:r>
        <w:rPr>
          <w:rStyle w:val="22"/>
          <w:rFonts w:hint="eastAsia" w:ascii="仿宋" w:hAnsi="仿宋" w:eastAsia="仿宋" w:cs="仿宋"/>
          <w:b w:val="0"/>
          <w:spacing w:val="-4"/>
          <w:sz w:val="32"/>
          <w:szCs w:val="32"/>
        </w:rPr>
        <w:t>%。</w:t>
      </w:r>
    </w:p>
    <w:p w14:paraId="35A6D3A4">
      <w:pPr>
        <w:keepNext w:val="0"/>
        <w:keepLines w:val="0"/>
        <w:pageBreakBefore w:val="0"/>
        <w:kinsoku/>
        <w:wordWrap/>
        <w:overflowPunct/>
        <w:topLinePunct w:val="0"/>
        <w:autoSpaceDE/>
        <w:autoSpaceDN/>
        <w:bidi w:val="0"/>
        <w:adjustRightInd/>
        <w:snapToGrid/>
        <w:spacing w:line="560" w:lineRule="exact"/>
        <w:ind w:right="0" w:rightChars="0" w:firstLine="627" w:firstLineChars="200"/>
        <w:textAlignment w:val="auto"/>
        <w:rPr>
          <w:rStyle w:val="22"/>
          <w:rFonts w:hint="eastAsia" w:ascii="仿宋" w:hAnsi="仿宋" w:eastAsia="仿宋" w:cs="仿宋"/>
          <w:bCs w:val="0"/>
          <w:spacing w:val="-4"/>
          <w:sz w:val="32"/>
          <w:szCs w:val="32"/>
        </w:rPr>
      </w:pPr>
      <w:r>
        <w:rPr>
          <w:rStyle w:val="22"/>
          <w:rFonts w:hint="eastAsia" w:ascii="仿宋" w:hAnsi="仿宋" w:eastAsia="仿宋" w:cs="仿宋"/>
          <w:bCs w:val="0"/>
          <w:spacing w:val="-4"/>
          <w:sz w:val="32"/>
          <w:szCs w:val="32"/>
        </w:rPr>
        <w:t>3.资金使用合规性</w:t>
      </w:r>
    </w:p>
    <w:p w14:paraId="212C7F1F">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资金的使用符合国家财经法规和财务管理制度以及有关专项资金管理办法的规定；资金的拨付有完整的审批程序和手续；符合项目预算批复或合同规定的用途，不存在截留、挤占、挪用、虚列支出等情况。</w:t>
      </w:r>
    </w:p>
    <w:p w14:paraId="07085782">
      <w:pPr>
        <w:keepNext w:val="0"/>
        <w:keepLines w:val="0"/>
        <w:pageBreakBefore w:val="0"/>
        <w:kinsoku/>
        <w:wordWrap/>
        <w:overflowPunct/>
        <w:topLinePunct w:val="0"/>
        <w:autoSpaceDE/>
        <w:autoSpaceDN/>
        <w:bidi w:val="0"/>
        <w:adjustRightInd/>
        <w:snapToGrid/>
        <w:spacing w:line="560" w:lineRule="exact"/>
        <w:ind w:right="0" w:rightChars="0" w:firstLine="627" w:firstLineChars="200"/>
        <w:textAlignment w:val="auto"/>
        <w:rPr>
          <w:rStyle w:val="22"/>
          <w:rFonts w:ascii="仿宋" w:hAnsi="仿宋" w:eastAsia="仿宋" w:cs="仿宋"/>
          <w:bCs w:val="0"/>
          <w:spacing w:val="-4"/>
          <w:sz w:val="32"/>
          <w:szCs w:val="32"/>
        </w:rPr>
      </w:pPr>
      <w:r>
        <w:rPr>
          <w:rStyle w:val="22"/>
          <w:rFonts w:hint="eastAsia" w:ascii="仿宋" w:hAnsi="仿宋" w:eastAsia="仿宋" w:cs="仿宋"/>
          <w:bCs w:val="0"/>
          <w:spacing w:val="-4"/>
          <w:sz w:val="32"/>
          <w:szCs w:val="32"/>
        </w:rPr>
        <w:t>4.管理制度健全性</w:t>
      </w:r>
    </w:p>
    <w:p w14:paraId="08446698">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已制定相应的财务和业务管理制度；财务和业务管理制度合法、合规、完整。</w:t>
      </w:r>
    </w:p>
    <w:p w14:paraId="16176768">
      <w:pPr>
        <w:keepNext w:val="0"/>
        <w:keepLines w:val="0"/>
        <w:pageBreakBefore w:val="0"/>
        <w:kinsoku/>
        <w:wordWrap/>
        <w:overflowPunct/>
        <w:topLinePunct w:val="0"/>
        <w:autoSpaceDE/>
        <w:autoSpaceDN/>
        <w:bidi w:val="0"/>
        <w:adjustRightInd/>
        <w:snapToGrid/>
        <w:spacing w:line="560" w:lineRule="exact"/>
        <w:ind w:right="0" w:rightChars="0" w:firstLine="627" w:firstLineChars="200"/>
        <w:textAlignment w:val="auto"/>
        <w:rPr>
          <w:rStyle w:val="22"/>
          <w:rFonts w:ascii="仿宋" w:hAnsi="仿宋" w:eastAsia="仿宋" w:cs="仿宋"/>
          <w:bCs w:val="0"/>
          <w:spacing w:val="-4"/>
          <w:sz w:val="32"/>
          <w:szCs w:val="32"/>
        </w:rPr>
      </w:pPr>
      <w:r>
        <w:rPr>
          <w:rStyle w:val="22"/>
          <w:rFonts w:hint="eastAsia" w:ascii="仿宋" w:hAnsi="仿宋" w:eastAsia="仿宋" w:cs="仿宋"/>
          <w:bCs w:val="0"/>
          <w:spacing w:val="-4"/>
          <w:sz w:val="32"/>
          <w:szCs w:val="32"/>
        </w:rPr>
        <w:t>5.制度执行有效性</w:t>
      </w:r>
    </w:p>
    <w:p w14:paraId="5C3150ED">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本项目的执行遵守相关法律法规和相关管理规定；项目调整及支出调整手续完备；项目合同书、验收报告、技术鉴定等资料齐全并及时归档；项目实施的人员条件、场地设备、信息支撑等落实到位。</w:t>
      </w:r>
    </w:p>
    <w:p w14:paraId="5F8D0955">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outlineLvl w:val="0"/>
        <w:rPr>
          <w:rFonts w:ascii="仿宋" w:hAnsi="仿宋" w:eastAsia="仿宋" w:cs="仿宋"/>
          <w:b/>
          <w:bCs/>
          <w:sz w:val="32"/>
          <w:szCs w:val="32"/>
        </w:rPr>
      </w:pPr>
      <w:r>
        <w:rPr>
          <w:rFonts w:hint="eastAsia" w:ascii="仿宋" w:hAnsi="仿宋" w:eastAsia="仿宋" w:cs="仿宋"/>
          <w:b/>
          <w:bCs/>
          <w:sz w:val="32"/>
          <w:szCs w:val="32"/>
        </w:rPr>
        <w:t>（三）项目产出情况。</w:t>
      </w:r>
    </w:p>
    <w:p w14:paraId="236357AC">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outlineLvl w:val="0"/>
        <w:rPr>
          <w:rFonts w:ascii="仿宋" w:hAnsi="仿宋" w:eastAsia="仿宋" w:cs="仿宋"/>
          <w:b/>
          <w:sz w:val="32"/>
          <w:szCs w:val="32"/>
        </w:rPr>
      </w:pPr>
      <w:r>
        <w:rPr>
          <w:rFonts w:hint="eastAsia" w:ascii="仿宋" w:hAnsi="仿宋" w:eastAsia="仿宋" w:cs="仿宋"/>
          <w:b/>
          <w:sz w:val="32"/>
          <w:szCs w:val="32"/>
        </w:rPr>
        <w:t>1.数量指标：</w:t>
      </w:r>
    </w:p>
    <w:p w14:paraId="73181F75">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大型文化</w:t>
      </w:r>
      <w:r>
        <w:rPr>
          <w:rStyle w:val="22"/>
          <w:rFonts w:hint="eastAsia" w:ascii="仿宋" w:hAnsi="仿宋" w:eastAsia="仿宋" w:cs="仿宋"/>
          <w:b w:val="0"/>
          <w:spacing w:val="-4"/>
          <w:sz w:val="32"/>
          <w:szCs w:val="32"/>
          <w:lang w:val="en-US" w:eastAsia="zh-CN"/>
        </w:rPr>
        <w:t>活动、讲座等举办</w:t>
      </w:r>
      <w:r>
        <w:rPr>
          <w:rStyle w:val="22"/>
          <w:rFonts w:hint="eastAsia" w:ascii="仿宋" w:hAnsi="仿宋" w:eastAsia="仿宋" w:cs="仿宋"/>
          <w:b w:val="0"/>
          <w:spacing w:val="-4"/>
          <w:sz w:val="32"/>
          <w:szCs w:val="32"/>
        </w:rPr>
        <w:t>指标，指标值为</w:t>
      </w:r>
      <w:r>
        <w:rPr>
          <w:rStyle w:val="22"/>
          <w:rFonts w:hint="eastAsia" w:ascii="仿宋" w:hAnsi="仿宋" w:eastAsia="仿宋" w:cs="仿宋"/>
          <w:b w:val="0"/>
          <w:spacing w:val="-4"/>
          <w:sz w:val="32"/>
          <w:szCs w:val="32"/>
          <w:lang w:val="en-US" w:eastAsia="zh-CN"/>
        </w:rPr>
        <w:t>3</w:t>
      </w:r>
      <w:r>
        <w:rPr>
          <w:rStyle w:val="22"/>
          <w:rFonts w:hint="eastAsia" w:ascii="仿宋" w:hAnsi="仿宋" w:eastAsia="仿宋" w:cs="仿宋"/>
          <w:b w:val="0"/>
          <w:spacing w:val="-4"/>
          <w:sz w:val="32"/>
          <w:szCs w:val="32"/>
        </w:rPr>
        <w:t>场，实际完成</w:t>
      </w:r>
      <w:r>
        <w:rPr>
          <w:rStyle w:val="22"/>
          <w:rFonts w:hint="eastAsia" w:ascii="仿宋" w:hAnsi="仿宋" w:eastAsia="仿宋" w:cs="仿宋"/>
          <w:b w:val="0"/>
          <w:spacing w:val="-4"/>
          <w:sz w:val="32"/>
          <w:szCs w:val="32"/>
          <w:lang w:val="en-US" w:eastAsia="zh-CN"/>
        </w:rPr>
        <w:t>3</w:t>
      </w:r>
      <w:r>
        <w:rPr>
          <w:rStyle w:val="22"/>
          <w:rFonts w:hint="eastAsia" w:ascii="仿宋" w:hAnsi="仿宋" w:eastAsia="仿宋" w:cs="仿宋"/>
          <w:b w:val="0"/>
          <w:spacing w:val="-4"/>
          <w:sz w:val="32"/>
          <w:szCs w:val="32"/>
        </w:rPr>
        <w:t>场，指标完成率100%。</w:t>
      </w:r>
    </w:p>
    <w:p w14:paraId="3969AEF9">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大型文化</w:t>
      </w:r>
      <w:r>
        <w:rPr>
          <w:rStyle w:val="22"/>
          <w:rFonts w:hint="eastAsia" w:ascii="仿宋" w:hAnsi="仿宋" w:eastAsia="仿宋" w:cs="仿宋"/>
          <w:b w:val="0"/>
          <w:spacing w:val="-4"/>
          <w:sz w:val="32"/>
          <w:szCs w:val="32"/>
          <w:lang w:val="en-US" w:eastAsia="zh-CN"/>
        </w:rPr>
        <w:t>阵地建设</w:t>
      </w:r>
      <w:r>
        <w:rPr>
          <w:rStyle w:val="22"/>
          <w:rFonts w:hint="eastAsia" w:ascii="仿宋" w:hAnsi="仿宋" w:eastAsia="仿宋" w:cs="仿宋"/>
          <w:b w:val="0"/>
          <w:spacing w:val="-4"/>
          <w:sz w:val="32"/>
          <w:szCs w:val="32"/>
        </w:rPr>
        <w:t>，指标值</w:t>
      </w:r>
      <w:r>
        <w:rPr>
          <w:rStyle w:val="22"/>
          <w:rFonts w:hint="eastAsia" w:ascii="仿宋" w:hAnsi="仿宋" w:eastAsia="仿宋" w:cs="仿宋"/>
          <w:b w:val="0"/>
          <w:spacing w:val="-4"/>
          <w:sz w:val="32"/>
          <w:szCs w:val="32"/>
          <w:lang w:val="en-US" w:eastAsia="zh-CN"/>
        </w:rPr>
        <w:t>2处</w:t>
      </w:r>
      <w:r>
        <w:rPr>
          <w:rStyle w:val="22"/>
          <w:rFonts w:hint="eastAsia" w:ascii="仿宋" w:hAnsi="仿宋" w:eastAsia="仿宋" w:cs="仿宋"/>
          <w:b w:val="0"/>
          <w:spacing w:val="-4"/>
          <w:sz w:val="32"/>
          <w:szCs w:val="32"/>
        </w:rPr>
        <w:t>，实际完成值</w:t>
      </w:r>
      <w:r>
        <w:rPr>
          <w:rStyle w:val="22"/>
          <w:rFonts w:hint="eastAsia" w:ascii="仿宋" w:hAnsi="仿宋" w:eastAsia="仿宋" w:cs="仿宋"/>
          <w:b w:val="0"/>
          <w:spacing w:val="-4"/>
          <w:sz w:val="32"/>
          <w:szCs w:val="32"/>
          <w:lang w:val="en-US" w:eastAsia="zh-CN"/>
        </w:rPr>
        <w:t>2处</w:t>
      </w:r>
      <w:r>
        <w:rPr>
          <w:rStyle w:val="22"/>
          <w:rFonts w:hint="eastAsia" w:ascii="仿宋" w:hAnsi="仿宋" w:eastAsia="仿宋" w:cs="仿宋"/>
          <w:b w:val="0"/>
          <w:spacing w:val="-4"/>
          <w:sz w:val="32"/>
          <w:szCs w:val="32"/>
        </w:rPr>
        <w:t>，指标完成率</w:t>
      </w:r>
      <w:r>
        <w:rPr>
          <w:rStyle w:val="22"/>
          <w:rFonts w:hint="eastAsia" w:ascii="仿宋" w:hAnsi="仿宋" w:eastAsia="仿宋" w:cs="仿宋"/>
          <w:b w:val="0"/>
          <w:spacing w:val="-4"/>
          <w:sz w:val="32"/>
          <w:szCs w:val="32"/>
          <w:lang w:val="en-US" w:eastAsia="zh-CN"/>
        </w:rPr>
        <w:t>100</w:t>
      </w:r>
      <w:r>
        <w:rPr>
          <w:rStyle w:val="22"/>
          <w:rFonts w:hint="eastAsia" w:ascii="仿宋" w:hAnsi="仿宋" w:eastAsia="仿宋" w:cs="仿宋"/>
          <w:b w:val="0"/>
          <w:spacing w:val="-4"/>
          <w:sz w:val="32"/>
          <w:szCs w:val="32"/>
        </w:rPr>
        <w:t>%。</w:t>
      </w:r>
    </w:p>
    <w:p w14:paraId="1FA00C3D">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outlineLvl w:val="0"/>
        <w:rPr>
          <w:rFonts w:ascii="仿宋" w:hAnsi="仿宋" w:eastAsia="仿宋" w:cs="仿宋"/>
          <w:sz w:val="32"/>
          <w:szCs w:val="32"/>
        </w:rPr>
      </w:pPr>
      <w:r>
        <w:rPr>
          <w:rFonts w:hint="eastAsia" w:ascii="仿宋" w:hAnsi="仿宋" w:eastAsia="仿宋" w:cs="仿宋"/>
          <w:b/>
          <w:sz w:val="32"/>
          <w:szCs w:val="32"/>
        </w:rPr>
        <w:t>2.质量指标</w:t>
      </w:r>
      <w:r>
        <w:rPr>
          <w:rFonts w:hint="eastAsia" w:ascii="仿宋" w:hAnsi="仿宋" w:eastAsia="仿宋" w:cs="仿宋"/>
          <w:sz w:val="32"/>
          <w:szCs w:val="32"/>
        </w:rPr>
        <w:t>：</w:t>
      </w:r>
    </w:p>
    <w:p w14:paraId="71B43B08">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hint="eastAsia" w:ascii="仿宋" w:hAnsi="仿宋" w:eastAsia="仿宋" w:cs="仿宋"/>
          <w:b w:val="0"/>
          <w:spacing w:val="-4"/>
          <w:sz w:val="32"/>
          <w:szCs w:val="32"/>
        </w:rPr>
      </w:pPr>
      <w:r>
        <w:rPr>
          <w:rStyle w:val="22"/>
          <w:rFonts w:hint="eastAsia" w:ascii="仿宋" w:hAnsi="仿宋" w:eastAsia="仿宋" w:cs="仿宋"/>
          <w:b w:val="0"/>
          <w:spacing w:val="-4"/>
          <w:sz w:val="32"/>
          <w:szCs w:val="32"/>
        </w:rPr>
        <w:t>大型文化活动出勤率指标，指标值为</w:t>
      </w:r>
      <w:r>
        <w:rPr>
          <w:rStyle w:val="22"/>
          <w:rFonts w:hint="eastAsia" w:ascii="仿宋" w:hAnsi="仿宋" w:eastAsia="仿宋" w:cs="仿宋"/>
          <w:b w:val="0"/>
          <w:spacing w:val="-4"/>
          <w:sz w:val="32"/>
          <w:szCs w:val="32"/>
          <w:lang w:val="en-US" w:eastAsia="zh-CN"/>
        </w:rPr>
        <w:t>＞=90</w:t>
      </w:r>
      <w:r>
        <w:rPr>
          <w:rStyle w:val="22"/>
          <w:rFonts w:hint="eastAsia" w:ascii="仿宋" w:hAnsi="仿宋" w:eastAsia="仿宋" w:cs="仿宋"/>
          <w:b w:val="0"/>
          <w:spacing w:val="-4"/>
          <w:sz w:val="32"/>
          <w:szCs w:val="32"/>
        </w:rPr>
        <w:t>%，实际完成值9</w:t>
      </w:r>
      <w:r>
        <w:rPr>
          <w:rStyle w:val="22"/>
          <w:rFonts w:hint="eastAsia" w:ascii="仿宋" w:hAnsi="仿宋" w:eastAsia="仿宋" w:cs="仿宋"/>
          <w:b w:val="0"/>
          <w:spacing w:val="-4"/>
          <w:sz w:val="32"/>
          <w:szCs w:val="32"/>
          <w:lang w:val="en-US" w:eastAsia="zh-CN"/>
        </w:rPr>
        <w:t>0</w:t>
      </w:r>
      <w:r>
        <w:rPr>
          <w:rStyle w:val="22"/>
          <w:rFonts w:hint="eastAsia" w:ascii="仿宋" w:hAnsi="仿宋" w:eastAsia="仿宋" w:cs="仿宋"/>
          <w:b w:val="0"/>
          <w:spacing w:val="-4"/>
          <w:sz w:val="32"/>
          <w:szCs w:val="32"/>
        </w:rPr>
        <w:t>%，指标完成率100%。</w:t>
      </w:r>
    </w:p>
    <w:p w14:paraId="7E39D76C">
      <w:pPr>
        <w:pStyle w:val="2"/>
        <w:ind w:firstLine="624" w:firstLineChars="200"/>
        <w:jc w:val="both"/>
        <w:rPr>
          <w:rStyle w:val="22"/>
          <w:rFonts w:hint="eastAsia" w:ascii="仿宋" w:hAnsi="仿宋" w:eastAsia="仿宋" w:cs="仿宋"/>
          <w:b w:val="0"/>
          <w:bCs/>
          <w:spacing w:val="-4"/>
          <w:kern w:val="2"/>
          <w:sz w:val="32"/>
          <w:szCs w:val="32"/>
          <w:lang w:val="en-US" w:eastAsia="zh-CN" w:bidi="ar-SA"/>
        </w:rPr>
      </w:pPr>
      <w:r>
        <w:rPr>
          <w:rStyle w:val="22"/>
          <w:rFonts w:hint="eastAsia" w:ascii="仿宋" w:hAnsi="仿宋" w:eastAsia="仿宋" w:cs="仿宋"/>
          <w:b w:val="0"/>
          <w:bCs/>
          <w:spacing w:val="-4"/>
          <w:kern w:val="2"/>
          <w:sz w:val="32"/>
          <w:szCs w:val="32"/>
          <w:lang w:val="en-US" w:eastAsia="zh-CN" w:bidi="ar-SA"/>
        </w:rPr>
        <w:t>校园文化宣传品质量合格率指标，指标值为100%，</w:t>
      </w:r>
      <w:r>
        <w:rPr>
          <w:rStyle w:val="22"/>
          <w:rFonts w:hint="eastAsia" w:ascii="仿宋" w:hAnsi="仿宋" w:eastAsia="仿宋" w:cs="仿宋"/>
          <w:b w:val="0"/>
          <w:bCs/>
          <w:spacing w:val="-4"/>
          <w:sz w:val="32"/>
          <w:szCs w:val="32"/>
        </w:rPr>
        <w:t>实际完成值</w:t>
      </w:r>
      <w:r>
        <w:rPr>
          <w:rStyle w:val="22"/>
          <w:rFonts w:hint="eastAsia" w:ascii="仿宋" w:hAnsi="仿宋" w:eastAsia="仿宋" w:cs="仿宋"/>
          <w:b w:val="0"/>
          <w:bCs/>
          <w:spacing w:val="-4"/>
          <w:sz w:val="32"/>
          <w:szCs w:val="32"/>
          <w:lang w:val="en-US" w:eastAsia="zh-CN"/>
        </w:rPr>
        <w:t>100</w:t>
      </w:r>
      <w:r>
        <w:rPr>
          <w:rStyle w:val="22"/>
          <w:rFonts w:hint="eastAsia" w:ascii="仿宋" w:hAnsi="仿宋" w:eastAsia="仿宋" w:cs="仿宋"/>
          <w:b w:val="0"/>
          <w:bCs/>
          <w:spacing w:val="-4"/>
          <w:sz w:val="32"/>
          <w:szCs w:val="32"/>
        </w:rPr>
        <w:t>%，指标完成率100%。</w:t>
      </w:r>
    </w:p>
    <w:p w14:paraId="6B951CE2">
      <w:pPr>
        <w:keepNext w:val="0"/>
        <w:keepLines w:val="0"/>
        <w:pageBreakBefore w:val="0"/>
        <w:kinsoku/>
        <w:wordWrap/>
        <w:overflowPunct/>
        <w:topLinePunct w:val="0"/>
        <w:autoSpaceDE/>
        <w:autoSpaceDN/>
        <w:bidi w:val="0"/>
        <w:adjustRightInd/>
        <w:snapToGrid/>
        <w:spacing w:line="560" w:lineRule="exact"/>
        <w:ind w:left="514" w:leftChars="245" w:right="0" w:rightChars="0"/>
        <w:textAlignment w:val="auto"/>
        <w:outlineLvl w:val="0"/>
        <w:rPr>
          <w:rFonts w:ascii="仿宋" w:hAnsi="仿宋" w:eastAsia="仿宋" w:cs="仿宋"/>
          <w:b/>
          <w:sz w:val="32"/>
          <w:szCs w:val="32"/>
        </w:rPr>
      </w:pPr>
      <w:r>
        <w:rPr>
          <w:rFonts w:hint="eastAsia" w:ascii="仿宋" w:hAnsi="仿宋" w:eastAsia="仿宋" w:cs="仿宋"/>
          <w:b/>
          <w:sz w:val="32"/>
          <w:szCs w:val="32"/>
        </w:rPr>
        <w:t>3.时效指标：</w:t>
      </w:r>
    </w:p>
    <w:p w14:paraId="7CC3163A">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hint="eastAsia" w:ascii="仿宋" w:hAnsi="仿宋" w:eastAsia="仿宋" w:cs="仿宋"/>
          <w:b w:val="0"/>
          <w:spacing w:val="-4"/>
          <w:sz w:val="32"/>
          <w:szCs w:val="32"/>
        </w:rPr>
      </w:pPr>
      <w:r>
        <w:rPr>
          <w:rStyle w:val="22"/>
          <w:rFonts w:hint="eastAsia" w:ascii="仿宋" w:hAnsi="仿宋" w:eastAsia="仿宋" w:cs="仿宋"/>
          <w:b w:val="0"/>
          <w:spacing w:val="-4"/>
          <w:sz w:val="32"/>
          <w:szCs w:val="32"/>
        </w:rPr>
        <w:t>文化活动按期完成率指标，指标值为100%，实际完成值100%，完成率100%。</w:t>
      </w:r>
    </w:p>
    <w:p w14:paraId="6BE2BF28">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hint="eastAsia" w:ascii="仿宋" w:hAnsi="仿宋" w:eastAsia="仿宋" w:cs="仿宋"/>
          <w:b w:val="0"/>
          <w:spacing w:val="-4"/>
          <w:sz w:val="32"/>
          <w:szCs w:val="32"/>
        </w:rPr>
      </w:pPr>
      <w:r>
        <w:rPr>
          <w:rStyle w:val="22"/>
          <w:rFonts w:hint="eastAsia" w:ascii="仿宋" w:hAnsi="仿宋" w:eastAsia="仿宋" w:cs="仿宋"/>
          <w:b w:val="0"/>
          <w:spacing w:val="-4"/>
          <w:sz w:val="32"/>
          <w:szCs w:val="32"/>
        </w:rPr>
        <w:t>校园文化阵地建设完成</w:t>
      </w:r>
      <w:r>
        <w:rPr>
          <w:rStyle w:val="22"/>
          <w:rFonts w:hint="eastAsia" w:ascii="仿宋" w:hAnsi="仿宋" w:eastAsia="仿宋" w:cs="仿宋"/>
          <w:b w:val="0"/>
          <w:spacing w:val="-4"/>
          <w:sz w:val="32"/>
          <w:szCs w:val="32"/>
          <w:lang w:val="en-US" w:eastAsia="zh-CN"/>
        </w:rPr>
        <w:t>指标，指标值为100%，</w:t>
      </w:r>
      <w:r>
        <w:rPr>
          <w:rStyle w:val="22"/>
          <w:rFonts w:hint="eastAsia" w:ascii="仿宋" w:hAnsi="仿宋" w:eastAsia="仿宋" w:cs="仿宋"/>
          <w:b w:val="0"/>
          <w:spacing w:val="-4"/>
          <w:sz w:val="32"/>
          <w:szCs w:val="32"/>
        </w:rPr>
        <w:t>实际完成值100%，完成率100%。</w:t>
      </w:r>
    </w:p>
    <w:p w14:paraId="7E88684E">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outlineLvl w:val="0"/>
        <w:rPr>
          <w:rFonts w:ascii="仿宋" w:hAnsi="仿宋" w:eastAsia="仿宋" w:cs="仿宋"/>
          <w:b/>
          <w:bCs/>
          <w:sz w:val="32"/>
          <w:szCs w:val="32"/>
        </w:rPr>
      </w:pPr>
      <w:r>
        <w:rPr>
          <w:rFonts w:hint="eastAsia" w:ascii="仿宋" w:hAnsi="仿宋" w:eastAsia="仿宋" w:cs="仿宋"/>
          <w:b/>
          <w:bCs/>
          <w:sz w:val="32"/>
          <w:szCs w:val="32"/>
        </w:rPr>
        <w:t>（四）项目效益情况</w:t>
      </w:r>
    </w:p>
    <w:p w14:paraId="7CFC9167">
      <w:pPr>
        <w:keepNext w:val="0"/>
        <w:keepLines w:val="0"/>
        <w:pageBreakBefore w:val="0"/>
        <w:widowControl/>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spacing w:val="-4"/>
          <w:sz w:val="32"/>
          <w:szCs w:val="32"/>
        </w:rPr>
      </w:pPr>
      <w:r>
        <w:rPr>
          <w:rStyle w:val="22"/>
          <w:rFonts w:hint="eastAsia" w:ascii="仿宋" w:hAnsi="仿宋" w:eastAsia="仿宋" w:cs="仿宋"/>
          <w:spacing w:val="-4"/>
          <w:sz w:val="32"/>
          <w:szCs w:val="32"/>
        </w:rPr>
        <w:t>1.社会效益指标</w:t>
      </w:r>
    </w:p>
    <w:p w14:paraId="2825EB9A">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hint="eastAsia" w:ascii="仿宋" w:hAnsi="仿宋" w:eastAsia="仿宋" w:cs="仿宋"/>
          <w:b w:val="0"/>
          <w:spacing w:val="-4"/>
          <w:sz w:val="32"/>
          <w:szCs w:val="32"/>
        </w:rPr>
      </w:pPr>
      <w:r>
        <w:rPr>
          <w:rStyle w:val="22"/>
          <w:rFonts w:hint="eastAsia" w:ascii="仿宋" w:hAnsi="仿宋" w:eastAsia="仿宋" w:cs="仿宋"/>
          <w:b w:val="0"/>
          <w:spacing w:val="-4"/>
          <w:sz w:val="32"/>
          <w:szCs w:val="32"/>
        </w:rPr>
        <w:t>学生的政治素养和爱国主义情怀，指标值为有效提高，实际完成值有效提高，完成率100%。</w:t>
      </w:r>
    </w:p>
    <w:p w14:paraId="751D7C22">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学院的育人能力和社会认可度，指标值为效果显著，实际完成值效果显著，完成率100%。</w:t>
      </w:r>
    </w:p>
    <w:p w14:paraId="2D08A0B1">
      <w:pPr>
        <w:keepNext w:val="0"/>
        <w:keepLines w:val="0"/>
        <w:pageBreakBefore w:val="0"/>
        <w:kinsoku/>
        <w:wordWrap/>
        <w:overflowPunct/>
        <w:topLinePunct w:val="0"/>
        <w:autoSpaceDE/>
        <w:autoSpaceDN/>
        <w:bidi w:val="0"/>
        <w:adjustRightInd/>
        <w:snapToGrid/>
        <w:spacing w:line="560" w:lineRule="exact"/>
        <w:ind w:right="0" w:rightChars="0" w:firstLine="627" w:firstLineChars="200"/>
        <w:jc w:val="left"/>
        <w:textAlignment w:val="auto"/>
        <w:rPr>
          <w:rStyle w:val="22"/>
          <w:rFonts w:ascii="仿宋" w:hAnsi="仿宋" w:eastAsia="仿宋" w:cs="仿宋"/>
          <w:spacing w:val="-4"/>
          <w:sz w:val="32"/>
          <w:szCs w:val="32"/>
        </w:rPr>
      </w:pPr>
      <w:r>
        <w:rPr>
          <w:rStyle w:val="22"/>
          <w:rFonts w:hint="eastAsia" w:ascii="仿宋" w:hAnsi="仿宋" w:eastAsia="仿宋" w:cs="仿宋"/>
          <w:spacing w:val="-4"/>
          <w:sz w:val="32"/>
          <w:szCs w:val="32"/>
        </w:rPr>
        <w:t>2.满意度指标</w:t>
      </w:r>
    </w:p>
    <w:p w14:paraId="3807AF70">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hint="eastAsia" w:ascii="仿宋" w:hAnsi="仿宋" w:eastAsia="仿宋" w:cs="仿宋"/>
          <w:b w:val="0"/>
          <w:spacing w:val="-4"/>
          <w:sz w:val="32"/>
          <w:szCs w:val="32"/>
        </w:rPr>
      </w:pPr>
      <w:r>
        <w:rPr>
          <w:rStyle w:val="22"/>
          <w:rFonts w:hint="eastAsia" w:ascii="仿宋" w:hAnsi="仿宋" w:eastAsia="仿宋" w:cs="仿宋"/>
          <w:b w:val="0"/>
          <w:spacing w:val="-4"/>
          <w:sz w:val="32"/>
          <w:szCs w:val="32"/>
        </w:rPr>
        <w:t>教师满意度，指标值为90%，实际完成值90%，指标完成率100%。</w:t>
      </w:r>
    </w:p>
    <w:p w14:paraId="6BED1DF8">
      <w:pPr>
        <w:keepNext w:val="0"/>
        <w:keepLines w:val="0"/>
        <w:pageBreakBefore w:val="0"/>
        <w:kinsoku/>
        <w:wordWrap/>
        <w:overflowPunct/>
        <w:topLinePunct w:val="0"/>
        <w:autoSpaceDE/>
        <w:autoSpaceDN/>
        <w:bidi w:val="0"/>
        <w:adjustRightInd/>
        <w:snapToGrid/>
        <w:spacing w:line="560" w:lineRule="exact"/>
        <w:ind w:right="0" w:rightChars="0" w:firstLine="624" w:firstLineChars="200"/>
        <w:textAlignment w:val="auto"/>
        <w:rPr>
          <w:rStyle w:val="22"/>
          <w:rFonts w:ascii="仿宋" w:hAnsi="仿宋" w:eastAsia="仿宋" w:cs="仿宋"/>
          <w:b w:val="0"/>
          <w:spacing w:val="-4"/>
          <w:sz w:val="32"/>
          <w:szCs w:val="32"/>
        </w:rPr>
      </w:pPr>
      <w:r>
        <w:rPr>
          <w:rStyle w:val="22"/>
          <w:rFonts w:hint="eastAsia" w:ascii="仿宋" w:hAnsi="仿宋" w:eastAsia="仿宋" w:cs="仿宋"/>
          <w:b w:val="0"/>
          <w:spacing w:val="-4"/>
          <w:sz w:val="32"/>
          <w:szCs w:val="32"/>
        </w:rPr>
        <w:t>学生满意度，指标值为90%，实际完成值90%，指标完成率100%。</w:t>
      </w:r>
    </w:p>
    <w:p w14:paraId="309E3CEB">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sz w:val="32"/>
          <w:szCs w:val="32"/>
        </w:rPr>
      </w:pPr>
      <w:r>
        <w:rPr>
          <w:rFonts w:hint="eastAsia" w:ascii="黑体" w:hAnsi="黑体" w:eastAsia="黑体"/>
          <w:sz w:val="32"/>
          <w:szCs w:val="32"/>
        </w:rPr>
        <w:t>五、主要经验及做法、存在的问题及原因分析</w:t>
      </w:r>
    </w:p>
    <w:p w14:paraId="2640A792">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Style w:val="22"/>
          <w:rFonts w:ascii="仿宋" w:hAnsi="仿宋" w:eastAsia="仿宋" w:cs="仿宋"/>
          <w:b w:val="0"/>
          <w:spacing w:val="-4"/>
          <w:sz w:val="32"/>
          <w:szCs w:val="32"/>
        </w:rPr>
      </w:pPr>
      <w:r>
        <w:rPr>
          <w:rFonts w:hint="eastAsia" w:ascii="仿宋" w:hAnsi="仿宋" w:eastAsia="仿宋" w:cs="仿宋"/>
          <w:b/>
          <w:bCs/>
          <w:sz w:val="32"/>
          <w:szCs w:val="32"/>
        </w:rPr>
        <w:t>（一）主要经验及做法：</w:t>
      </w:r>
      <w:r>
        <w:rPr>
          <w:rStyle w:val="22"/>
          <w:rFonts w:hint="eastAsia" w:ascii="仿宋" w:hAnsi="仿宋" w:eastAsia="仿宋" w:cs="仿宋"/>
          <w:b w:val="0"/>
          <w:spacing w:val="-4"/>
          <w:sz w:val="32"/>
          <w:szCs w:val="32"/>
        </w:rPr>
        <w:t>通过加大经费投入支持推进高校思想政治工作，进一步完善了学校思想政治教育阵地建设，提升了学校校园文化宣传氛围，进一步巩固了社会主义核心价值观的宣传阵地。</w:t>
      </w:r>
    </w:p>
    <w:p w14:paraId="7D3EB0C6">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仿宋" w:hAnsi="仿宋" w:eastAsia="仿宋" w:cs="仿宋"/>
          <w:b/>
          <w:bCs/>
          <w:sz w:val="32"/>
          <w:szCs w:val="32"/>
        </w:rPr>
      </w:pPr>
      <w:r>
        <w:rPr>
          <w:rFonts w:hint="eastAsia" w:ascii="仿宋" w:hAnsi="仿宋" w:eastAsia="仿宋" w:cs="仿宋"/>
          <w:b/>
          <w:bCs/>
          <w:sz w:val="32"/>
          <w:szCs w:val="32"/>
        </w:rPr>
        <w:t>（二）存在的问题及原因分析</w:t>
      </w:r>
    </w:p>
    <w:p w14:paraId="78E642C9">
      <w:pPr>
        <w:keepNext w:val="0"/>
        <w:keepLines w:val="0"/>
        <w:pageBreakBefore w:val="0"/>
        <w:kinsoku/>
        <w:wordWrap/>
        <w:overflowPunct/>
        <w:topLinePunct w:val="0"/>
        <w:autoSpaceDE/>
        <w:autoSpaceDN/>
        <w:bidi w:val="0"/>
        <w:adjustRightInd/>
        <w:snapToGrid/>
        <w:spacing w:line="560" w:lineRule="exact"/>
        <w:ind w:right="0" w:rightChars="0" w:firstLine="643" w:firstLineChars="200"/>
        <w:textAlignment w:val="auto"/>
        <w:rPr>
          <w:rFonts w:ascii="仿宋" w:hAnsi="仿宋" w:eastAsia="仿宋" w:cs="仿宋"/>
          <w:sz w:val="32"/>
          <w:szCs w:val="32"/>
        </w:rPr>
      </w:pPr>
      <w:r>
        <w:rPr>
          <w:rFonts w:hint="eastAsia" w:ascii="仿宋" w:hAnsi="仿宋" w:eastAsia="仿宋" w:cs="仿宋"/>
          <w:b/>
          <w:bCs/>
          <w:sz w:val="32"/>
          <w:szCs w:val="32"/>
        </w:rPr>
        <w:t>1、</w:t>
      </w:r>
      <w:r>
        <w:rPr>
          <w:rFonts w:hint="eastAsia" w:ascii="仿宋" w:hAnsi="仿宋" w:eastAsia="仿宋" w:cs="仿宋"/>
          <w:b/>
          <w:bCs/>
          <w:sz w:val="32"/>
          <w:szCs w:val="32"/>
          <w:lang w:eastAsia="zh-CN"/>
        </w:rPr>
        <w:t>年度资金使用不够细化。</w:t>
      </w:r>
      <w:r>
        <w:rPr>
          <w:rFonts w:hint="eastAsia" w:ascii="仿宋" w:hAnsi="仿宋" w:eastAsia="仿宋" w:cs="仿宋"/>
          <w:sz w:val="32"/>
          <w:szCs w:val="32"/>
          <w:lang w:eastAsia="zh-CN"/>
        </w:rPr>
        <w:t>因部门人事变动，工作承接连续性不足等问题，导致思政资金在使用过程中不够准确，预算资金未能全部执行完毕</w:t>
      </w:r>
      <w:r>
        <w:rPr>
          <w:rFonts w:hint="eastAsia" w:ascii="仿宋" w:hAnsi="仿宋" w:eastAsia="仿宋" w:cs="仿宋"/>
          <w:sz w:val="32"/>
          <w:szCs w:val="32"/>
        </w:rPr>
        <w:t>。</w:t>
      </w:r>
      <w:r>
        <w:rPr>
          <w:rFonts w:hint="eastAsia" w:ascii="仿宋" w:hAnsi="仿宋" w:eastAsia="仿宋" w:cs="仿宋"/>
          <w:sz w:val="32"/>
          <w:szCs w:val="32"/>
          <w:lang w:eastAsia="zh-CN"/>
        </w:rPr>
        <w:t>思政资金支持项目的评价与学院整体绩效评价的衔接与契合不足，需要进一步优化</w:t>
      </w:r>
      <w:r>
        <w:rPr>
          <w:rFonts w:hint="eastAsia" w:ascii="仿宋" w:hAnsi="仿宋" w:eastAsia="仿宋" w:cs="仿宋"/>
          <w:sz w:val="32"/>
          <w:szCs w:val="32"/>
        </w:rPr>
        <w:t>。</w:t>
      </w:r>
    </w:p>
    <w:p w14:paraId="3D7DB6F6">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eastAsia="zh-CN"/>
        </w:rPr>
        <w:t>思政资金及其他渠道资金使用范围需要进一步明确。</w:t>
      </w:r>
    </w:p>
    <w:p w14:paraId="49038474">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ascii="黑体" w:hAnsi="黑体" w:eastAsia="黑体"/>
          <w:sz w:val="32"/>
          <w:szCs w:val="32"/>
        </w:rPr>
      </w:pPr>
      <w:r>
        <w:rPr>
          <w:rFonts w:hint="eastAsia" w:ascii="黑体" w:hAnsi="黑体" w:eastAsia="黑体"/>
          <w:sz w:val="32"/>
          <w:szCs w:val="32"/>
        </w:rPr>
        <w:t>六、有关建议</w:t>
      </w:r>
    </w:p>
    <w:p w14:paraId="651DA44F">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一是针对涉及面较广且普遍存在的性质、用途相同的项目资金，建议上级部门能够积极协调，统一编制绩效评价指标体系，统一评价原则、方法、标准，从而提高绩效评价工作的科学性、权威性，也便于各单位认真落实绩效评价工作。</w:t>
      </w:r>
    </w:p>
    <w:p w14:paraId="7100D299">
      <w:pPr>
        <w:keepNext w:val="0"/>
        <w:keepLines w:val="0"/>
        <w:pageBreakBefore w:val="0"/>
        <w:kinsoku/>
        <w:wordWrap/>
        <w:overflowPunct/>
        <w:topLinePunct w:val="0"/>
        <w:autoSpaceDE/>
        <w:autoSpaceDN/>
        <w:bidi w:val="0"/>
        <w:adjustRightInd/>
        <w:snapToGrid/>
        <w:spacing w:line="560" w:lineRule="exact"/>
        <w:ind w:right="0" w:rightChars="0" w:firstLine="640" w:firstLineChars="200"/>
        <w:textAlignment w:val="auto"/>
        <w:rPr>
          <w:rFonts w:hint="eastAsia"/>
          <w:lang w:eastAsia="zh-CN"/>
        </w:rPr>
      </w:pPr>
      <w:r>
        <w:rPr>
          <w:rFonts w:hint="eastAsia" w:ascii="仿宋" w:hAnsi="仿宋" w:eastAsia="仿宋" w:cs="仿宋"/>
          <w:sz w:val="32"/>
          <w:szCs w:val="32"/>
          <w:lang w:eastAsia="zh-CN"/>
        </w:rPr>
        <w:t>二是结合学院发展目标、师生需求，适当增加思政经费预算，为进一步丰富师生校园文化生活，提升思政工作质量提供资金保障。</w:t>
      </w:r>
    </w:p>
    <w:p w14:paraId="5292A4C1">
      <w:pPr>
        <w:spacing w:line="540" w:lineRule="exact"/>
        <w:ind w:firstLine="640"/>
        <w:rPr>
          <w:rStyle w:val="22"/>
          <w:rFonts w:ascii="黑体" w:hAnsi="黑体" w:eastAsia="黑体"/>
          <w:b w:val="0"/>
          <w:spacing w:val="-4"/>
          <w:sz w:val="32"/>
          <w:szCs w:val="32"/>
        </w:rPr>
      </w:pPr>
      <w:r>
        <w:rPr>
          <w:rStyle w:val="22"/>
          <w:rFonts w:hint="eastAsia" w:ascii="黑体" w:hAnsi="黑体" w:eastAsia="黑体"/>
          <w:b w:val="0"/>
          <w:spacing w:val="-4"/>
          <w:sz w:val="32"/>
          <w:szCs w:val="32"/>
        </w:rPr>
        <w:t>七、其他需要说明的问题</w:t>
      </w:r>
    </w:p>
    <w:p w14:paraId="39475A7C">
      <w:pPr>
        <w:spacing w:line="60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76602990">
      <w:pPr>
        <w:spacing w:line="600" w:lineRule="exact"/>
        <w:rPr>
          <w:rFonts w:ascii="仿宋_GB2312" w:hAnsi="仿宋_GB2312" w:eastAsia="仿宋_GB2312" w:cs="仿宋_GB2312"/>
          <w:sz w:val="32"/>
          <w:szCs w:val="32"/>
        </w:rPr>
      </w:pPr>
    </w:p>
    <w:p w14:paraId="78E483AD">
      <w:pPr>
        <w:pStyle w:val="2"/>
        <w:rPr>
          <w:rFonts w:ascii="仿宋_GB2312" w:hAnsi="仿宋_GB2312" w:eastAsia="仿宋_GB2312" w:cs="仿宋_GB2312"/>
          <w:sz w:val="32"/>
          <w:szCs w:val="32"/>
        </w:rPr>
      </w:pPr>
    </w:p>
    <w:p w14:paraId="6E9E7AC9">
      <w:pPr>
        <w:spacing w:line="540" w:lineRule="exact"/>
        <w:rPr>
          <w:rStyle w:val="22"/>
          <w:rFonts w:ascii="仿宋" w:hAnsi="仿宋" w:eastAsia="仿宋"/>
          <w:b w:val="0"/>
          <w:spacing w:val="-4"/>
          <w:sz w:val="32"/>
          <w:szCs w:val="32"/>
        </w:rPr>
      </w:pPr>
      <w:bookmarkStart w:id="1" w:name="_GoBack"/>
      <w:bookmarkEnd w:id="1"/>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decorative"/>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82CCC74">
        <w:pPr>
          <w:pStyle w:val="14"/>
          <w:jc w:val="center"/>
        </w:pPr>
        <w:r>
          <w:fldChar w:fldCharType="begin"/>
        </w:r>
        <w:r>
          <w:instrText xml:space="preserve">PAGE   \* MERGEFORMAT</w:instrText>
        </w:r>
        <w:r>
          <w:fldChar w:fldCharType="separate"/>
        </w:r>
        <w:r>
          <w:rPr>
            <w:lang w:val="zh-CN"/>
          </w:rPr>
          <w:t>8</w:t>
        </w:r>
        <w:r>
          <w:fldChar w:fldCharType="end"/>
        </w:r>
      </w:p>
    </w:sdtContent>
  </w:sdt>
  <w:p w14:paraId="287143FB">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55511">
    <w:pPr>
      <w:pStyle w:val="1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s>
  <w:rsids>
    <w:rsidRoot w:val="00CA6457"/>
    <w:rsid w:val="00050333"/>
    <w:rsid w:val="00054C9E"/>
    <w:rsid w:val="00056465"/>
    <w:rsid w:val="00097E72"/>
    <w:rsid w:val="000D374A"/>
    <w:rsid w:val="000F414E"/>
    <w:rsid w:val="00112550"/>
    <w:rsid w:val="00121AE4"/>
    <w:rsid w:val="00146AAD"/>
    <w:rsid w:val="001533CF"/>
    <w:rsid w:val="00156A42"/>
    <w:rsid w:val="00166A00"/>
    <w:rsid w:val="00174EC1"/>
    <w:rsid w:val="001824CC"/>
    <w:rsid w:val="001B3A40"/>
    <w:rsid w:val="001D3F38"/>
    <w:rsid w:val="003949EB"/>
    <w:rsid w:val="003D20A3"/>
    <w:rsid w:val="004366A8"/>
    <w:rsid w:val="00460385"/>
    <w:rsid w:val="00473679"/>
    <w:rsid w:val="00496C0B"/>
    <w:rsid w:val="004D10BD"/>
    <w:rsid w:val="00502BA7"/>
    <w:rsid w:val="005162F1"/>
    <w:rsid w:val="00534FA7"/>
    <w:rsid w:val="00535153"/>
    <w:rsid w:val="00543409"/>
    <w:rsid w:val="00554F82"/>
    <w:rsid w:val="0056390D"/>
    <w:rsid w:val="005719B0"/>
    <w:rsid w:val="005C0FEB"/>
    <w:rsid w:val="005C6C6E"/>
    <w:rsid w:val="005D10D6"/>
    <w:rsid w:val="00652F80"/>
    <w:rsid w:val="006F58C4"/>
    <w:rsid w:val="00757B9E"/>
    <w:rsid w:val="007D7D25"/>
    <w:rsid w:val="007E64AD"/>
    <w:rsid w:val="00855E3A"/>
    <w:rsid w:val="0087679D"/>
    <w:rsid w:val="00893EEA"/>
    <w:rsid w:val="008F2A1F"/>
    <w:rsid w:val="00922CB9"/>
    <w:rsid w:val="00941F68"/>
    <w:rsid w:val="009813F4"/>
    <w:rsid w:val="009C2166"/>
    <w:rsid w:val="009E5CD9"/>
    <w:rsid w:val="009F09D5"/>
    <w:rsid w:val="00A26421"/>
    <w:rsid w:val="00A4293B"/>
    <w:rsid w:val="00A67D50"/>
    <w:rsid w:val="00A8691A"/>
    <w:rsid w:val="00AC1946"/>
    <w:rsid w:val="00AE7D35"/>
    <w:rsid w:val="00B31BC4"/>
    <w:rsid w:val="00B40063"/>
    <w:rsid w:val="00B41F61"/>
    <w:rsid w:val="00B86E3B"/>
    <w:rsid w:val="00B97391"/>
    <w:rsid w:val="00BA3854"/>
    <w:rsid w:val="00BA46E6"/>
    <w:rsid w:val="00BC7E89"/>
    <w:rsid w:val="00BD21A4"/>
    <w:rsid w:val="00C23C8C"/>
    <w:rsid w:val="00C56C72"/>
    <w:rsid w:val="00C67ECE"/>
    <w:rsid w:val="00C801B7"/>
    <w:rsid w:val="00C81F97"/>
    <w:rsid w:val="00CA6457"/>
    <w:rsid w:val="00CF499A"/>
    <w:rsid w:val="00D17F2E"/>
    <w:rsid w:val="00D27CF6"/>
    <w:rsid w:val="00D30354"/>
    <w:rsid w:val="00D51650"/>
    <w:rsid w:val="00DF42A0"/>
    <w:rsid w:val="00E25B20"/>
    <w:rsid w:val="00E610A7"/>
    <w:rsid w:val="00E769FE"/>
    <w:rsid w:val="00EA2CBE"/>
    <w:rsid w:val="00EE504B"/>
    <w:rsid w:val="00F32FEE"/>
    <w:rsid w:val="00F423BF"/>
    <w:rsid w:val="00F648DB"/>
    <w:rsid w:val="00FA7CB7"/>
    <w:rsid w:val="00FB10BB"/>
    <w:rsid w:val="00FF26AA"/>
    <w:rsid w:val="01F1230A"/>
    <w:rsid w:val="0230135D"/>
    <w:rsid w:val="028871D8"/>
    <w:rsid w:val="028B4607"/>
    <w:rsid w:val="03D61F10"/>
    <w:rsid w:val="03F37758"/>
    <w:rsid w:val="0456200F"/>
    <w:rsid w:val="04A728AE"/>
    <w:rsid w:val="053C1707"/>
    <w:rsid w:val="057E12A3"/>
    <w:rsid w:val="08024FA9"/>
    <w:rsid w:val="09025606"/>
    <w:rsid w:val="092473AF"/>
    <w:rsid w:val="09AB115C"/>
    <w:rsid w:val="0ACF05A6"/>
    <w:rsid w:val="0BF978D5"/>
    <w:rsid w:val="0DCC5366"/>
    <w:rsid w:val="100D6036"/>
    <w:rsid w:val="10355E7D"/>
    <w:rsid w:val="10380578"/>
    <w:rsid w:val="10A6712E"/>
    <w:rsid w:val="10AD61DD"/>
    <w:rsid w:val="1179787D"/>
    <w:rsid w:val="11A575F2"/>
    <w:rsid w:val="125764C0"/>
    <w:rsid w:val="13272F7A"/>
    <w:rsid w:val="13694A12"/>
    <w:rsid w:val="139A25D9"/>
    <w:rsid w:val="149E4FAC"/>
    <w:rsid w:val="1521140A"/>
    <w:rsid w:val="15863910"/>
    <w:rsid w:val="16E6314C"/>
    <w:rsid w:val="170D7F3E"/>
    <w:rsid w:val="174A5489"/>
    <w:rsid w:val="17E53404"/>
    <w:rsid w:val="18187335"/>
    <w:rsid w:val="1A7867B1"/>
    <w:rsid w:val="1C622C3A"/>
    <w:rsid w:val="1D071848"/>
    <w:rsid w:val="1D291FA4"/>
    <w:rsid w:val="1D8621B7"/>
    <w:rsid w:val="1E607E97"/>
    <w:rsid w:val="1F813B73"/>
    <w:rsid w:val="1FB371DB"/>
    <w:rsid w:val="1FE50C66"/>
    <w:rsid w:val="2203665D"/>
    <w:rsid w:val="22117970"/>
    <w:rsid w:val="23553FCE"/>
    <w:rsid w:val="239F4588"/>
    <w:rsid w:val="23D20CE0"/>
    <w:rsid w:val="23FC3CD9"/>
    <w:rsid w:val="24376D95"/>
    <w:rsid w:val="244770AE"/>
    <w:rsid w:val="25352649"/>
    <w:rsid w:val="256020DB"/>
    <w:rsid w:val="25673C14"/>
    <w:rsid w:val="26180329"/>
    <w:rsid w:val="26227EF9"/>
    <w:rsid w:val="273C66CE"/>
    <w:rsid w:val="27DC7C60"/>
    <w:rsid w:val="298C1931"/>
    <w:rsid w:val="2A917C3A"/>
    <w:rsid w:val="2AED0292"/>
    <w:rsid w:val="2B205BC8"/>
    <w:rsid w:val="2BDB25F3"/>
    <w:rsid w:val="2C3632CF"/>
    <w:rsid w:val="2D1E05E9"/>
    <w:rsid w:val="2E505623"/>
    <w:rsid w:val="2E750263"/>
    <w:rsid w:val="2ED007C9"/>
    <w:rsid w:val="2ED25604"/>
    <w:rsid w:val="2F1835E3"/>
    <w:rsid w:val="2F19195A"/>
    <w:rsid w:val="308679FC"/>
    <w:rsid w:val="30EE4C7F"/>
    <w:rsid w:val="31BC3295"/>
    <w:rsid w:val="32B86E31"/>
    <w:rsid w:val="32D53CCA"/>
    <w:rsid w:val="33182371"/>
    <w:rsid w:val="33912953"/>
    <w:rsid w:val="34533777"/>
    <w:rsid w:val="34EC23A6"/>
    <w:rsid w:val="35EF336E"/>
    <w:rsid w:val="360C6C76"/>
    <w:rsid w:val="38664757"/>
    <w:rsid w:val="39B54BA5"/>
    <w:rsid w:val="3A5B6730"/>
    <w:rsid w:val="3C1E0B0E"/>
    <w:rsid w:val="3C454147"/>
    <w:rsid w:val="3CED6581"/>
    <w:rsid w:val="3D9B027B"/>
    <w:rsid w:val="3DB07056"/>
    <w:rsid w:val="3DCF124E"/>
    <w:rsid w:val="3DD004BA"/>
    <w:rsid w:val="3ECE46C9"/>
    <w:rsid w:val="3F671E8D"/>
    <w:rsid w:val="3F747A5D"/>
    <w:rsid w:val="4004188D"/>
    <w:rsid w:val="40070A53"/>
    <w:rsid w:val="40520D87"/>
    <w:rsid w:val="40D05FDE"/>
    <w:rsid w:val="40D53766"/>
    <w:rsid w:val="4192110F"/>
    <w:rsid w:val="41C51A2C"/>
    <w:rsid w:val="41D74DC0"/>
    <w:rsid w:val="42C24540"/>
    <w:rsid w:val="439846C1"/>
    <w:rsid w:val="445175A7"/>
    <w:rsid w:val="446077EA"/>
    <w:rsid w:val="449E3C6B"/>
    <w:rsid w:val="45905EAD"/>
    <w:rsid w:val="463E3B5B"/>
    <w:rsid w:val="46EC3681"/>
    <w:rsid w:val="47B73E5C"/>
    <w:rsid w:val="480E4469"/>
    <w:rsid w:val="484C62B2"/>
    <w:rsid w:val="489C108E"/>
    <w:rsid w:val="48CC544E"/>
    <w:rsid w:val="49AF5E38"/>
    <w:rsid w:val="4B5160DF"/>
    <w:rsid w:val="4B9761E7"/>
    <w:rsid w:val="4BF97F3F"/>
    <w:rsid w:val="4CC823D1"/>
    <w:rsid w:val="4CD314A1"/>
    <w:rsid w:val="4CFC28F2"/>
    <w:rsid w:val="4D5236BD"/>
    <w:rsid w:val="50A4424B"/>
    <w:rsid w:val="50BE4276"/>
    <w:rsid w:val="510746C6"/>
    <w:rsid w:val="510C4847"/>
    <w:rsid w:val="52714336"/>
    <w:rsid w:val="5314478E"/>
    <w:rsid w:val="539179C0"/>
    <w:rsid w:val="540037B7"/>
    <w:rsid w:val="541776CA"/>
    <w:rsid w:val="54A07EC9"/>
    <w:rsid w:val="55314FB7"/>
    <w:rsid w:val="558F6562"/>
    <w:rsid w:val="56D0674C"/>
    <w:rsid w:val="572D5C52"/>
    <w:rsid w:val="57312105"/>
    <w:rsid w:val="57B7551B"/>
    <w:rsid w:val="57B80C1C"/>
    <w:rsid w:val="57B822EA"/>
    <w:rsid w:val="58E24393"/>
    <w:rsid w:val="59914E4A"/>
    <w:rsid w:val="5AAF7F51"/>
    <w:rsid w:val="5AD678D5"/>
    <w:rsid w:val="5BF841EC"/>
    <w:rsid w:val="5C283458"/>
    <w:rsid w:val="5D7423BB"/>
    <w:rsid w:val="5DA807B0"/>
    <w:rsid w:val="5E1B6804"/>
    <w:rsid w:val="5F1D238B"/>
    <w:rsid w:val="5F7D3436"/>
    <w:rsid w:val="5FA54BAA"/>
    <w:rsid w:val="60452CD4"/>
    <w:rsid w:val="60D90D70"/>
    <w:rsid w:val="62B34235"/>
    <w:rsid w:val="631672EC"/>
    <w:rsid w:val="64A758AE"/>
    <w:rsid w:val="64C402BF"/>
    <w:rsid w:val="64EA785D"/>
    <w:rsid w:val="64FC10D6"/>
    <w:rsid w:val="650A1380"/>
    <w:rsid w:val="65E87914"/>
    <w:rsid w:val="675C0EF3"/>
    <w:rsid w:val="680A383B"/>
    <w:rsid w:val="682D3D04"/>
    <w:rsid w:val="6A535578"/>
    <w:rsid w:val="6C0C59DE"/>
    <w:rsid w:val="6C586E75"/>
    <w:rsid w:val="6C73245F"/>
    <w:rsid w:val="6D17249C"/>
    <w:rsid w:val="6D6A50B2"/>
    <w:rsid w:val="6E2D090E"/>
    <w:rsid w:val="6E9647EC"/>
    <w:rsid w:val="6F3B6D06"/>
    <w:rsid w:val="70F4421A"/>
    <w:rsid w:val="715045BF"/>
    <w:rsid w:val="71C3441F"/>
    <w:rsid w:val="71DA3917"/>
    <w:rsid w:val="71FF2D0C"/>
    <w:rsid w:val="725A2918"/>
    <w:rsid w:val="72C31671"/>
    <w:rsid w:val="735A1725"/>
    <w:rsid w:val="736A5E0C"/>
    <w:rsid w:val="746648A0"/>
    <w:rsid w:val="75B528CB"/>
    <w:rsid w:val="75BE243F"/>
    <w:rsid w:val="75F776FF"/>
    <w:rsid w:val="762403EB"/>
    <w:rsid w:val="76AC5D0D"/>
    <w:rsid w:val="77E141C3"/>
    <w:rsid w:val="79831FE8"/>
    <w:rsid w:val="7A7D5322"/>
    <w:rsid w:val="7A9D0EFB"/>
    <w:rsid w:val="7AF32F69"/>
    <w:rsid w:val="7C9F4D4E"/>
    <w:rsid w:val="7D3905FD"/>
    <w:rsid w:val="7DE22A43"/>
    <w:rsid w:val="7E1C0A58"/>
    <w:rsid w:val="7EC767CB"/>
    <w:rsid w:val="7F2B6A79"/>
    <w:rsid w:val="7FE950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unhideWhenUsed/>
    <w:qFormat/>
    <w:uiPriority w:val="99"/>
    <w:pPr>
      <w:jc w:val="left"/>
    </w:pPr>
  </w:style>
  <w:style w:type="paragraph" w:styleId="13">
    <w:name w:val="Balloon Text"/>
    <w:basedOn w:val="1"/>
    <w:link w:val="51"/>
    <w:unhideWhenUsed/>
    <w:qFormat/>
    <w:uiPriority w:val="99"/>
    <w:rPr>
      <w:sz w:val="18"/>
      <w:szCs w:val="18"/>
    </w:rPr>
  </w:style>
  <w:style w:type="paragraph" w:styleId="14">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toc 1"/>
    <w:basedOn w:val="1"/>
    <w:next w:val="1"/>
    <w:unhideWhenUsed/>
    <w:qFormat/>
    <w:uiPriority w:val="39"/>
    <w:pPr>
      <w:widowControl/>
      <w:spacing w:after="100" w:line="259" w:lineRule="auto"/>
      <w:jc w:val="left"/>
    </w:pPr>
    <w:rPr>
      <w:rFonts w:ascii="Calibri" w:hAnsi="Calibri"/>
      <w:kern w:val="0"/>
      <w:sz w:val="22"/>
      <w:szCs w:val="22"/>
    </w:rPr>
  </w:style>
  <w:style w:type="paragraph" w:styleId="17">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8">
    <w:name w:val="toc 2"/>
    <w:basedOn w:val="1"/>
    <w:next w:val="1"/>
    <w:unhideWhenUsed/>
    <w:qFormat/>
    <w:uiPriority w:val="39"/>
    <w:pPr>
      <w:widowControl/>
      <w:spacing w:after="100" w:line="259" w:lineRule="auto"/>
      <w:ind w:left="220"/>
      <w:jc w:val="left"/>
    </w:pPr>
    <w:rPr>
      <w:rFonts w:ascii="Calibri" w:hAnsi="Calibri"/>
      <w:kern w:val="0"/>
      <w:sz w:val="22"/>
      <w:szCs w:val="22"/>
    </w:rPr>
  </w:style>
  <w:style w:type="paragraph" w:styleId="19">
    <w:name w:val="Normal (Web)"/>
    <w:basedOn w:val="1"/>
    <w:unhideWhenUsed/>
    <w:qFormat/>
    <w:uiPriority w:val="99"/>
    <w:pPr>
      <w:spacing w:before="100" w:beforeAutospacing="1" w:after="100" w:afterAutospacing="1"/>
      <w:jc w:val="left"/>
    </w:pPr>
    <w:rPr>
      <w:kern w:val="0"/>
      <w:sz w:val="24"/>
    </w:r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styleId="24">
    <w:name w:val="Hyperlink"/>
    <w:basedOn w:val="21"/>
    <w:unhideWhenUsed/>
    <w:qFormat/>
    <w:uiPriority w:val="99"/>
    <w:rPr>
      <w:color w:val="0000FF"/>
      <w:u w:val="single"/>
    </w:rPr>
  </w:style>
  <w:style w:type="character" w:styleId="25">
    <w:name w:val="annotation reference"/>
    <w:basedOn w:val="21"/>
    <w:unhideWhenUsed/>
    <w:qFormat/>
    <w:uiPriority w:val="99"/>
    <w:rPr>
      <w:sz w:val="21"/>
      <w:szCs w:val="21"/>
    </w:rPr>
  </w:style>
  <w:style w:type="character" w:customStyle="1" w:styleId="26">
    <w:name w:val="标题 1 Char"/>
    <w:basedOn w:val="21"/>
    <w:link w:val="3"/>
    <w:qFormat/>
    <w:uiPriority w:val="9"/>
    <w:rPr>
      <w:rFonts w:asciiTheme="majorHAnsi" w:hAnsiTheme="majorHAnsi" w:eastAsiaTheme="majorEastAsia"/>
      <w:b/>
      <w:bCs/>
      <w:kern w:val="32"/>
      <w:sz w:val="32"/>
      <w:szCs w:val="32"/>
    </w:rPr>
  </w:style>
  <w:style w:type="character" w:customStyle="1" w:styleId="27">
    <w:name w:val="标题 2 Char"/>
    <w:basedOn w:val="21"/>
    <w:link w:val="4"/>
    <w:semiHidden/>
    <w:qFormat/>
    <w:uiPriority w:val="9"/>
    <w:rPr>
      <w:rFonts w:asciiTheme="majorHAnsi" w:hAnsiTheme="majorHAnsi" w:eastAsiaTheme="majorEastAsia"/>
      <w:b/>
      <w:bCs/>
      <w:i/>
      <w:iCs/>
      <w:sz w:val="28"/>
      <w:szCs w:val="28"/>
    </w:rPr>
  </w:style>
  <w:style w:type="character" w:customStyle="1" w:styleId="28">
    <w:name w:val="标题 3 Char"/>
    <w:basedOn w:val="21"/>
    <w:link w:val="5"/>
    <w:semiHidden/>
    <w:qFormat/>
    <w:uiPriority w:val="9"/>
    <w:rPr>
      <w:rFonts w:asciiTheme="majorHAnsi" w:hAnsiTheme="majorHAnsi" w:eastAsiaTheme="majorEastAsia"/>
      <w:b/>
      <w:bCs/>
      <w:sz w:val="26"/>
      <w:szCs w:val="26"/>
    </w:rPr>
  </w:style>
  <w:style w:type="character" w:customStyle="1" w:styleId="29">
    <w:name w:val="标题 4 Char"/>
    <w:basedOn w:val="21"/>
    <w:link w:val="6"/>
    <w:semiHidden/>
    <w:qFormat/>
    <w:uiPriority w:val="9"/>
    <w:rPr>
      <w:b/>
      <w:bCs/>
      <w:sz w:val="28"/>
      <w:szCs w:val="28"/>
    </w:rPr>
  </w:style>
  <w:style w:type="character" w:customStyle="1" w:styleId="30">
    <w:name w:val="标题 5 Char"/>
    <w:basedOn w:val="21"/>
    <w:link w:val="7"/>
    <w:semiHidden/>
    <w:qFormat/>
    <w:uiPriority w:val="9"/>
    <w:rPr>
      <w:b/>
      <w:bCs/>
      <w:i/>
      <w:iCs/>
      <w:sz w:val="26"/>
      <w:szCs w:val="26"/>
    </w:rPr>
  </w:style>
  <w:style w:type="character" w:customStyle="1" w:styleId="31">
    <w:name w:val="标题 6 Char"/>
    <w:basedOn w:val="21"/>
    <w:link w:val="8"/>
    <w:semiHidden/>
    <w:qFormat/>
    <w:uiPriority w:val="9"/>
    <w:rPr>
      <w:b/>
      <w:bCs/>
    </w:rPr>
  </w:style>
  <w:style w:type="character" w:customStyle="1" w:styleId="32">
    <w:name w:val="标题 7 Char"/>
    <w:basedOn w:val="21"/>
    <w:link w:val="9"/>
    <w:semiHidden/>
    <w:qFormat/>
    <w:uiPriority w:val="9"/>
    <w:rPr>
      <w:sz w:val="24"/>
      <w:szCs w:val="24"/>
    </w:rPr>
  </w:style>
  <w:style w:type="character" w:customStyle="1" w:styleId="33">
    <w:name w:val="标题 8 Char"/>
    <w:basedOn w:val="21"/>
    <w:link w:val="10"/>
    <w:semiHidden/>
    <w:qFormat/>
    <w:uiPriority w:val="9"/>
    <w:rPr>
      <w:i/>
      <w:iCs/>
      <w:sz w:val="24"/>
      <w:szCs w:val="24"/>
    </w:rPr>
  </w:style>
  <w:style w:type="character" w:customStyle="1" w:styleId="34">
    <w:name w:val="标题 9 Char"/>
    <w:basedOn w:val="21"/>
    <w:link w:val="11"/>
    <w:semiHidden/>
    <w:qFormat/>
    <w:uiPriority w:val="9"/>
    <w:rPr>
      <w:rFonts w:asciiTheme="majorHAnsi" w:hAnsiTheme="majorHAnsi" w:eastAsiaTheme="majorEastAsia"/>
    </w:rPr>
  </w:style>
  <w:style w:type="character" w:customStyle="1" w:styleId="35">
    <w:name w:val="标题 Char"/>
    <w:basedOn w:val="21"/>
    <w:link w:val="2"/>
    <w:qFormat/>
    <w:uiPriority w:val="10"/>
    <w:rPr>
      <w:rFonts w:asciiTheme="majorHAnsi" w:hAnsiTheme="majorHAnsi" w:eastAsiaTheme="majorEastAsia"/>
      <w:b/>
      <w:bCs/>
      <w:kern w:val="28"/>
      <w:sz w:val="32"/>
      <w:szCs w:val="32"/>
    </w:rPr>
  </w:style>
  <w:style w:type="character" w:customStyle="1" w:styleId="36">
    <w:name w:val="副标题 Char"/>
    <w:basedOn w:val="21"/>
    <w:link w:val="17"/>
    <w:qFormat/>
    <w:uiPriority w:val="11"/>
    <w:rPr>
      <w:rFonts w:asciiTheme="majorHAnsi" w:hAnsiTheme="majorHAnsi" w:eastAsiaTheme="majorEastAsia"/>
      <w:sz w:val="24"/>
      <w:szCs w:val="24"/>
    </w:rPr>
  </w:style>
  <w:style w:type="paragraph" w:customStyle="1" w:styleId="37">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8">
    <w:name w:val="列表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9">
    <w:name w:val="引用1"/>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Char"/>
    <w:basedOn w:val="21"/>
    <w:link w:val="39"/>
    <w:qFormat/>
    <w:uiPriority w:val="29"/>
    <w:rPr>
      <w:i/>
      <w:sz w:val="24"/>
      <w:szCs w:val="24"/>
    </w:rPr>
  </w:style>
  <w:style w:type="paragraph" w:customStyle="1" w:styleId="41">
    <w:name w:val="明显引用1"/>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Char"/>
    <w:basedOn w:val="21"/>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1"/>
    <w:qFormat/>
    <w:uiPriority w:val="21"/>
    <w:rPr>
      <w:b/>
      <w:i/>
      <w:sz w:val="24"/>
      <w:szCs w:val="24"/>
      <w:u w:val="single"/>
    </w:rPr>
  </w:style>
  <w:style w:type="character" w:customStyle="1" w:styleId="45">
    <w:name w:val="不明显参考1"/>
    <w:basedOn w:val="21"/>
    <w:qFormat/>
    <w:uiPriority w:val="31"/>
    <w:rPr>
      <w:sz w:val="24"/>
      <w:szCs w:val="24"/>
      <w:u w:val="single"/>
    </w:rPr>
  </w:style>
  <w:style w:type="character" w:customStyle="1" w:styleId="46">
    <w:name w:val="明显参考1"/>
    <w:basedOn w:val="21"/>
    <w:qFormat/>
    <w:uiPriority w:val="32"/>
    <w:rPr>
      <w:b/>
      <w:sz w:val="24"/>
      <w:u w:val="single"/>
    </w:rPr>
  </w:style>
  <w:style w:type="character" w:customStyle="1" w:styleId="47">
    <w:name w:val="书籍标题1"/>
    <w:basedOn w:val="21"/>
    <w:qFormat/>
    <w:uiPriority w:val="33"/>
    <w:rPr>
      <w:rFonts w:asciiTheme="majorHAnsi" w:hAnsiTheme="majorHAnsi" w:eastAsiaTheme="majorEastAsia"/>
      <w:b/>
      <w:i/>
      <w:sz w:val="24"/>
      <w:szCs w:val="24"/>
    </w:rPr>
  </w:style>
  <w:style w:type="paragraph" w:customStyle="1" w:styleId="48">
    <w:name w:val="TOC 标题1"/>
    <w:basedOn w:val="3"/>
    <w:next w:val="1"/>
    <w:unhideWhenUsed/>
    <w:qFormat/>
    <w:uiPriority w:val="39"/>
    <w:pPr>
      <w:outlineLvl w:val="9"/>
    </w:pPr>
    <w:rPr>
      <w:lang w:eastAsia="en-US" w:bidi="en-US"/>
    </w:rPr>
  </w:style>
  <w:style w:type="character" w:customStyle="1" w:styleId="49">
    <w:name w:val="页眉 Char"/>
    <w:basedOn w:val="21"/>
    <w:link w:val="15"/>
    <w:qFormat/>
    <w:uiPriority w:val="99"/>
    <w:rPr>
      <w:rFonts w:ascii="Calibri" w:hAnsi="Calibri" w:eastAsia="宋体"/>
      <w:kern w:val="2"/>
      <w:sz w:val="18"/>
      <w:szCs w:val="18"/>
    </w:rPr>
  </w:style>
  <w:style w:type="character" w:customStyle="1" w:styleId="50">
    <w:name w:val="页脚 Char"/>
    <w:basedOn w:val="21"/>
    <w:link w:val="14"/>
    <w:qFormat/>
    <w:uiPriority w:val="99"/>
    <w:rPr>
      <w:rFonts w:ascii="Calibri" w:hAnsi="Calibri" w:eastAsia="宋体"/>
      <w:kern w:val="2"/>
      <w:sz w:val="18"/>
      <w:szCs w:val="18"/>
    </w:rPr>
  </w:style>
  <w:style w:type="character" w:customStyle="1" w:styleId="51">
    <w:name w:val="批注框文本 Char"/>
    <w:basedOn w:val="21"/>
    <w:link w:val="13"/>
    <w:semiHidden/>
    <w:qFormat/>
    <w:uiPriority w:val="99"/>
    <w:rPr>
      <w:rFonts w:ascii="Times New Roman" w:hAnsi="Times New Roman" w:eastAsia="宋体"/>
      <w:kern w:val="2"/>
      <w:sz w:val="18"/>
      <w:szCs w:val="18"/>
    </w:rPr>
  </w:style>
  <w:style w:type="character" w:customStyle="1" w:styleId="52">
    <w:name w:val="font0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12</Pages>
  <Words>5399</Words>
  <Characters>5669</Characters>
  <Lines>51</Lines>
  <Paragraphs>14</Paragraphs>
  <TotalTime>0</TotalTime>
  <ScaleCrop>false</ScaleCrop>
  <LinksUpToDate>false</LinksUpToDate>
  <CharactersWithSpaces>5719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岁月无痕</cp:lastModifiedBy>
  <cp:lastPrinted>2020-04-12T08:50:00Z</cp:lastPrinted>
  <dcterms:modified xsi:type="dcterms:W3CDTF">2024-08-19T09:35:35Z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A805416823414E6983092A5378C1EFCD</vt:lpwstr>
  </property>
</Properties>
</file>