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ind w:firstLine="0" w:firstLineChars="0"/>
        <w:jc w:val="center"/>
        <w:rPr>
          <w:rFonts w:hint="eastAsia" w:ascii="Times New Roman" w:hAnsi="Times New Roman" w:eastAsia="方正小标宋_GBK" w:cs="Times New Roman"/>
          <w:color w:val="0000FF"/>
          <w:kern w:val="0"/>
          <w:sz w:val="48"/>
          <w:szCs w:val="48"/>
        </w:rPr>
      </w:pPr>
      <w:bookmarkStart w:id="0" w:name="_Toc31482"/>
      <w:bookmarkStart w:id="1" w:name="_Toc20166"/>
    </w:p>
    <w:p>
      <w:pPr>
        <w:spacing w:line="540" w:lineRule="exact"/>
        <w:jc w:val="center"/>
        <w:rPr>
          <w:rFonts w:hint="eastAsia" w:eastAsia="方正小标宋_GBK"/>
          <w:kern w:val="0"/>
          <w:sz w:val="48"/>
          <w:szCs w:val="48"/>
        </w:rPr>
      </w:pPr>
      <w:r>
        <w:rPr>
          <w:rFonts w:hint="eastAsia" w:eastAsia="方正小标宋_GBK"/>
          <w:kern w:val="0"/>
          <w:sz w:val="48"/>
          <w:szCs w:val="48"/>
        </w:rPr>
        <w:t>全疆考试考务运维工作经费项目</w:t>
      </w:r>
    </w:p>
    <w:p>
      <w:pPr>
        <w:spacing w:line="540" w:lineRule="exact"/>
        <w:jc w:val="center"/>
        <w:rPr>
          <w:rFonts w:hint="eastAsia" w:eastAsia="方正小标宋_GBK"/>
          <w:kern w:val="0"/>
          <w:sz w:val="48"/>
          <w:szCs w:val="48"/>
        </w:rPr>
      </w:pPr>
      <w:r>
        <w:rPr>
          <w:rFonts w:hint="eastAsia" w:eastAsia="方正小标宋_GBK"/>
          <w:kern w:val="0"/>
          <w:sz w:val="48"/>
          <w:szCs w:val="48"/>
        </w:rPr>
        <w:t>支出绩效评价</w:t>
      </w:r>
      <w:bookmarkEnd w:id="0"/>
      <w:bookmarkEnd w:id="1"/>
      <w:r>
        <w:rPr>
          <w:rFonts w:hint="eastAsia" w:eastAsia="方正小标宋_GBK"/>
          <w:kern w:val="0"/>
          <w:sz w:val="48"/>
          <w:szCs w:val="48"/>
        </w:rPr>
        <w:t>报告</w:t>
      </w:r>
    </w:p>
    <w:p>
      <w:pPr>
        <w:spacing w:line="540" w:lineRule="exact"/>
        <w:ind w:firstLine="723" w:firstLineChars="200"/>
        <w:jc w:val="center"/>
        <w:rPr>
          <w:rFonts w:hint="eastAsia"/>
          <w:b/>
          <w:bCs/>
          <w:kern w:val="0"/>
          <w:sz w:val="36"/>
          <w:szCs w:val="36"/>
        </w:rPr>
      </w:pPr>
    </w:p>
    <w:p>
      <w:pPr>
        <w:spacing w:line="540" w:lineRule="exact"/>
        <w:jc w:val="center"/>
        <w:rPr>
          <w:rFonts w:eastAsia="仿宋_GB2312"/>
          <w:kern w:val="0"/>
          <w:sz w:val="36"/>
          <w:szCs w:val="36"/>
        </w:rPr>
      </w:pPr>
      <w:r>
        <w:rPr>
          <w:rFonts w:hint="eastAsia" w:eastAsia="仿宋_GB2312"/>
          <w:kern w:val="0"/>
          <w:sz w:val="36"/>
          <w:szCs w:val="36"/>
        </w:rPr>
        <w:t>（</w:t>
      </w:r>
      <w:r>
        <w:rPr>
          <w:rFonts w:hint="eastAsia" w:eastAsia="仿宋_GB2312"/>
          <w:kern w:val="0"/>
          <w:sz w:val="36"/>
          <w:szCs w:val="36"/>
          <w:lang w:val="en-US" w:eastAsia="zh-CN"/>
        </w:rPr>
        <w:t>2023年度</w:t>
      </w:r>
      <w:r>
        <w:rPr>
          <w:rFonts w:hint="eastAsia" w:eastAsia="仿宋_GB2312"/>
          <w:kern w:val="0"/>
          <w:sz w:val="36"/>
          <w:szCs w:val="36"/>
        </w:rPr>
        <w:t>）</w:t>
      </w:r>
    </w:p>
    <w:p>
      <w:pPr>
        <w:spacing w:line="700" w:lineRule="exact"/>
        <w:ind w:firstLine="643"/>
        <w:jc w:val="left"/>
        <w:rPr>
          <w:rFonts w:hint="eastAsia" w:eastAsia="宋体" w:cs="宋体"/>
          <w:b/>
          <w:bCs/>
          <w:kern w:val="0"/>
          <w:szCs w:val="32"/>
        </w:rPr>
      </w:pPr>
    </w:p>
    <w:p>
      <w:pPr>
        <w:spacing w:line="700" w:lineRule="exact"/>
        <w:ind w:firstLine="643"/>
        <w:jc w:val="left"/>
        <w:rPr>
          <w:rFonts w:hint="eastAsia" w:eastAsia="宋体" w:cs="宋体"/>
          <w:b/>
          <w:bCs/>
          <w:kern w:val="0"/>
          <w:szCs w:val="32"/>
        </w:rPr>
      </w:pPr>
    </w:p>
    <w:p>
      <w:pPr>
        <w:spacing w:line="700" w:lineRule="exact"/>
        <w:ind w:firstLine="643"/>
        <w:jc w:val="left"/>
        <w:rPr>
          <w:rFonts w:hint="eastAsia" w:eastAsia="宋体" w:cs="宋体"/>
          <w:b/>
          <w:bCs/>
          <w:kern w:val="0"/>
          <w:szCs w:val="32"/>
        </w:rPr>
      </w:pPr>
    </w:p>
    <w:p>
      <w:pPr>
        <w:spacing w:line="700" w:lineRule="exact"/>
        <w:ind w:firstLine="643"/>
        <w:jc w:val="left"/>
        <w:rPr>
          <w:rFonts w:hint="eastAsia" w:eastAsia="宋体" w:cs="宋体"/>
          <w:b/>
          <w:bCs/>
          <w:kern w:val="0"/>
          <w:szCs w:val="32"/>
        </w:rPr>
      </w:pPr>
    </w:p>
    <w:p>
      <w:pPr>
        <w:spacing w:line="700" w:lineRule="exact"/>
        <w:ind w:firstLine="643"/>
        <w:jc w:val="left"/>
        <w:rPr>
          <w:rFonts w:hint="eastAsia" w:eastAsia="宋体" w:cs="宋体"/>
          <w:b/>
          <w:bCs/>
          <w:kern w:val="0"/>
          <w:szCs w:val="32"/>
        </w:rPr>
      </w:pPr>
    </w:p>
    <w:p>
      <w:pPr>
        <w:spacing w:line="700" w:lineRule="exact"/>
        <w:jc w:val="left"/>
        <w:rPr>
          <w:rFonts w:hint="eastAsia" w:eastAsia="仿宋_GB2312"/>
          <w:kern w:val="0"/>
          <w:sz w:val="36"/>
          <w:szCs w:val="36"/>
        </w:rPr>
      </w:pPr>
      <w:r>
        <w:rPr>
          <w:rFonts w:hint="eastAsia" w:eastAsia="仿宋_GB2312"/>
          <w:kern w:val="0"/>
          <w:sz w:val="36"/>
          <w:szCs w:val="36"/>
        </w:rPr>
        <w:t>项目名称：全疆考试考务运维工作经费</w:t>
      </w:r>
    </w:p>
    <w:p>
      <w:pPr>
        <w:spacing w:line="700" w:lineRule="exact"/>
        <w:ind w:left="2880" w:hanging="2880" w:hangingChars="800"/>
        <w:jc w:val="left"/>
        <w:rPr>
          <w:rFonts w:hint="eastAsia" w:eastAsia="仿宋_GB2312"/>
          <w:kern w:val="0"/>
          <w:sz w:val="36"/>
          <w:szCs w:val="36"/>
          <w:lang w:eastAsia="zh-CN"/>
        </w:rPr>
      </w:pPr>
      <w:r>
        <w:rPr>
          <w:rFonts w:hint="eastAsia" w:eastAsia="仿宋_GB2312"/>
          <w:kern w:val="0"/>
          <w:sz w:val="36"/>
          <w:szCs w:val="36"/>
        </w:rPr>
        <w:t>实施单位（公章）：新疆维吾尔自治区工业和信息化培训中心（自治区计算机培训中心）</w:t>
      </w:r>
    </w:p>
    <w:p>
      <w:pPr>
        <w:spacing w:line="700" w:lineRule="exact"/>
        <w:jc w:val="left"/>
        <w:rPr>
          <w:rFonts w:hint="eastAsia" w:eastAsia="仿宋_GB2312"/>
          <w:kern w:val="0"/>
          <w:sz w:val="36"/>
          <w:szCs w:val="36"/>
        </w:rPr>
      </w:pPr>
      <w:r>
        <w:rPr>
          <w:rFonts w:hint="eastAsia" w:eastAsia="仿宋_GB2312"/>
          <w:kern w:val="0"/>
          <w:sz w:val="36"/>
          <w:szCs w:val="36"/>
        </w:rPr>
        <w:t>主管部门（公章）：新疆维吾尔自治区工业和信息化厅</w:t>
      </w:r>
    </w:p>
    <w:p>
      <w:pPr>
        <w:spacing w:line="700" w:lineRule="exact"/>
        <w:jc w:val="left"/>
        <w:rPr>
          <w:rFonts w:hint="eastAsia"/>
          <w:kern w:val="0"/>
          <w:sz w:val="36"/>
          <w:szCs w:val="36"/>
          <w:lang w:eastAsia="zh-CN"/>
        </w:rPr>
      </w:pPr>
      <w:r>
        <w:rPr>
          <w:rFonts w:hint="eastAsia" w:eastAsia="仿宋_GB2312"/>
          <w:kern w:val="0"/>
          <w:sz w:val="36"/>
          <w:szCs w:val="36"/>
        </w:rPr>
        <w:t>项目负责人（签章）：</w:t>
      </w:r>
      <w:r>
        <w:rPr>
          <w:rFonts w:hint="eastAsia"/>
          <w:kern w:val="0"/>
          <w:sz w:val="36"/>
          <w:szCs w:val="36"/>
          <w:lang w:eastAsia="zh-CN"/>
        </w:rPr>
        <w:t>樊矾</w:t>
      </w:r>
    </w:p>
    <w:p>
      <w:pPr>
        <w:spacing w:line="700" w:lineRule="exact"/>
        <w:jc w:val="left"/>
        <w:rPr>
          <w:rFonts w:hint="eastAsia" w:eastAsia="仿宋_GB2312"/>
          <w:kern w:val="0"/>
          <w:sz w:val="36"/>
          <w:szCs w:val="36"/>
        </w:rPr>
      </w:pPr>
      <w:r>
        <w:rPr>
          <w:rFonts w:hint="eastAsia" w:eastAsia="仿宋_GB2312"/>
          <w:kern w:val="0"/>
          <w:sz w:val="36"/>
          <w:szCs w:val="36"/>
        </w:rPr>
        <w:t>填报时间：202</w:t>
      </w:r>
      <w:r>
        <w:rPr>
          <w:rFonts w:hint="eastAsia" w:eastAsia="仿宋_GB2312"/>
          <w:kern w:val="0"/>
          <w:sz w:val="36"/>
          <w:szCs w:val="36"/>
          <w:lang w:val="en-US" w:eastAsia="zh-CN"/>
        </w:rPr>
        <w:t>4</w:t>
      </w:r>
      <w:r>
        <w:rPr>
          <w:rFonts w:hint="eastAsia" w:eastAsia="仿宋_GB2312"/>
          <w:kern w:val="0"/>
          <w:sz w:val="36"/>
          <w:szCs w:val="36"/>
        </w:rPr>
        <w:t xml:space="preserve"> 年 </w:t>
      </w:r>
      <w:r>
        <w:rPr>
          <w:rFonts w:hint="eastAsia" w:eastAsia="仿宋_GB2312"/>
          <w:kern w:val="0"/>
          <w:sz w:val="36"/>
          <w:szCs w:val="36"/>
          <w:lang w:val="en-US" w:eastAsia="zh-CN"/>
        </w:rPr>
        <w:t>3</w:t>
      </w:r>
      <w:r>
        <w:rPr>
          <w:rFonts w:hint="eastAsia" w:eastAsia="仿宋_GB2312"/>
          <w:kern w:val="0"/>
          <w:sz w:val="36"/>
          <w:szCs w:val="36"/>
        </w:rPr>
        <w:t xml:space="preserve"> 月 </w:t>
      </w:r>
      <w:r>
        <w:rPr>
          <w:rFonts w:hint="eastAsia" w:eastAsia="仿宋_GB2312"/>
          <w:kern w:val="0"/>
          <w:sz w:val="36"/>
          <w:szCs w:val="36"/>
          <w:lang w:val="en-US" w:eastAsia="zh-CN"/>
        </w:rPr>
        <w:t>25</w:t>
      </w:r>
      <w:r>
        <w:rPr>
          <w:rFonts w:hint="eastAsia" w:eastAsia="仿宋_GB2312"/>
          <w:kern w:val="0"/>
          <w:sz w:val="36"/>
          <w:szCs w:val="36"/>
        </w:rPr>
        <w:t>日</w:t>
      </w:r>
    </w:p>
    <w:p>
      <w:pPr>
        <w:rPr>
          <w:rFonts w:hint="eastAsia" w:ascii="黑体" w:hAnsi="黑体" w:eastAsia="黑体"/>
        </w:rPr>
      </w:pPr>
    </w:p>
    <w:p>
      <w:pPr>
        <w:spacing w:line="600" w:lineRule="exact"/>
        <w:ind w:firstLine="600" w:firstLineChars="200"/>
        <w:rPr>
          <w:rFonts w:hint="eastAsia" w:ascii="黑体" w:hAnsi="黑体" w:eastAsia="黑体"/>
        </w:rPr>
      </w:pPr>
    </w:p>
    <w:p>
      <w:pPr>
        <w:spacing w:line="600" w:lineRule="exact"/>
        <w:ind w:firstLine="600" w:firstLineChars="200"/>
        <w:rPr>
          <w:rFonts w:hint="eastAsia" w:ascii="黑体" w:hAnsi="黑体" w:eastAsia="黑体"/>
        </w:rPr>
      </w:pPr>
    </w:p>
    <w:p>
      <w:pPr>
        <w:spacing w:line="600" w:lineRule="exact"/>
        <w:ind w:firstLine="600" w:firstLineChars="200"/>
        <w:rPr>
          <w:rFonts w:hint="eastAsia" w:ascii="黑体" w:hAnsi="黑体" w:eastAsia="黑体"/>
        </w:rPr>
        <w:sectPr>
          <w:footerReference r:id="rId3" w:type="default"/>
          <w:pgSz w:w="11906" w:h="16838"/>
          <w:pgMar w:top="1928" w:right="1531" w:bottom="1701" w:left="1531" w:header="737" w:footer="851" w:gutter="0"/>
          <w:pgNumType w:fmt="decimal" w:start="1"/>
          <w:cols w:space="720" w:num="1"/>
          <w:docGrid w:type="lines" w:linePitch="408" w:charSpace="0"/>
        </w:sectPr>
      </w:pPr>
    </w:p>
    <w:p>
      <w:pPr>
        <w:spacing w:line="600" w:lineRule="exact"/>
        <w:ind w:firstLine="640" w:firstLineChars="200"/>
        <w:rPr>
          <w:rFonts w:ascii="黑体" w:hAnsi="黑体" w:eastAsia="黑体"/>
          <w:sz w:val="32"/>
          <w:szCs w:val="32"/>
        </w:rPr>
      </w:pPr>
      <w:r>
        <w:rPr>
          <w:rFonts w:hint="eastAsia" w:ascii="黑体" w:hAnsi="黑体" w:eastAsia="黑体"/>
          <w:sz w:val="32"/>
          <w:szCs w:val="32"/>
        </w:rPr>
        <w:t>一、基本情况</w:t>
      </w:r>
    </w:p>
    <w:p>
      <w:pPr>
        <w:pStyle w:val="4"/>
        <w:ind w:firstLine="643"/>
        <w:rPr>
          <w:rStyle w:val="16"/>
          <w:bCs w:val="0"/>
        </w:rPr>
      </w:pPr>
      <w:bookmarkStart w:id="2" w:name="_Toc21070"/>
      <w:r>
        <w:rPr>
          <w:rStyle w:val="16"/>
          <w:bCs w:val="0"/>
        </w:rPr>
        <w:t>（一）项目概况</w:t>
      </w:r>
      <w:bookmarkEnd w:id="2"/>
    </w:p>
    <w:p>
      <w:pPr>
        <w:pStyle w:val="12"/>
        <w:keepNext w:val="0"/>
        <w:keepLines w:val="0"/>
        <w:pageBreakBefore w:val="0"/>
        <w:widowControl w:val="0"/>
        <w:kinsoku/>
        <w:wordWrap/>
        <w:overflowPunct/>
        <w:topLinePunct w:val="0"/>
        <w:autoSpaceDE/>
        <w:autoSpaceDN/>
        <w:bidi w:val="0"/>
        <w:adjustRightInd/>
        <w:snapToGrid/>
        <w:spacing w:line="560" w:lineRule="exact"/>
        <w:ind w:firstLine="643"/>
        <w:textAlignment w:val="auto"/>
        <w:rPr>
          <w:sz w:val="32"/>
          <w:szCs w:val="32"/>
        </w:rPr>
      </w:pPr>
      <w:r>
        <w:rPr>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教育部《关于进一步推进职业教育信息化发展的指导意见》（教职成〔2017〕4号）文件要求和根据自治区教育厅《新疆维吾尔自治区中等职业学校学生计算机应用能力等级考试管理规则》（新教职成[2003]14号）、《新疆维吾尔自治区中等职业学校学生计算机应用能力等级考试管理规则》（新教职成[2003]14号）文件要求，新疆维吾尔自治区工业和信息化培训中心（自治区计算机培训中心）（以下简称自治区工业和信息化培训中心）负责组织实施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年新疆维吾尔自治区计算机应用技术中级考核工作。</w:t>
      </w:r>
    </w:p>
    <w:p>
      <w:pPr>
        <w:pStyle w:val="12"/>
        <w:keepNext w:val="0"/>
        <w:keepLines w:val="0"/>
        <w:pageBreakBefore w:val="0"/>
        <w:widowControl w:val="0"/>
        <w:kinsoku/>
        <w:wordWrap/>
        <w:overflowPunct/>
        <w:topLinePunct w:val="0"/>
        <w:autoSpaceDE/>
        <w:autoSpaceDN/>
        <w:bidi w:val="0"/>
        <w:adjustRightInd/>
        <w:snapToGrid/>
        <w:spacing w:line="560" w:lineRule="exact"/>
        <w:ind w:firstLine="643"/>
        <w:textAlignment w:val="auto"/>
        <w:rPr>
          <w:sz w:val="32"/>
          <w:szCs w:val="32"/>
        </w:rPr>
      </w:pPr>
      <w:r>
        <w:rPr>
          <w:rFonts w:hint="eastAsia"/>
          <w:sz w:val="32"/>
          <w:szCs w:val="32"/>
        </w:rPr>
        <w:t>2、</w:t>
      </w:r>
      <w:r>
        <w:rPr>
          <w:sz w:val="32"/>
          <w:szCs w:val="32"/>
        </w:rPr>
        <w:t>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项目主要内容：自治区工业和信息化培训中心为提高各职业院校学生提高信息化应用水平，提升职业技能和就业创业能力，按照《自治区计算机应用技术中级考核通知》安排部署，计划于202</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rPr>
        <w:t>年开展自治区计算机应用技术中级考核考试。</w:t>
      </w:r>
    </w:p>
    <w:p>
      <w:pPr>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项目实施情况：项目目前已经</w:t>
      </w:r>
      <w:r>
        <w:rPr>
          <w:rFonts w:hint="eastAsia" w:ascii="仿宋_GB2312" w:hAnsi="仿宋_GB2312" w:eastAsia="仿宋_GB2312" w:cs="仿宋_GB2312"/>
          <w:sz w:val="32"/>
          <w:szCs w:val="32"/>
        </w:rPr>
        <w:t>完成实际设立的目标，项目在实施过程中严格按照目标设立的各阶段任务进行开展工作，在前期立项过程中严格把质量关，建立安全防护机制，保证项目实施各阶段安全顺利进行。</w:t>
      </w:r>
    </w:p>
    <w:p>
      <w:pPr>
        <w:pStyle w:val="12"/>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3、资金投入和使用情况</w:t>
      </w:r>
    </w:p>
    <w:p>
      <w:pPr>
        <w:shd w:val="clea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highlight w:val="none"/>
          <w:lang w:val="en-US" w:eastAsia="zh-CN"/>
        </w:rPr>
        <w:t>资金投入情况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w:t>
      </w:r>
      <w:r>
        <w:rPr>
          <w:rFonts w:hint="eastAsia" w:ascii="仿宋_GB2312" w:hAnsi="仿宋_GB2312" w:eastAsia="仿宋_GB2312" w:cs="仿宋_GB2312"/>
          <w:color w:val="auto"/>
          <w:sz w:val="32"/>
          <w:szCs w:val="32"/>
          <w:highlight w:val="none"/>
          <w:lang w:val="en-US" w:eastAsia="zh-CN"/>
        </w:rPr>
        <w:t>预算数</w:t>
      </w:r>
      <w:r>
        <w:rPr>
          <w:rFonts w:hint="eastAsia" w:ascii="仿宋_GB2312" w:hAnsi="仿宋_GB2312" w:cs="仿宋_GB2312"/>
          <w:color w:val="auto"/>
          <w:sz w:val="32"/>
          <w:szCs w:val="32"/>
          <w:highlight w:val="none"/>
          <w:lang w:val="en-US" w:eastAsia="zh-CN"/>
        </w:rPr>
        <w:t>94.52</w:t>
      </w:r>
      <w:r>
        <w:rPr>
          <w:rFonts w:hint="eastAsia" w:ascii="仿宋_GB2312" w:hAnsi="仿宋_GB2312" w:eastAsia="仿宋_GB2312" w:cs="仿宋_GB2312"/>
          <w:color w:val="auto"/>
          <w:sz w:val="32"/>
          <w:szCs w:val="32"/>
          <w:highlight w:val="none"/>
          <w:lang w:val="en-US" w:eastAsia="zh-CN"/>
        </w:rPr>
        <w:t>万元，全年预算数</w:t>
      </w:r>
      <w:r>
        <w:rPr>
          <w:rFonts w:hint="eastAsia" w:ascii="仿宋_GB2312" w:hAnsi="仿宋_GB2312" w:cs="仿宋_GB2312"/>
          <w:color w:val="auto"/>
          <w:sz w:val="32"/>
          <w:szCs w:val="32"/>
          <w:highlight w:val="none"/>
          <w:lang w:val="en-US" w:eastAsia="zh-CN"/>
        </w:rPr>
        <w:t>94.52</w:t>
      </w:r>
      <w:r>
        <w:rPr>
          <w:rFonts w:hint="eastAsia" w:ascii="仿宋_GB2312" w:hAnsi="仿宋_GB2312" w:eastAsia="仿宋_GB2312" w:cs="仿宋_GB2312"/>
          <w:color w:val="auto"/>
          <w:sz w:val="32"/>
          <w:szCs w:val="32"/>
          <w:highlight w:val="none"/>
          <w:lang w:val="en-US" w:eastAsia="zh-CN"/>
        </w:rPr>
        <w:t>万元，实</w:t>
      </w:r>
      <w:r>
        <w:rPr>
          <w:rFonts w:hint="eastAsia" w:ascii="仿宋_GB2312" w:hAnsi="仿宋_GB2312" w:eastAsia="仿宋_GB2312" w:cs="仿宋_GB2312"/>
          <w:sz w:val="32"/>
          <w:szCs w:val="32"/>
          <w:highlight w:val="none"/>
          <w:lang w:val="en-US" w:eastAsia="zh-CN"/>
        </w:rPr>
        <w:t>际总投入94.52万元，该项目资金已全部落实到位，资金来源为</w:t>
      </w:r>
      <w:r>
        <w:rPr>
          <w:rFonts w:hint="eastAsia" w:ascii="仿宋_GB2312" w:hAnsi="仿宋_GB2312" w:eastAsia="仿宋_GB2312" w:cs="仿宋_GB2312"/>
          <w:color w:val="000000" w:themeColor="text1"/>
          <w:sz w:val="32"/>
          <w:szCs w:val="32"/>
          <w14:textFill>
            <w14:solidFill>
              <w14:schemeClr w14:val="tx1"/>
            </w14:solidFill>
          </w14:textFill>
        </w:rPr>
        <w:t>财政</w:t>
      </w:r>
      <w:r>
        <w:rPr>
          <w:rFonts w:hint="eastAsia" w:ascii="仿宋_GB2312" w:hAnsi="仿宋_GB2312" w:cs="仿宋_GB2312"/>
          <w:color w:val="000000" w:themeColor="text1"/>
          <w:sz w:val="32"/>
          <w:szCs w:val="32"/>
          <w:lang w:val="en-US" w:eastAsia="zh-CN"/>
          <w14:textFill>
            <w14:solidFill>
              <w14:schemeClr w14:val="tx1"/>
            </w14:solidFill>
          </w14:textFill>
        </w:rPr>
        <w:t>专户资金</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该项目年初预算数94.52万元，全年预算数94.52万元，全年执行数84.51万元，预算执行率为89.41%，主要用于</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支付项目实施进程中的各项费用。</w:t>
      </w:r>
    </w:p>
    <w:p>
      <w:pPr>
        <w:pStyle w:val="4"/>
        <w:keepLines w:val="0"/>
        <w:pageBreakBefore w:val="0"/>
        <w:kinsoku/>
        <w:wordWrap/>
        <w:overflowPunct/>
        <w:topLinePunct w:val="0"/>
        <w:autoSpaceDE/>
        <w:autoSpaceDN/>
        <w:bidi w:val="0"/>
        <w:adjustRightInd/>
        <w:snapToGrid/>
        <w:spacing w:line="560" w:lineRule="exact"/>
        <w:ind w:firstLine="643"/>
        <w:textAlignment w:val="auto"/>
        <w:rPr>
          <w:rStyle w:val="16"/>
          <w:rFonts w:hint="eastAsia" w:ascii="仿宋_GB2312" w:hAnsi="仿宋_GB2312" w:eastAsia="仿宋_GB2312" w:cs="仿宋_GB2312"/>
          <w:bCs w:val="0"/>
          <w:sz w:val="32"/>
          <w:szCs w:val="32"/>
        </w:rPr>
      </w:pPr>
      <w:bookmarkStart w:id="3" w:name="_Toc26494"/>
      <w:r>
        <w:rPr>
          <w:rStyle w:val="16"/>
          <w:rFonts w:hint="eastAsia" w:ascii="仿宋_GB2312" w:hAnsi="仿宋_GB2312" w:eastAsia="仿宋_GB2312" w:cs="仿宋_GB2312"/>
          <w:bCs w:val="0"/>
          <w:sz w:val="32"/>
          <w:szCs w:val="32"/>
        </w:rPr>
        <w:t>（二）项目绩效目标</w:t>
      </w:r>
      <w:bookmarkEnd w:id="3"/>
    </w:p>
    <w:p>
      <w:pPr>
        <w:pStyle w:val="12"/>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1、总体目标</w:t>
      </w:r>
    </w:p>
    <w:p>
      <w:pPr>
        <w:keepLines w:val="0"/>
        <w:pageBreakBefore w:val="0"/>
        <w:kinsoku/>
        <w:wordWrap/>
        <w:overflowPunct/>
        <w:topLinePunct w:val="0"/>
        <w:autoSpaceDE/>
        <w:autoSpaceDN/>
        <w:bidi w:val="0"/>
        <w:adjustRightInd/>
        <w:snapToGrid/>
        <w:spacing w:line="560" w:lineRule="exact"/>
        <w:ind w:firstLine="640"/>
        <w:textAlignment w:val="auto"/>
        <w:rPr>
          <w:color w:val="0000FF"/>
        </w:rPr>
      </w:pPr>
      <w:r>
        <w:rPr>
          <w:rFonts w:hint="eastAsia" w:ascii="仿宋_GB2312" w:hAnsi="仿宋_GB2312" w:cs="仿宋_GB2312"/>
          <w:b w:val="0"/>
          <w:bCs/>
          <w:sz w:val="32"/>
          <w:szCs w:val="32"/>
          <w:lang w:val="en-US" w:eastAsia="zh-CN"/>
        </w:rPr>
        <w:t>2023年全疆考试考务</w:t>
      </w:r>
      <w:r>
        <w:rPr>
          <w:rFonts w:hint="eastAsia" w:ascii="仿宋_GB2312" w:hAnsi="仿宋_GB2312" w:cs="仿宋_GB2312"/>
          <w:sz w:val="32"/>
          <w:szCs w:val="32"/>
          <w:lang w:val="en-US" w:eastAsia="zh-CN"/>
        </w:rPr>
        <w:t>运维工作，主要是开展</w:t>
      </w:r>
      <w:r>
        <w:rPr>
          <w:rFonts w:hint="eastAsia" w:ascii="仿宋_GB2312" w:hAnsi="仿宋_GB2312" w:eastAsia="仿宋_GB2312" w:cs="仿宋_GB2312"/>
          <w:sz w:val="32"/>
          <w:szCs w:val="32"/>
        </w:rPr>
        <w:t>“全国计算机等级考试新疆考区”和“全疆中职院校计算机应用能力测试”等考试业务，“全国计算机等级考试新疆考区”是经原教育部批准，面向社会，用于考查应试人员计算机应用知识与技能的全国性计算机水平考试体系。为推进我区信息技术应用水平，特针对全疆40多所中职院校及大中专学生开展计算机等级考试和计算机应用能力测试，以提升信息技术操作水平和能力，提高学生毕业后就业保障，推动电子数据处理能力，适应不断高速发展的信息技术。</w:t>
      </w:r>
    </w:p>
    <w:p>
      <w:pPr>
        <w:pStyle w:val="12"/>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（1）前期准备：通过制定项目实施方案，经项目负责人审核通过后，有序开展后续工作。</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二、绩效评价工作开展情况</w:t>
      </w:r>
    </w:p>
    <w:p>
      <w:pPr>
        <w:pStyle w:val="4"/>
        <w:ind w:firstLine="643"/>
        <w:rPr>
          <w:rStyle w:val="16"/>
          <w:bCs w:val="0"/>
        </w:rPr>
      </w:pPr>
      <w:bookmarkStart w:id="4" w:name="_Toc2230"/>
      <w:r>
        <w:rPr>
          <w:rStyle w:val="16"/>
          <w:bCs w:val="0"/>
        </w:rPr>
        <w:t>（一）绩效评价目的、对象和范围</w:t>
      </w:r>
      <w:bookmarkEnd w:id="4"/>
    </w:p>
    <w:p>
      <w:pPr>
        <w:pStyle w:val="12"/>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1</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12"/>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sz w:val="32"/>
          <w:szCs w:val="32"/>
        </w:rPr>
      </w:pPr>
      <w:bookmarkStart w:id="5" w:name="_Toc2176"/>
      <w:bookmarkStart w:id="6" w:name="_Toc25102"/>
      <w:r>
        <w:rPr>
          <w:rFonts w:hint="eastAsia" w:ascii="仿宋_GB2312" w:hAnsi="仿宋_GB2312" w:eastAsia="仿宋_GB2312" w:cs="仿宋_GB2312"/>
          <w:sz w:val="32"/>
          <w:szCs w:val="32"/>
        </w:rPr>
        <w:t>新疆维吾尔自治区工业和信息化培训中心（自治区计算机培训中心）全疆考试考务运维工作经费项目所包含的全部项目内容。</w:t>
      </w:r>
      <w:bookmarkEnd w:id="5"/>
      <w:bookmarkEnd w:id="6"/>
    </w:p>
    <w:p>
      <w:pPr>
        <w:pStyle w:val="2"/>
        <w:widowControl w:val="0"/>
        <w:spacing w:before="0" w:after="0" w:line="560" w:lineRule="exact"/>
        <w:ind w:firstLine="640" w:firstLineChars="200"/>
        <w:jc w:val="both"/>
        <w:outlineLvl w:val="9"/>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3、绩效评价的范围</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评价从项目决策（包括绩效目标、决策过程）、项目管理（包括项目资金、项目实施）、项目产出（包括项目产出数量、产出质量、产出时效和产出成本）项目效益四个维度对全疆考试考务运维工作经费项目进行评价，评价核心为专项资金的支出完成情况和效果。</w:t>
      </w:r>
    </w:p>
    <w:p>
      <w:pPr>
        <w:pStyle w:val="4"/>
        <w:ind w:firstLine="643"/>
        <w:rPr>
          <w:rStyle w:val="16"/>
          <w:bCs w:val="0"/>
        </w:rPr>
      </w:pPr>
      <w:bookmarkStart w:id="7" w:name="_Toc7721"/>
      <w:r>
        <w:rPr>
          <w:rStyle w:val="16"/>
          <w:bCs w:val="0"/>
        </w:rPr>
        <w:t>（二）绩效评价原则、评价指标体系（详情见表1）、评价方法、评价标准。</w:t>
      </w:r>
      <w:bookmarkEnd w:id="7"/>
    </w:p>
    <w:p>
      <w:pPr>
        <w:pStyle w:val="12"/>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1、绩效评价原则</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本次项目绩效评价遵循以下基本原则：</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sz w:val="32"/>
          <w:szCs w:val="32"/>
        </w:rPr>
      </w:pPr>
      <w:bookmarkStart w:id="8" w:name="_Toc5876"/>
      <w:r>
        <w:rPr>
          <w:rFonts w:hint="eastAsia" w:ascii="仿宋_GB2312" w:hAnsi="仿宋_GB2312" w:eastAsia="仿宋_GB2312" w:cs="仿宋_GB2312"/>
          <w:sz w:val="32"/>
          <w:szCs w:val="32"/>
        </w:rPr>
        <w:t>（1）科学公正。绩效评价应当运用科学合理的方法，按照规范的程序，对项目绩效进行客观、公正的反映。</w:t>
      </w:r>
      <w:bookmarkEnd w:id="8"/>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sz w:val="32"/>
          <w:szCs w:val="32"/>
        </w:rPr>
      </w:pPr>
      <w:bookmarkStart w:id="9" w:name="_Toc32656"/>
      <w:r>
        <w:rPr>
          <w:rFonts w:hint="eastAsia" w:ascii="仿宋_GB2312" w:hAnsi="仿宋_GB2312" w:eastAsia="仿宋_GB2312" w:cs="仿宋_GB2312"/>
          <w:sz w:val="32"/>
          <w:szCs w:val="32"/>
        </w:rPr>
        <w:t>（2）统筹兼顾。单位自评、部门评价和财政评价应职责明确，各有侧重，相互衔接。单位自评应由项目单位自主实施，即“谁支出、谁自评”。部门评价和财政评价应在单位自评的基础上开展。</w:t>
      </w:r>
      <w:bookmarkEnd w:id="9"/>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sz w:val="32"/>
          <w:szCs w:val="32"/>
        </w:rPr>
      </w:pPr>
      <w:bookmarkStart w:id="10" w:name="_Toc31431"/>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bookmarkEnd w:id="10"/>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sz w:val="32"/>
          <w:szCs w:val="32"/>
        </w:rPr>
      </w:pPr>
      <w:bookmarkStart w:id="11" w:name="_Toc30061"/>
      <w:r>
        <w:rPr>
          <w:rFonts w:hint="eastAsia" w:ascii="仿宋_GB2312" w:hAnsi="仿宋_GB2312" w:eastAsia="仿宋_GB2312" w:cs="仿宋_GB2312"/>
          <w:sz w:val="32"/>
          <w:szCs w:val="32"/>
        </w:rPr>
        <w:t>（4）公开透明。绩效评价结果应依法依规公开，并自觉接受社会监督。</w:t>
      </w:r>
      <w:bookmarkEnd w:id="11"/>
    </w:p>
    <w:p>
      <w:pPr>
        <w:pStyle w:val="12"/>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2、评价指标体系</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绩效评价框架是开展绩效评价的核心。绩效评价框架包括评价准则、关键评价问题、评价指标、数据来源、数据收集方法等。指标体系建立过程如下：</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（1）确定评价指标</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（2）确定权重</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确定各个指标相对于项目总体绩效的权重分值。在绩效评价指标体系中，项目决策类权重为20分，项目过程类权重为20分，项目产出类权重为40分，项目效益类权重为20分。</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（3）确定指标标准值</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指标标准值是绩效评价指标的尺度，既要反映同类项目的先进水平，又要符合项目的实际绩效水平。具体采用计划标准等确定此次绩效评价指标标准值。</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sz w:val="32"/>
          <w:szCs w:val="32"/>
        </w:rPr>
      </w:pPr>
      <w:bookmarkStart w:id="12" w:name="_Toc61"/>
      <w:r>
        <w:rPr>
          <w:rFonts w:hint="eastAsia" w:ascii="仿宋_GB2312" w:hAnsi="仿宋_GB2312" w:eastAsia="仿宋_GB2312" w:cs="仿宋_GB231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bookmarkEnd w:id="12"/>
    </w:p>
    <w:p>
      <w:pPr>
        <w:pStyle w:val="2"/>
        <w:keepLines w:val="0"/>
        <w:pageBreakBefore w:val="0"/>
        <w:widowControl w:val="0"/>
        <w:kinsoku/>
        <w:wordWrap/>
        <w:overflowPunct/>
        <w:topLinePunct w:val="0"/>
        <w:autoSpaceDE/>
        <w:autoSpaceDN/>
        <w:bidi w:val="0"/>
        <w:adjustRightInd/>
        <w:snapToGrid/>
        <w:spacing w:before="0" w:after="0" w:line="560" w:lineRule="exact"/>
        <w:ind w:firstLine="708"/>
        <w:jc w:val="both"/>
        <w:textAlignment w:val="auto"/>
        <w:outlineLvl w:val="9"/>
        <w:rPr>
          <w:rFonts w:hint="eastAsia" w:ascii="仿宋_GB2312" w:hAnsi="仿宋_GB2312" w:eastAsia="仿宋_GB2312" w:cs="仿宋_GB2312"/>
          <w:b w:val="0"/>
          <w:bCs w:val="0"/>
          <w:color w:val="000000"/>
          <w:spacing w:val="17"/>
          <w:sz w:val="32"/>
          <w:szCs w:val="32"/>
        </w:rPr>
      </w:pPr>
      <w:bookmarkStart w:id="13" w:name="_Toc7213"/>
      <w:bookmarkStart w:id="14" w:name="_Toc4088"/>
      <w:r>
        <w:rPr>
          <w:rFonts w:hint="eastAsia" w:ascii="仿宋_GB2312" w:hAnsi="仿宋_GB2312" w:eastAsia="仿宋_GB2312" w:cs="仿宋_GB2312"/>
          <w:b w:val="0"/>
          <w:bCs w:val="0"/>
          <w:color w:val="000000"/>
          <w:spacing w:val="17"/>
          <w:sz w:val="32"/>
          <w:szCs w:val="32"/>
        </w:rPr>
        <w:t>具体评价指标体系详情见附件1</w:t>
      </w:r>
      <w:bookmarkEnd w:id="13"/>
      <w:bookmarkEnd w:id="14"/>
    </w:p>
    <w:p>
      <w:pPr>
        <w:pStyle w:val="12"/>
        <w:keepLines w:val="0"/>
        <w:pageBreakBefore w:val="0"/>
        <w:kinsoku/>
        <w:wordWrap/>
        <w:overflowPunct/>
        <w:topLinePunct w:val="0"/>
        <w:autoSpaceDE/>
        <w:autoSpaceDN/>
        <w:bidi w:val="0"/>
        <w:adjustRightInd/>
        <w:snapToGrid/>
        <w:spacing w:line="560" w:lineRule="exact"/>
        <w:ind w:firstLine="643"/>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3、绩效评价方法</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绩效评价从项目决策、项目过程、项目产出、项目效益四个维度进行评价。评价对象为项目目标实施情况，评价核心为资金的支出完成情况和项目的产出效益。</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本次评价指标中，既有定性指标又有定量指标，各类指标因考核内容不同和客观标准不同存在较大差异，因此核定具体指标时采用了不同方法，具体评价方法如下：</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（1）比较法</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通过对绩效目标与实施效果、历史与当期情况，综合分析绩效目标实现程度。对项目最终验收情况与年度绩效目标对比、预算资金执行情况等相关因素进行比较。</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（2）因素分析法</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12"/>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4、评价标准</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绩效评价标准通常包括计划标准、历史标准等，用于对绩效指标完成情况进行比较、分析、评价。本次评价主要采用了计划标准和</w:t>
      </w:r>
      <w:r>
        <w:rPr>
          <w:rFonts w:hint="eastAsia" w:ascii="仿宋_GB2312" w:hAnsi="仿宋_GB2312" w:cs="仿宋_GB2312"/>
          <w:sz w:val="32"/>
          <w:szCs w:val="32"/>
          <w:lang w:eastAsia="zh-CN"/>
        </w:rPr>
        <w:t>历史</w:t>
      </w:r>
      <w:r>
        <w:rPr>
          <w:rFonts w:hint="eastAsia" w:ascii="仿宋_GB2312" w:hAnsi="仿宋_GB2312" w:eastAsia="仿宋_GB2312" w:cs="仿宋_GB2312"/>
          <w:sz w:val="32"/>
          <w:szCs w:val="32"/>
        </w:rPr>
        <w:t>标准。</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bookmarkStart w:id="15" w:name="_Toc17882"/>
      <w:bookmarkStart w:id="16" w:name="_Toc31464"/>
      <w:r>
        <w:rPr>
          <w:rFonts w:hint="eastAsia" w:ascii="仿宋_GB2312" w:hAnsi="仿宋_GB2312" w:eastAsia="仿宋_GB2312" w:cs="仿宋_GB2312"/>
          <w:sz w:val="32"/>
          <w:szCs w:val="32"/>
        </w:rPr>
        <w:t>计划标准：指以预先制定的目标、计划、预算、定额等作为评价标准。</w:t>
      </w:r>
      <w:bookmarkEnd w:id="15"/>
      <w:bookmarkEnd w:id="16"/>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bookmarkStart w:id="17" w:name="_Toc430"/>
      <w:bookmarkStart w:id="18" w:name="_Toc16028"/>
      <w:r>
        <w:rPr>
          <w:rFonts w:hint="eastAsia" w:ascii="仿宋_GB2312" w:hAnsi="仿宋_GB2312" w:eastAsia="仿宋_GB2312" w:cs="仿宋_GB2312"/>
          <w:sz w:val="32"/>
          <w:szCs w:val="32"/>
        </w:rPr>
        <w:t>历史标准：指参照历史数据制定的评价标准，为体现绩效改进的原则，在可实现的条件下应当确定相对较高的评价标准。</w:t>
      </w:r>
      <w:bookmarkEnd w:id="17"/>
      <w:bookmarkEnd w:id="18"/>
    </w:p>
    <w:p>
      <w:pPr>
        <w:pStyle w:val="4"/>
        <w:keepLines w:val="0"/>
        <w:pageBreakBefore w:val="0"/>
        <w:numPr>
          <w:ilvl w:val="0"/>
          <w:numId w:val="1"/>
        </w:numPr>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sz w:val="32"/>
          <w:szCs w:val="32"/>
        </w:rPr>
      </w:pPr>
      <w:bookmarkStart w:id="19" w:name="_Toc20282"/>
      <w:r>
        <w:rPr>
          <w:rStyle w:val="16"/>
          <w:rFonts w:hint="eastAsia" w:ascii="仿宋_GB2312" w:hAnsi="仿宋_GB2312" w:eastAsia="仿宋_GB2312" w:cs="仿宋_GB2312"/>
          <w:bCs w:val="0"/>
          <w:sz w:val="32"/>
          <w:szCs w:val="32"/>
        </w:rPr>
        <w:t>绩效评价工作过程</w:t>
      </w:r>
      <w:bookmarkEnd w:id="19"/>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三、综合评价情况及评价结论（附相关评分表）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02" w:firstLineChars="200"/>
        <w:jc w:val="both"/>
        <w:textAlignment w:val="auto"/>
        <w:rPr>
          <w:rFonts w:hint="eastAsia" w:ascii="Times New Roman" w:hAnsi="Times New Roman" w:eastAsia="楷体_GB2312"/>
          <w:lang w:val="en-US" w:eastAsia="zh-CN"/>
        </w:rPr>
      </w:pPr>
      <w:bookmarkStart w:id="20" w:name="_Toc22364"/>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02"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98分，属于“优”。其中，项目决策类指标权重为20分，得分为20分，得分率为100%。项目过程类指标权重为20分，得分为19分，得分率为95%。项目产出类指标权重为40分，得分为39分，得分率为97.5%。项目效益类指标权重为20分，得分为20分，得分率为100%。</w:t>
      </w:r>
      <w:bookmarkEnd w:id="20"/>
      <w:bookmarkStart w:id="21" w:name="_Toc10906"/>
      <w:r>
        <w:rPr>
          <w:rFonts w:hint="eastAsia" w:ascii="Times New Roman" w:hAnsi="Times New Roman" w:eastAsia="仿宋_GB2312" w:cs="Times New Roman"/>
          <w:b w:val="0"/>
          <w:bCs w:val="0"/>
          <w:kern w:val="28"/>
          <w:sz w:val="32"/>
          <w:szCs w:val="32"/>
          <w:lang w:val="en-US" w:eastAsia="zh-CN" w:bidi="ar-SA"/>
        </w:rPr>
        <w:t>具体打分情况详见：附件1综合评分表。</w:t>
      </w:r>
    </w:p>
    <w:p>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4"/>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98</w:t>
            </w:r>
          </w:p>
        </w:tc>
      </w:tr>
      <w:bookmarkEnd w:id="21"/>
    </w:tbl>
    <w:p>
      <w:pPr>
        <w:spacing w:line="600" w:lineRule="exact"/>
        <w:ind w:firstLine="640" w:firstLineChars="200"/>
        <w:rPr>
          <w:rFonts w:ascii="黑体" w:hAnsi="黑体" w:eastAsia="黑体"/>
          <w:sz w:val="32"/>
          <w:szCs w:val="32"/>
        </w:rPr>
      </w:pPr>
      <w:r>
        <w:rPr>
          <w:rFonts w:hint="eastAsia" w:ascii="黑体" w:hAnsi="黑体" w:eastAsia="黑体"/>
          <w:sz w:val="32"/>
          <w:szCs w:val="32"/>
        </w:rPr>
        <w:t>四、绩效评价指标分析</w:t>
      </w:r>
    </w:p>
    <w:p>
      <w:pPr>
        <w:pStyle w:val="4"/>
        <w:keepLines w:val="0"/>
        <w:pageBreakBefore w:val="0"/>
        <w:kinsoku/>
        <w:wordWrap/>
        <w:overflowPunct/>
        <w:topLinePunct w:val="0"/>
        <w:autoSpaceDE/>
        <w:autoSpaceDN/>
        <w:bidi w:val="0"/>
        <w:adjustRightInd/>
        <w:snapToGrid/>
        <w:spacing w:line="560" w:lineRule="exact"/>
        <w:ind w:firstLine="643"/>
        <w:textAlignment w:val="auto"/>
        <w:rPr>
          <w:rStyle w:val="16"/>
          <w:rFonts w:hint="eastAsia" w:ascii="仿宋_GB2312" w:hAnsi="仿宋_GB2312" w:eastAsia="仿宋_GB2312" w:cs="仿宋_GB2312"/>
          <w:bCs w:val="0"/>
          <w:sz w:val="32"/>
          <w:szCs w:val="32"/>
        </w:rPr>
      </w:pPr>
      <w:bookmarkStart w:id="22" w:name="_Toc31083"/>
      <w:r>
        <w:rPr>
          <w:rStyle w:val="16"/>
          <w:rFonts w:hint="eastAsia" w:ascii="仿宋_GB2312" w:hAnsi="仿宋_GB2312" w:eastAsia="仿宋_GB2312" w:cs="仿宋_GB2312"/>
          <w:bCs w:val="0"/>
          <w:sz w:val="32"/>
          <w:szCs w:val="32"/>
        </w:rPr>
        <w:t>（一）项目决策情况</w:t>
      </w:r>
      <w:bookmarkEnd w:id="22"/>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23" w:name="_Toc21142"/>
      <w:r>
        <w:rPr>
          <w:rFonts w:hint="eastAsia" w:ascii="仿宋_GB2312" w:hAnsi="仿宋_GB2312" w:eastAsia="仿宋_GB2312" w:cs="仿宋_GB2312"/>
          <w:sz w:val="32"/>
          <w:szCs w:val="32"/>
          <w:lang w:val="en-US" w:eastAsia="zh-CN"/>
        </w:rPr>
        <w:t>项目决策类指标包括项目立项、绩效目标和资金投入三方面的内容，由6个三级指标构成，权重分值为20分，实际得分20分，得分率为100%。</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bookmarkEnd w:id="23"/>
    <w:p>
      <w:pPr>
        <w:pStyle w:val="4"/>
        <w:keepLines w:val="0"/>
        <w:pageBreakBefore w:val="0"/>
        <w:kinsoku/>
        <w:wordWrap/>
        <w:overflowPunct/>
        <w:topLinePunct w:val="0"/>
        <w:autoSpaceDE/>
        <w:autoSpaceDN/>
        <w:bidi w:val="0"/>
        <w:adjustRightInd/>
        <w:snapToGrid/>
        <w:spacing w:line="560" w:lineRule="exact"/>
        <w:ind w:left="0" w:leftChars="0" w:firstLine="643" w:firstLineChars="200"/>
        <w:textAlignment w:val="auto"/>
        <w:rPr>
          <w:rStyle w:val="16"/>
          <w:rFonts w:hint="eastAsia" w:ascii="仿宋_GB2312" w:hAnsi="仿宋_GB2312" w:eastAsia="仿宋_GB2312" w:cs="仿宋_GB2312"/>
          <w:bCs w:val="0"/>
          <w:sz w:val="32"/>
          <w:szCs w:val="32"/>
        </w:rPr>
      </w:pPr>
      <w:bookmarkStart w:id="24" w:name="_Toc15792"/>
      <w:r>
        <w:rPr>
          <w:rStyle w:val="16"/>
          <w:rFonts w:hint="eastAsia" w:ascii="仿宋_GB2312" w:hAnsi="仿宋_GB2312" w:eastAsia="仿宋_GB2312" w:cs="仿宋_GB2312"/>
          <w:bCs w:val="0"/>
          <w:sz w:val="32"/>
          <w:szCs w:val="32"/>
        </w:rPr>
        <w:t>（二）项目过程情况</w:t>
      </w:r>
      <w:bookmarkEnd w:id="24"/>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25" w:name="_Toc9804"/>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三级指标构成，权重分值为20分，实际得分19分，得分率为95%。</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bookmarkEnd w:id="25"/>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本项目总投资94.52万元，财政资金及时足额到位，到位率100%，预算资金按计划进度执行。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预算编制较为详细，项目资金支出总体能够按照预算执行，预算资金支出84.51万元，预算执行率为89.41%。</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2"/>
        <w:numPr>
          <w:ilvl w:val="0"/>
          <w:numId w:val="0"/>
        </w:numPr>
        <w:spacing w:line="560" w:lineRule="exact"/>
        <w:ind w:firstLine="643" w:firstLineChars="200"/>
        <w:rPr>
          <w:rFonts w:hint="eastAsia" w:eastAsia="楷体_GB2312"/>
          <w:b/>
          <w:bCs/>
          <w:sz w:val="32"/>
          <w:szCs w:val="32"/>
          <w:lang w:val="en-US" w:eastAsia="zh-CN"/>
        </w:rPr>
      </w:pPr>
      <w:bookmarkStart w:id="26" w:name="_Toc18226"/>
      <w:r>
        <w:rPr>
          <w:rStyle w:val="16"/>
          <w:rFonts w:hint="eastAsia" w:ascii="仿宋_GB2312" w:hAnsi="仿宋_GB2312" w:eastAsia="仿宋_GB2312" w:cs="仿宋_GB2312"/>
          <w:b/>
          <w:bCs w:val="0"/>
          <w:sz w:val="32"/>
          <w:szCs w:val="32"/>
        </w:rPr>
        <w:t>（三）</w:t>
      </w:r>
      <w:bookmarkEnd w:id="26"/>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eastAsia" w:eastAsia="楷体_GB2312"/>
          <w:b/>
          <w:bCs/>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项目产出类指标包括产出数量、产出质量、产出时效、产出成本四方面的内容，由4个三级指标构成，权重分为40分，实际得分39分，得分率为97.5%。具体产出指标完成情况如下：</w:t>
      </w:r>
    </w:p>
    <w:p>
      <w:pPr>
        <w:shd w:val="clear"/>
        <w:spacing w:line="600" w:lineRule="exact"/>
        <w:ind w:firstLine="640" w:firstLineChars="200"/>
        <w:outlineLvl w:val="0"/>
        <w:rPr>
          <w:rStyle w:val="16"/>
          <w:rFonts w:hint="eastAsia" w:ascii="仿宋_GB2312" w:hAnsi="仿宋_GB2312" w:eastAsia="仿宋_GB2312" w:cs="仿宋_GB2312"/>
          <w:b w:val="0"/>
          <w:bCs w:val="0"/>
          <w:color w:val="auto"/>
          <w:spacing w:val="-4"/>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指标1：全疆报考人数，指标值</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&lt;=40000人，实际完成值</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40000人</w:t>
      </w:r>
      <w:r>
        <w:rPr>
          <w:rFonts w:hint="eastAsia" w:ascii="仿宋_GB2312" w:hAnsi="仿宋_GB2312" w:cs="仿宋_GB2312"/>
          <w:sz w:val="32"/>
          <w:szCs w:val="32"/>
          <w:lang w:val="en-US" w:eastAsia="zh-CN"/>
        </w:rPr>
        <w:t>，指标完成率100%，无偏差</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Style w:val="16"/>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Fonts w:hint="eastAsia" w:ascii="仿宋_GB2312" w:hAnsi="仿宋_GB2312" w:eastAsia="仿宋_GB2312" w:cs="仿宋_GB2312"/>
          <w:sz w:val="32"/>
          <w:szCs w:val="32"/>
          <w:lang w:val="en-US" w:eastAsia="zh-CN"/>
        </w:rPr>
        <w:t>指标2：考试</w:t>
      </w:r>
      <w:r>
        <w:rPr>
          <w:rStyle w:val="17"/>
          <w:rFonts w:hint="eastAsia" w:ascii="仿宋_GB2312" w:hAnsi="仿宋_GB2312" w:eastAsia="仿宋_GB2312" w:cs="仿宋_GB2312"/>
          <w:b w:val="0"/>
          <w:bCs/>
          <w:color w:val="auto"/>
          <w:sz w:val="32"/>
          <w:szCs w:val="32"/>
        </w:rPr>
        <w:t>场次，指标值</w:t>
      </w:r>
      <w:r>
        <w:rPr>
          <w:rStyle w:val="17"/>
          <w:rFonts w:hint="eastAsia" w:ascii="仿宋_GB2312" w:hAnsi="仿宋_GB2312" w:cs="仿宋_GB2312"/>
          <w:b w:val="0"/>
          <w:bCs/>
          <w:color w:val="auto"/>
          <w:sz w:val="32"/>
          <w:szCs w:val="32"/>
          <w:lang w:eastAsia="zh-CN"/>
        </w:rPr>
        <w:t>：&lt;=</w:t>
      </w:r>
      <w:r>
        <w:rPr>
          <w:rStyle w:val="17"/>
          <w:rFonts w:hint="eastAsia" w:ascii="仿宋_GB2312" w:hAnsi="仿宋_GB2312" w:eastAsia="仿宋_GB2312" w:cs="仿宋_GB2312"/>
          <w:b w:val="0"/>
          <w:bCs/>
          <w:color w:val="auto"/>
          <w:sz w:val="32"/>
          <w:szCs w:val="32"/>
          <w:lang w:val="en-US" w:eastAsia="zh-CN"/>
        </w:rPr>
        <w:t>40000人次</w:t>
      </w:r>
      <w:r>
        <w:rPr>
          <w:rStyle w:val="17"/>
          <w:rFonts w:hint="eastAsia" w:ascii="仿宋_GB2312" w:hAnsi="仿宋_GB2312" w:eastAsia="仿宋_GB2312" w:cs="仿宋_GB2312"/>
          <w:b w:val="0"/>
          <w:bCs/>
          <w:color w:val="auto"/>
          <w:sz w:val="32"/>
          <w:szCs w:val="32"/>
        </w:rPr>
        <w:t>，实际完成</w:t>
      </w:r>
      <w:r>
        <w:rPr>
          <w:rFonts w:hint="eastAsia" w:ascii="仿宋_GB2312" w:hAnsi="仿宋_GB2312" w:eastAsia="仿宋_GB2312" w:cs="仿宋_GB2312"/>
          <w:sz w:val="32"/>
          <w:szCs w:val="32"/>
          <w:lang w:val="en-US" w:eastAsia="zh-CN"/>
        </w:rPr>
        <w:t>值：</w:t>
      </w:r>
      <w:r>
        <w:rPr>
          <w:rFonts w:hint="eastAsia" w:ascii="仿宋_GB2312" w:hAnsi="仿宋_GB2312" w:cs="仿宋_GB2312"/>
          <w:sz w:val="32"/>
          <w:szCs w:val="32"/>
          <w:lang w:val="en-US" w:eastAsia="zh-CN"/>
        </w:rPr>
        <w:t>=</w:t>
      </w:r>
      <w:r>
        <w:rPr>
          <w:rStyle w:val="17"/>
          <w:rFonts w:hint="eastAsia" w:ascii="仿宋_GB2312" w:hAnsi="仿宋_GB2312" w:eastAsia="仿宋_GB2312" w:cs="仿宋_GB2312"/>
          <w:b w:val="0"/>
          <w:bCs/>
          <w:color w:val="auto"/>
          <w:sz w:val="32"/>
          <w:szCs w:val="32"/>
          <w:lang w:val="en-US" w:eastAsia="zh-CN"/>
        </w:rPr>
        <w:t>40000人次</w:t>
      </w:r>
      <w:r>
        <w:rPr>
          <w:rStyle w:val="17"/>
          <w:rFonts w:hint="eastAsia" w:ascii="仿宋_GB2312" w:hAnsi="仿宋_GB2312" w:eastAsia="仿宋_GB2312" w:cs="仿宋_GB2312"/>
          <w:b w:val="0"/>
          <w:bCs/>
          <w:color w:val="auto"/>
          <w:sz w:val="32"/>
          <w:szCs w:val="32"/>
        </w:rPr>
        <w:t>，</w:t>
      </w:r>
      <w:r>
        <w:rPr>
          <w:rStyle w:val="17"/>
          <w:rFonts w:hint="eastAsia" w:ascii="仿宋_GB2312" w:hAnsi="仿宋_GB2312" w:eastAsia="仿宋_GB2312" w:cs="仿宋_GB2312"/>
          <w:b w:val="0"/>
          <w:bCs/>
          <w:color w:val="auto"/>
          <w:sz w:val="32"/>
          <w:szCs w:val="32"/>
          <w:lang w:eastAsia="zh-CN"/>
        </w:rPr>
        <w:t>指标</w:t>
      </w:r>
      <w:r>
        <w:rPr>
          <w:rStyle w:val="17"/>
          <w:rFonts w:hint="eastAsia" w:ascii="仿宋_GB2312" w:hAnsi="仿宋_GB2312" w:eastAsia="仿宋_GB2312" w:cs="仿宋_GB2312"/>
          <w:b w:val="0"/>
          <w:bCs/>
          <w:color w:val="auto"/>
          <w:sz w:val="32"/>
          <w:szCs w:val="32"/>
        </w:rPr>
        <w:t>完成率</w:t>
      </w:r>
      <w:r>
        <w:rPr>
          <w:rStyle w:val="17"/>
          <w:rFonts w:hint="eastAsia" w:ascii="仿宋_GB2312" w:hAnsi="仿宋_GB2312" w:cs="仿宋_GB2312"/>
          <w:b w:val="0"/>
          <w:bCs/>
          <w:color w:val="auto"/>
          <w:sz w:val="32"/>
          <w:szCs w:val="32"/>
          <w:lang w:val="en-US" w:eastAsia="zh-CN"/>
        </w:rPr>
        <w:t>100</w:t>
      </w:r>
      <w:r>
        <w:rPr>
          <w:rStyle w:val="17"/>
          <w:rFonts w:hint="eastAsia" w:ascii="仿宋_GB2312" w:hAnsi="仿宋_GB2312" w:eastAsia="仿宋_GB2312" w:cs="仿宋_GB2312"/>
          <w:b w:val="0"/>
          <w:bCs/>
          <w:color w:val="auto"/>
          <w:sz w:val="32"/>
          <w:szCs w:val="32"/>
        </w:rPr>
        <w:t>%，</w:t>
      </w:r>
      <w:r>
        <w:rPr>
          <w:rStyle w:val="17"/>
          <w:rFonts w:hint="eastAsia" w:ascii="仿宋_GB2312" w:hAnsi="仿宋_GB2312" w:eastAsia="仿宋_GB2312" w:cs="仿宋_GB2312"/>
          <w:b w:val="0"/>
          <w:bCs/>
          <w:color w:val="auto"/>
          <w:sz w:val="32"/>
          <w:szCs w:val="32"/>
          <w:lang w:eastAsia="zh-CN"/>
        </w:rPr>
        <w:t>无偏差</w:t>
      </w:r>
      <w:r>
        <w:rPr>
          <w:rStyle w:val="17"/>
          <w:rFonts w:hint="eastAsia" w:ascii="仿宋_GB2312" w:hAnsi="仿宋_GB2312" w:eastAsia="仿宋_GB2312" w:cs="仿宋_GB2312"/>
          <w:b w:val="0"/>
          <w:bCs/>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keepLines w:val="0"/>
        <w:pageBreakBefore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Style w:val="17"/>
          <w:rFonts w:hint="eastAsia" w:ascii="仿宋_GB2312" w:hAnsi="仿宋_GB2312" w:eastAsia="仿宋_GB2312" w:cs="仿宋_GB2312"/>
          <w:b w:val="0"/>
          <w:bCs/>
          <w:color w:val="000000" w:themeColor="text1"/>
          <w:sz w:val="32"/>
          <w:szCs w:val="32"/>
          <w:lang w:eastAsia="zh-CN"/>
          <w14:textFill>
            <w14:solidFill>
              <w14:schemeClr w14:val="tx1"/>
            </w14:solidFill>
          </w14:textFill>
        </w:rPr>
        <w:t>指标</w:t>
      </w:r>
      <w:r>
        <w:rPr>
          <w:rStyle w:val="17"/>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w:t>
      </w:r>
      <w:r>
        <w:rPr>
          <w:rStyle w:val="17"/>
          <w:rFonts w:hint="eastAsia" w:ascii="仿宋_GB2312" w:hAnsi="仿宋_GB2312" w:eastAsia="仿宋_GB2312" w:cs="仿宋_GB2312"/>
          <w:b w:val="0"/>
          <w:bCs/>
          <w:color w:val="000000" w:themeColor="text1"/>
          <w:sz w:val="32"/>
          <w:szCs w:val="32"/>
          <w:lang w:eastAsia="zh-CN"/>
          <w14:textFill>
            <w14:solidFill>
              <w14:schemeClr w14:val="tx1"/>
            </w14:solidFill>
          </w14:textFill>
        </w:rPr>
        <w:t>：参加考试的到考率，指标值</w:t>
      </w:r>
      <w:r>
        <w:rPr>
          <w:rStyle w:val="17"/>
          <w:rFonts w:hint="eastAsia" w:ascii="仿宋_GB2312" w:hAnsi="仿宋_GB2312" w:cs="仿宋_GB2312"/>
          <w:b w:val="0"/>
          <w:bCs/>
          <w:color w:val="000000" w:themeColor="text1"/>
          <w:sz w:val="32"/>
          <w:szCs w:val="32"/>
          <w:lang w:eastAsia="zh-CN"/>
          <w14:textFill>
            <w14:solidFill>
              <w14:schemeClr w14:val="tx1"/>
            </w14:solidFill>
          </w14:textFill>
        </w:rPr>
        <w:t>：&lt;=</w:t>
      </w:r>
      <w:r>
        <w:rPr>
          <w:rStyle w:val="17"/>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90%，实际完成值=90%，指标完成率100%，无偏差。</w:t>
      </w:r>
    </w:p>
    <w:p>
      <w:pPr>
        <w:keepLines w:val="0"/>
        <w:pageBreakBefore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Style w:val="17"/>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指标2：参加考试考生与总考生对比的通过率指标，指标值：</w:t>
      </w:r>
      <w:r>
        <w:rPr>
          <w:rStyle w:val="17"/>
          <w:rFonts w:hint="eastAsia" w:ascii="仿宋_GB2312" w:hAnsi="仿宋_GB2312" w:cs="仿宋_GB2312"/>
          <w:b w:val="0"/>
          <w:bCs/>
          <w:color w:val="000000" w:themeColor="text1"/>
          <w:sz w:val="32"/>
          <w:szCs w:val="32"/>
          <w:lang w:eastAsia="zh-CN"/>
          <w14:textFill>
            <w14:solidFill>
              <w14:schemeClr w14:val="tx1"/>
            </w14:solidFill>
          </w14:textFill>
        </w:rPr>
        <w:t>&lt;</w:t>
      </w:r>
      <w:r>
        <w:rPr>
          <w:rStyle w:val="17"/>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=80%，实际完成值：</w:t>
      </w:r>
      <w:r>
        <w:rPr>
          <w:rStyle w:val="17"/>
          <w:rFonts w:hint="eastAsia" w:ascii="仿宋_GB2312" w:hAnsi="仿宋_GB2312" w:cs="仿宋_GB2312"/>
          <w:b w:val="0"/>
          <w:bCs/>
          <w:color w:val="000000" w:themeColor="text1"/>
          <w:sz w:val="32"/>
          <w:szCs w:val="32"/>
          <w:lang w:val="en-US" w:eastAsia="zh-CN"/>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90%；指标完成率100%，无偏差。</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keepLines w:val="0"/>
        <w:pageBreakBefore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color w:val="auto"/>
          <w:sz w:val="32"/>
          <w:szCs w:val="32"/>
        </w:rPr>
      </w:pPr>
      <w:r>
        <w:rPr>
          <w:rStyle w:val="17"/>
          <w:rFonts w:hint="eastAsia" w:ascii="仿宋_GB2312" w:hAnsi="仿宋_GB2312" w:eastAsia="仿宋_GB2312" w:cs="仿宋_GB2312"/>
          <w:b w:val="0"/>
          <w:color w:val="auto"/>
          <w:sz w:val="32"/>
          <w:szCs w:val="32"/>
        </w:rPr>
        <w:t>考试按期完成率，指标</w:t>
      </w:r>
      <w:r>
        <w:rPr>
          <w:rStyle w:val="17"/>
          <w:rFonts w:hint="eastAsia" w:ascii="仿宋_GB2312" w:hAnsi="仿宋_GB2312" w:eastAsia="仿宋_GB2312" w:cs="仿宋_GB2312"/>
          <w:b w:val="0"/>
          <w:i w:val="0"/>
          <w:color w:val="auto"/>
          <w:sz w:val="32"/>
          <w:szCs w:val="32"/>
        </w:rPr>
        <w:t>值</w:t>
      </w:r>
      <w:r>
        <w:rPr>
          <w:rStyle w:val="17"/>
          <w:rFonts w:hint="eastAsia" w:ascii="仿宋_GB2312" w:hAnsi="仿宋_GB2312" w:cs="仿宋_GB2312"/>
          <w:b w:val="0"/>
          <w:i w:val="0"/>
          <w:color w:val="auto"/>
          <w:sz w:val="32"/>
          <w:szCs w:val="32"/>
          <w:lang w:eastAsia="zh-CN"/>
        </w:rPr>
        <w:t>：&gt;=</w:t>
      </w:r>
      <w:r>
        <w:rPr>
          <w:rStyle w:val="17"/>
          <w:rFonts w:hint="eastAsia" w:ascii="仿宋_GB2312" w:hAnsi="仿宋_GB2312" w:cs="仿宋_GB2312"/>
          <w:b w:val="0"/>
          <w:i w:val="0"/>
          <w:color w:val="auto"/>
          <w:sz w:val="32"/>
          <w:szCs w:val="32"/>
          <w:lang w:val="en-US" w:eastAsia="zh-CN"/>
        </w:rPr>
        <w:t>98</w:t>
      </w:r>
      <w:r>
        <w:rPr>
          <w:rStyle w:val="17"/>
          <w:rFonts w:hint="eastAsia" w:ascii="仿宋_GB2312" w:hAnsi="仿宋_GB2312" w:eastAsia="仿宋_GB2312" w:cs="仿宋_GB2312"/>
          <w:b w:val="0"/>
          <w:i w:val="0"/>
          <w:color w:val="auto"/>
          <w:sz w:val="32"/>
          <w:szCs w:val="32"/>
        </w:rPr>
        <w:t>%</w:t>
      </w:r>
      <w:r>
        <w:rPr>
          <w:rStyle w:val="17"/>
          <w:rFonts w:hint="eastAsia" w:ascii="仿宋_GB2312" w:hAnsi="仿宋_GB2312" w:eastAsia="仿宋_GB2312" w:cs="仿宋_GB2312"/>
          <w:b w:val="0"/>
          <w:color w:val="auto"/>
          <w:sz w:val="32"/>
          <w:szCs w:val="32"/>
        </w:rPr>
        <w:t>，实际完成值</w:t>
      </w:r>
      <w:r>
        <w:rPr>
          <w:rStyle w:val="17"/>
          <w:rFonts w:hint="eastAsia" w:ascii="仿宋_GB2312" w:hAnsi="仿宋_GB2312" w:cs="仿宋_GB2312"/>
          <w:b w:val="0"/>
          <w:color w:val="auto"/>
          <w:sz w:val="32"/>
          <w:szCs w:val="32"/>
          <w:lang w:eastAsia="zh-CN"/>
        </w:rPr>
        <w:t>：</w:t>
      </w:r>
      <w:r>
        <w:rPr>
          <w:rStyle w:val="17"/>
          <w:rFonts w:hint="eastAsia" w:ascii="仿宋_GB2312" w:hAnsi="仿宋_GB2312" w:cs="仿宋_GB2312"/>
          <w:b w:val="0"/>
          <w:color w:val="auto"/>
          <w:sz w:val="32"/>
          <w:szCs w:val="32"/>
          <w:lang w:val="en-US" w:eastAsia="zh-CN"/>
        </w:rPr>
        <w:t>=98</w:t>
      </w:r>
      <w:r>
        <w:rPr>
          <w:rStyle w:val="17"/>
          <w:rFonts w:hint="eastAsia" w:ascii="仿宋_GB2312" w:hAnsi="仿宋_GB2312" w:eastAsia="仿宋_GB2312" w:cs="仿宋_GB2312"/>
          <w:b w:val="0"/>
          <w:color w:val="auto"/>
          <w:sz w:val="32"/>
          <w:szCs w:val="32"/>
        </w:rPr>
        <w:t>%，指标完成率</w:t>
      </w:r>
      <w:r>
        <w:rPr>
          <w:rStyle w:val="17"/>
          <w:rFonts w:hint="eastAsia" w:ascii="仿宋_GB2312" w:hAnsi="仿宋_GB2312" w:eastAsia="仿宋_GB2312" w:cs="仿宋_GB2312"/>
          <w:b w:val="0"/>
          <w:color w:val="auto"/>
          <w:sz w:val="32"/>
          <w:szCs w:val="32"/>
          <w:lang w:val="en-US" w:eastAsia="zh-CN"/>
        </w:rPr>
        <w:t>100</w:t>
      </w:r>
      <w:r>
        <w:rPr>
          <w:rStyle w:val="17"/>
          <w:rFonts w:hint="eastAsia" w:ascii="仿宋_GB2312" w:hAnsi="仿宋_GB2312" w:eastAsia="仿宋_GB2312" w:cs="仿宋_GB2312"/>
          <w:b w:val="0"/>
          <w:color w:val="auto"/>
          <w:sz w:val="32"/>
          <w:szCs w:val="32"/>
        </w:rPr>
        <w:t>%，</w:t>
      </w:r>
      <w:r>
        <w:rPr>
          <w:rStyle w:val="17"/>
          <w:rFonts w:hint="eastAsia" w:ascii="仿宋_GB2312" w:hAnsi="仿宋_GB2312" w:eastAsia="仿宋_GB2312" w:cs="仿宋_GB2312"/>
          <w:b w:val="0"/>
          <w:color w:val="auto"/>
          <w:sz w:val="32"/>
          <w:szCs w:val="32"/>
          <w:lang w:eastAsia="zh-CN"/>
        </w:rPr>
        <w:t>无偏差</w:t>
      </w:r>
      <w:r>
        <w:rPr>
          <w:rStyle w:val="17"/>
          <w:rFonts w:hint="eastAsia" w:ascii="仿宋_GB2312" w:hAnsi="仿宋_GB2312" w:eastAsia="仿宋_GB2312" w:cs="仿宋_GB2312"/>
          <w:b w:val="0"/>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bookmarkStart w:id="27" w:name="_Toc7284"/>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pPr>
        <w:pageBreakBefore w:val="0"/>
        <w:widowControl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auto"/>
          <w:sz w:val="32"/>
          <w:szCs w:val="32"/>
          <w:lang w:val="en-US" w:eastAsia="zh-CN"/>
        </w:rPr>
      </w:pPr>
      <w:r>
        <w:rPr>
          <w:rStyle w:val="17"/>
          <w:rFonts w:hint="eastAsia" w:ascii="仿宋_GB2312" w:hAnsi="仿宋_GB2312" w:eastAsia="仿宋_GB2312" w:cs="仿宋_GB2312"/>
          <w:b w:val="0"/>
          <w:bCs/>
          <w:color w:val="auto"/>
          <w:sz w:val="32"/>
          <w:szCs w:val="32"/>
          <w:lang w:eastAsia="zh-CN"/>
        </w:rPr>
        <w:t>指标</w:t>
      </w:r>
      <w:r>
        <w:rPr>
          <w:rStyle w:val="17"/>
          <w:rFonts w:hint="eastAsia" w:ascii="仿宋_GB2312" w:hAnsi="仿宋_GB2312" w:eastAsia="仿宋_GB2312" w:cs="仿宋_GB2312"/>
          <w:b w:val="0"/>
          <w:bCs/>
          <w:color w:val="auto"/>
          <w:sz w:val="32"/>
          <w:szCs w:val="32"/>
          <w:lang w:val="en-US" w:eastAsia="zh-CN"/>
        </w:rPr>
        <w:t>1:</w:t>
      </w:r>
      <w:bookmarkEnd w:id="27"/>
      <w:r>
        <w:rPr>
          <w:rStyle w:val="17"/>
          <w:rFonts w:hint="eastAsia" w:ascii="仿宋_GB2312" w:hAnsi="仿宋_GB2312" w:eastAsia="仿宋_GB2312" w:cs="仿宋_GB2312"/>
          <w:b w:val="0"/>
          <w:bCs/>
          <w:color w:val="auto"/>
          <w:sz w:val="32"/>
          <w:szCs w:val="32"/>
          <w:lang w:eastAsia="zh-CN"/>
        </w:rPr>
        <w:t>考务费成本，指标值</w:t>
      </w:r>
      <w:r>
        <w:rPr>
          <w:rStyle w:val="17"/>
          <w:rFonts w:hint="eastAsia" w:ascii="仿宋_GB2312" w:hAnsi="仿宋_GB2312" w:cs="仿宋_GB2312"/>
          <w:b w:val="0"/>
          <w:bCs/>
          <w:color w:val="auto"/>
          <w:sz w:val="32"/>
          <w:szCs w:val="32"/>
          <w:lang w:eastAsia="zh-CN"/>
        </w:rPr>
        <w:t>：&lt;=</w:t>
      </w:r>
      <w:r>
        <w:rPr>
          <w:rStyle w:val="17"/>
          <w:rFonts w:hint="eastAsia" w:ascii="仿宋_GB2312" w:hAnsi="仿宋_GB2312" w:eastAsia="仿宋_GB2312" w:cs="仿宋_GB2312"/>
          <w:b w:val="0"/>
          <w:bCs/>
          <w:color w:val="auto"/>
          <w:sz w:val="32"/>
          <w:szCs w:val="32"/>
          <w:lang w:val="en-US" w:eastAsia="zh-CN"/>
        </w:rPr>
        <w:t>77.04</w:t>
      </w:r>
      <w:r>
        <w:rPr>
          <w:rStyle w:val="17"/>
          <w:rFonts w:hint="eastAsia" w:ascii="仿宋_GB2312" w:hAnsi="仿宋_GB2312" w:eastAsia="仿宋_GB2312" w:cs="仿宋_GB2312"/>
          <w:b w:val="0"/>
          <w:bCs/>
          <w:color w:val="auto"/>
          <w:sz w:val="32"/>
          <w:szCs w:val="32"/>
          <w:lang w:eastAsia="zh-CN"/>
        </w:rPr>
        <w:t>万元，实际完成值</w:t>
      </w:r>
      <w:r>
        <w:rPr>
          <w:rStyle w:val="17"/>
          <w:rFonts w:hint="eastAsia" w:ascii="仿宋_GB2312" w:hAnsi="仿宋_GB2312" w:cs="仿宋_GB2312"/>
          <w:b w:val="0"/>
          <w:bCs/>
          <w:color w:val="auto"/>
          <w:sz w:val="32"/>
          <w:szCs w:val="32"/>
          <w:lang w:eastAsia="zh-CN"/>
        </w:rPr>
        <w:t>：</w:t>
      </w:r>
      <w:r>
        <w:rPr>
          <w:rStyle w:val="17"/>
          <w:rFonts w:hint="eastAsia" w:ascii="仿宋_GB2312" w:hAnsi="仿宋_GB2312" w:cs="仿宋_GB2312"/>
          <w:b w:val="0"/>
          <w:bCs/>
          <w:color w:val="auto"/>
          <w:sz w:val="32"/>
          <w:szCs w:val="32"/>
          <w:lang w:val="en-US" w:eastAsia="zh-CN"/>
        </w:rPr>
        <w:t>=</w:t>
      </w:r>
      <w:r>
        <w:rPr>
          <w:rStyle w:val="17"/>
          <w:rFonts w:hint="eastAsia" w:ascii="仿宋_GB2312" w:hAnsi="仿宋_GB2312" w:eastAsia="仿宋_GB2312" w:cs="仿宋_GB2312"/>
          <w:b w:val="0"/>
          <w:bCs/>
          <w:color w:val="auto"/>
          <w:sz w:val="32"/>
          <w:szCs w:val="32"/>
          <w:lang w:val="en-US" w:eastAsia="zh-CN"/>
        </w:rPr>
        <w:t>68.45</w:t>
      </w:r>
      <w:r>
        <w:rPr>
          <w:rStyle w:val="17"/>
          <w:rFonts w:hint="eastAsia" w:ascii="仿宋_GB2312" w:hAnsi="仿宋_GB2312" w:eastAsia="仿宋_GB2312" w:cs="仿宋_GB2312"/>
          <w:b w:val="0"/>
          <w:bCs/>
          <w:color w:val="auto"/>
          <w:sz w:val="32"/>
          <w:szCs w:val="32"/>
          <w:lang w:eastAsia="zh-CN"/>
        </w:rPr>
        <w:t>万元，指标完成率</w:t>
      </w:r>
      <w:r>
        <w:rPr>
          <w:rStyle w:val="17"/>
          <w:rFonts w:hint="eastAsia" w:ascii="仿宋_GB2312" w:hAnsi="仿宋_GB2312" w:eastAsia="仿宋_GB2312" w:cs="仿宋_GB2312"/>
          <w:b w:val="0"/>
          <w:bCs/>
          <w:color w:val="auto"/>
          <w:sz w:val="32"/>
          <w:szCs w:val="32"/>
          <w:lang w:val="en-US" w:eastAsia="zh-CN"/>
        </w:rPr>
        <w:t>88.85</w:t>
      </w:r>
      <w:r>
        <w:rPr>
          <w:rStyle w:val="17"/>
          <w:rFonts w:hint="eastAsia" w:ascii="仿宋_GB2312" w:hAnsi="仿宋_GB2312" w:eastAsia="仿宋_GB2312" w:cs="仿宋_GB2312"/>
          <w:b w:val="0"/>
          <w:bCs/>
          <w:color w:val="auto"/>
          <w:sz w:val="32"/>
          <w:szCs w:val="32"/>
          <w:lang w:eastAsia="zh-CN"/>
        </w:rPr>
        <w:t>%</w:t>
      </w:r>
      <w:r>
        <w:rPr>
          <w:rStyle w:val="17"/>
          <w:rFonts w:hint="eastAsia" w:ascii="仿宋_GB2312" w:hAnsi="仿宋_GB2312" w:eastAsia="仿宋_GB2312" w:cs="仿宋_GB2312"/>
          <w:b w:val="0"/>
          <w:bCs/>
          <w:color w:val="auto"/>
          <w:sz w:val="32"/>
          <w:szCs w:val="32"/>
          <w:lang w:val="en-US" w:eastAsia="zh-CN"/>
        </w:rPr>
        <w:t>。偏差原因</w:t>
      </w:r>
      <w:r>
        <w:rPr>
          <w:rStyle w:val="17"/>
          <w:rFonts w:hint="eastAsia" w:ascii="仿宋_GB2312" w:hAnsi="仿宋_GB2312" w:eastAsia="仿宋_GB2312" w:cs="仿宋_GB2312"/>
          <w:b w:val="0"/>
          <w:bCs/>
          <w:color w:val="auto"/>
          <w:sz w:val="32"/>
          <w:szCs w:val="32"/>
          <w:lang w:eastAsia="zh-CN"/>
        </w:rPr>
        <w:t>：</w:t>
      </w:r>
      <w:r>
        <w:rPr>
          <w:rStyle w:val="17"/>
          <w:rFonts w:hint="eastAsia" w:ascii="仿宋_GB2312" w:hAnsi="仿宋_GB2312" w:eastAsia="仿宋_GB2312" w:cs="仿宋_GB2312"/>
          <w:b w:val="0"/>
          <w:bCs/>
          <w:color w:val="auto"/>
          <w:sz w:val="32"/>
          <w:szCs w:val="32"/>
          <w:lang w:val="en-US" w:eastAsia="zh-CN"/>
        </w:rPr>
        <w:t>全疆中职考务根据学生在校学习进度情况，为了提高学生知识掌握程度及考生考试通过率，调整考试时间至2023年12月第三周举行，致使部分相关费用未及时支付</w:t>
      </w:r>
      <w:r>
        <w:rPr>
          <w:rStyle w:val="17"/>
          <w:rFonts w:hint="eastAsia" w:ascii="仿宋_GB2312" w:hAnsi="仿宋_GB2312" w:cs="仿宋_GB2312"/>
          <w:b w:val="0"/>
          <w:bCs/>
          <w:color w:val="auto"/>
          <w:sz w:val="32"/>
          <w:szCs w:val="32"/>
          <w:lang w:val="en-US" w:eastAsia="zh-CN"/>
        </w:rPr>
        <w:t>。</w:t>
      </w:r>
    </w:p>
    <w:p>
      <w:pPr>
        <w:pageBreakBefore w:val="0"/>
        <w:widowControl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auto"/>
          <w:sz w:val="32"/>
          <w:szCs w:val="32"/>
          <w:lang w:val="en-US" w:eastAsia="zh-CN"/>
        </w:rPr>
      </w:pPr>
      <w:r>
        <w:rPr>
          <w:rStyle w:val="17"/>
          <w:rFonts w:hint="eastAsia" w:ascii="仿宋_GB2312" w:hAnsi="仿宋_GB2312" w:eastAsia="仿宋_GB2312" w:cs="仿宋_GB2312"/>
          <w:b w:val="0"/>
          <w:bCs/>
          <w:color w:val="auto"/>
          <w:sz w:val="32"/>
          <w:szCs w:val="32"/>
          <w:lang w:eastAsia="zh-CN"/>
        </w:rPr>
        <w:t>指标</w:t>
      </w:r>
      <w:r>
        <w:rPr>
          <w:rStyle w:val="17"/>
          <w:rFonts w:hint="eastAsia" w:ascii="仿宋_GB2312" w:hAnsi="仿宋_GB2312" w:eastAsia="仿宋_GB2312" w:cs="仿宋_GB2312"/>
          <w:b w:val="0"/>
          <w:bCs/>
          <w:color w:val="auto"/>
          <w:sz w:val="32"/>
          <w:szCs w:val="32"/>
          <w:lang w:val="en-US" w:eastAsia="zh-CN"/>
        </w:rPr>
        <w:t>2：</w:t>
      </w:r>
      <w:r>
        <w:rPr>
          <w:rStyle w:val="17"/>
          <w:rFonts w:hint="eastAsia" w:ascii="仿宋_GB2312" w:hAnsi="仿宋_GB2312" w:eastAsia="仿宋_GB2312" w:cs="仿宋_GB2312"/>
          <w:b w:val="0"/>
          <w:bCs/>
          <w:color w:val="auto"/>
          <w:sz w:val="32"/>
          <w:szCs w:val="32"/>
          <w:lang w:eastAsia="zh-CN"/>
        </w:rPr>
        <w:t>考务用品成本，指标值</w:t>
      </w:r>
      <w:r>
        <w:rPr>
          <w:rStyle w:val="17"/>
          <w:rFonts w:hint="eastAsia" w:ascii="仿宋_GB2312" w:hAnsi="仿宋_GB2312" w:cs="仿宋_GB2312"/>
          <w:b w:val="0"/>
          <w:bCs/>
          <w:color w:val="auto"/>
          <w:sz w:val="32"/>
          <w:szCs w:val="32"/>
          <w:lang w:val="en-US" w:eastAsia="zh-CN"/>
        </w:rPr>
        <w:t>：&lt;=</w:t>
      </w:r>
      <w:r>
        <w:rPr>
          <w:rStyle w:val="17"/>
          <w:rFonts w:hint="eastAsia" w:ascii="仿宋_GB2312" w:hAnsi="仿宋_GB2312" w:eastAsia="仿宋_GB2312" w:cs="仿宋_GB2312"/>
          <w:b w:val="0"/>
          <w:bCs/>
          <w:color w:val="auto"/>
          <w:sz w:val="32"/>
          <w:szCs w:val="32"/>
          <w:lang w:val="en-US" w:eastAsia="zh-CN"/>
        </w:rPr>
        <w:t>3.58</w:t>
      </w:r>
      <w:r>
        <w:rPr>
          <w:rStyle w:val="17"/>
          <w:rFonts w:hint="eastAsia" w:ascii="仿宋_GB2312" w:hAnsi="仿宋_GB2312" w:eastAsia="仿宋_GB2312" w:cs="仿宋_GB2312"/>
          <w:b w:val="0"/>
          <w:bCs/>
          <w:color w:val="auto"/>
          <w:sz w:val="32"/>
          <w:szCs w:val="32"/>
          <w:lang w:eastAsia="zh-CN"/>
        </w:rPr>
        <w:t>万元，实际完成值</w:t>
      </w:r>
      <w:r>
        <w:rPr>
          <w:rStyle w:val="17"/>
          <w:rFonts w:hint="eastAsia" w:ascii="仿宋_GB2312" w:hAnsi="仿宋_GB2312" w:eastAsia="仿宋_GB2312" w:cs="仿宋_GB2312"/>
          <w:b w:val="0"/>
          <w:bCs/>
          <w:color w:val="auto"/>
          <w:sz w:val="32"/>
          <w:szCs w:val="32"/>
          <w:lang w:val="en-US" w:eastAsia="zh-CN"/>
        </w:rPr>
        <w:t>:</w:t>
      </w:r>
      <w:r>
        <w:rPr>
          <w:rStyle w:val="17"/>
          <w:rFonts w:hint="eastAsia" w:ascii="仿宋_GB2312" w:hAnsi="仿宋_GB2312" w:cs="仿宋_GB2312"/>
          <w:b w:val="0"/>
          <w:bCs/>
          <w:color w:val="auto"/>
          <w:sz w:val="32"/>
          <w:szCs w:val="32"/>
          <w:lang w:val="en-US" w:eastAsia="zh-CN"/>
        </w:rPr>
        <w:t>=</w:t>
      </w:r>
      <w:r>
        <w:rPr>
          <w:rStyle w:val="17"/>
          <w:rFonts w:hint="eastAsia" w:ascii="仿宋_GB2312" w:hAnsi="仿宋_GB2312" w:eastAsia="仿宋_GB2312" w:cs="仿宋_GB2312"/>
          <w:b w:val="0"/>
          <w:bCs/>
          <w:color w:val="auto"/>
          <w:sz w:val="32"/>
          <w:szCs w:val="32"/>
          <w:lang w:val="en-US" w:eastAsia="zh-CN"/>
        </w:rPr>
        <w:t>3.58</w:t>
      </w:r>
      <w:r>
        <w:rPr>
          <w:rStyle w:val="17"/>
          <w:rFonts w:hint="eastAsia" w:ascii="仿宋_GB2312" w:hAnsi="仿宋_GB2312" w:eastAsia="仿宋_GB2312" w:cs="仿宋_GB2312"/>
          <w:b w:val="0"/>
          <w:bCs/>
          <w:color w:val="auto"/>
          <w:sz w:val="32"/>
          <w:szCs w:val="32"/>
          <w:lang w:eastAsia="zh-CN"/>
        </w:rPr>
        <w:t>万元，指标完成率</w:t>
      </w:r>
      <w:r>
        <w:rPr>
          <w:rStyle w:val="17"/>
          <w:rFonts w:hint="eastAsia" w:ascii="仿宋_GB2312" w:hAnsi="仿宋_GB2312" w:eastAsia="仿宋_GB2312" w:cs="仿宋_GB2312"/>
          <w:b w:val="0"/>
          <w:bCs/>
          <w:color w:val="auto"/>
          <w:sz w:val="32"/>
          <w:szCs w:val="32"/>
          <w:lang w:val="en-US" w:eastAsia="zh-CN"/>
        </w:rPr>
        <w:t>100</w:t>
      </w:r>
      <w:r>
        <w:rPr>
          <w:rStyle w:val="17"/>
          <w:rFonts w:hint="eastAsia" w:ascii="仿宋_GB2312" w:hAnsi="仿宋_GB2312" w:eastAsia="仿宋_GB2312" w:cs="仿宋_GB2312"/>
          <w:b w:val="0"/>
          <w:bCs/>
          <w:color w:val="auto"/>
          <w:sz w:val="32"/>
          <w:szCs w:val="32"/>
          <w:lang w:eastAsia="zh-CN"/>
        </w:rPr>
        <w:t>%，无偏差</w:t>
      </w:r>
      <w:r>
        <w:rPr>
          <w:rStyle w:val="17"/>
          <w:rFonts w:hint="eastAsia" w:ascii="仿宋_GB2312" w:hAnsi="仿宋_GB2312" w:eastAsia="仿宋_GB2312" w:cs="仿宋_GB2312"/>
          <w:b w:val="0"/>
          <w:bCs/>
          <w:color w:val="auto"/>
          <w:sz w:val="32"/>
          <w:szCs w:val="32"/>
          <w:lang w:val="en-US" w:eastAsia="zh-CN"/>
        </w:rPr>
        <w:t>。</w:t>
      </w:r>
    </w:p>
    <w:p>
      <w:pPr>
        <w:pageBreakBefore w:val="0"/>
        <w:widowControl w:val="0"/>
        <w:kinsoku/>
        <w:wordWrap/>
        <w:overflowPunct/>
        <w:topLinePunct w:val="0"/>
        <w:autoSpaceDE/>
        <w:autoSpaceDN/>
        <w:bidi w:val="0"/>
        <w:adjustRightInd/>
        <w:snapToGrid/>
        <w:spacing w:line="560" w:lineRule="exact"/>
        <w:ind w:firstLine="640"/>
        <w:jc w:val="left"/>
        <w:textAlignment w:val="auto"/>
        <w:rPr>
          <w:rStyle w:val="17"/>
          <w:rFonts w:hint="eastAsia" w:ascii="仿宋_GB2312" w:hAnsi="仿宋_GB2312" w:eastAsia="仿宋_GB2312" w:cs="仿宋_GB2312"/>
          <w:b w:val="0"/>
          <w:bCs/>
          <w:color w:val="auto"/>
          <w:sz w:val="32"/>
          <w:szCs w:val="32"/>
          <w:lang w:val="en-US" w:eastAsia="zh-CN"/>
        </w:rPr>
      </w:pPr>
      <w:r>
        <w:rPr>
          <w:rStyle w:val="17"/>
          <w:rFonts w:hint="eastAsia" w:ascii="仿宋_GB2312" w:hAnsi="仿宋_GB2312" w:eastAsia="仿宋_GB2312" w:cs="仿宋_GB2312"/>
          <w:b w:val="0"/>
          <w:bCs/>
          <w:color w:val="auto"/>
          <w:sz w:val="32"/>
          <w:szCs w:val="32"/>
          <w:lang w:val="en-US" w:eastAsia="zh-CN"/>
        </w:rPr>
        <w:t>指标3:</w:t>
      </w:r>
      <w:r>
        <w:rPr>
          <w:rStyle w:val="17"/>
          <w:rFonts w:hint="eastAsia" w:ascii="仿宋_GB2312" w:hAnsi="仿宋_GB2312" w:eastAsia="仿宋_GB2312" w:cs="仿宋_GB2312"/>
          <w:b w:val="0"/>
          <w:bCs/>
          <w:color w:val="auto"/>
          <w:sz w:val="32"/>
          <w:szCs w:val="32"/>
          <w:lang w:eastAsia="zh-CN"/>
        </w:rPr>
        <w:t>技术服务保障成本，指标值</w:t>
      </w:r>
      <w:r>
        <w:rPr>
          <w:rStyle w:val="17"/>
          <w:rFonts w:hint="eastAsia" w:ascii="仿宋_GB2312" w:hAnsi="仿宋_GB2312" w:cs="仿宋_GB2312"/>
          <w:b w:val="0"/>
          <w:bCs/>
          <w:color w:val="auto"/>
          <w:sz w:val="32"/>
          <w:szCs w:val="32"/>
          <w:lang w:val="en-US" w:eastAsia="zh-CN"/>
        </w:rPr>
        <w:t>&lt;=</w:t>
      </w:r>
      <w:r>
        <w:rPr>
          <w:rStyle w:val="17"/>
          <w:rFonts w:hint="eastAsia" w:ascii="仿宋_GB2312" w:hAnsi="仿宋_GB2312" w:eastAsia="仿宋_GB2312" w:cs="仿宋_GB2312"/>
          <w:b w:val="0"/>
          <w:bCs/>
          <w:color w:val="auto"/>
          <w:sz w:val="32"/>
          <w:szCs w:val="32"/>
          <w:lang w:val="en-US" w:eastAsia="zh-CN"/>
        </w:rPr>
        <w:t>13.9万元，实际完成值</w:t>
      </w:r>
      <w:r>
        <w:rPr>
          <w:rStyle w:val="17"/>
          <w:rFonts w:hint="eastAsia" w:ascii="仿宋_GB2312" w:hAnsi="仿宋_GB2312" w:cs="仿宋_GB2312"/>
          <w:b w:val="0"/>
          <w:bCs/>
          <w:color w:val="auto"/>
          <w:sz w:val="32"/>
          <w:szCs w:val="32"/>
          <w:lang w:val="en-US" w:eastAsia="zh-CN"/>
        </w:rPr>
        <w:t>:=</w:t>
      </w:r>
      <w:r>
        <w:rPr>
          <w:rStyle w:val="17"/>
          <w:rFonts w:hint="eastAsia" w:ascii="仿宋_GB2312" w:hAnsi="仿宋_GB2312" w:eastAsia="仿宋_GB2312" w:cs="仿宋_GB2312"/>
          <w:b w:val="0"/>
          <w:bCs/>
          <w:color w:val="auto"/>
          <w:sz w:val="32"/>
          <w:szCs w:val="32"/>
          <w:lang w:val="en-US" w:eastAsia="zh-CN"/>
        </w:rPr>
        <w:t>12.48万元，指标完成率</w:t>
      </w:r>
      <w:r>
        <w:rPr>
          <w:rStyle w:val="17"/>
          <w:rFonts w:hint="eastAsia" w:ascii="仿宋_GB2312" w:hAnsi="仿宋_GB2312" w:cs="仿宋_GB2312"/>
          <w:b w:val="0"/>
          <w:bCs/>
          <w:color w:val="auto"/>
          <w:sz w:val="32"/>
          <w:szCs w:val="32"/>
          <w:lang w:val="en-US" w:eastAsia="zh-CN"/>
        </w:rPr>
        <w:t>:</w:t>
      </w:r>
      <w:r>
        <w:rPr>
          <w:rStyle w:val="17"/>
          <w:rFonts w:hint="eastAsia" w:ascii="仿宋_GB2312" w:hAnsi="仿宋_GB2312" w:eastAsia="仿宋_GB2312" w:cs="仿宋_GB2312"/>
          <w:b w:val="0"/>
          <w:bCs/>
          <w:color w:val="auto"/>
          <w:sz w:val="32"/>
          <w:szCs w:val="32"/>
          <w:lang w:val="en-US" w:eastAsia="zh-CN"/>
        </w:rPr>
        <w:t>89.78%</w:t>
      </w:r>
      <w:r>
        <w:rPr>
          <w:rStyle w:val="17"/>
          <w:rFonts w:hint="eastAsia" w:ascii="仿宋_GB2312" w:hAnsi="仿宋_GB2312" w:cs="仿宋_GB2312"/>
          <w:b w:val="0"/>
          <w:bCs/>
          <w:color w:val="auto"/>
          <w:sz w:val="32"/>
          <w:szCs w:val="32"/>
          <w:lang w:val="en-US" w:eastAsia="zh-CN"/>
        </w:rPr>
        <w:t>。</w:t>
      </w:r>
      <w:r>
        <w:rPr>
          <w:rStyle w:val="17"/>
          <w:rFonts w:hint="eastAsia" w:ascii="仿宋_GB2312" w:hAnsi="仿宋_GB2312" w:eastAsia="仿宋_GB2312" w:cs="仿宋_GB2312"/>
          <w:b w:val="0"/>
          <w:bCs/>
          <w:color w:val="auto"/>
          <w:sz w:val="32"/>
          <w:szCs w:val="32"/>
          <w:lang w:val="en-US" w:eastAsia="zh-CN"/>
        </w:rPr>
        <w:t>偏差原因：全疆中职考务根据学生在校学习进度情况，为了提高学生知识掌握程度及考生考试通过率，调整考试时间至2023年12月第三周举行，致使现场考务工作安排的差旅费未及时执行。</w:t>
      </w:r>
    </w:p>
    <w:p>
      <w:pPr>
        <w:pStyle w:val="12"/>
        <w:numPr>
          <w:ilvl w:val="0"/>
          <w:numId w:val="1"/>
        </w:numPr>
        <w:spacing w:line="560" w:lineRule="exact"/>
        <w:ind w:left="0" w:leftChars="0" w:firstLine="643" w:firstLineChars="0"/>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项目效益类指标包括项目实施效益和满意度两方面的内容，由2个三级指标构成，权重分为20分，实际得分20分，得分率为100%。具体效益指标及满意度指标完成情况如下：</w:t>
      </w:r>
    </w:p>
    <w:p>
      <w:pPr>
        <w:shd w:val="clear"/>
        <w:spacing w:line="600" w:lineRule="exact"/>
        <w:ind w:firstLine="640" w:firstLineChars="200"/>
        <w:outlineLvl w:val="0"/>
        <w:rPr>
          <w:rFonts w:hint="default"/>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keepLines w:val="0"/>
        <w:pageBreakBefore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auto"/>
          <w:sz w:val="32"/>
          <w:szCs w:val="32"/>
        </w:rPr>
      </w:pPr>
      <w:bookmarkStart w:id="28" w:name="_Toc32015"/>
      <w:r>
        <w:rPr>
          <w:rStyle w:val="17"/>
          <w:rFonts w:hint="eastAsia" w:ascii="仿宋_GB2312" w:hAnsi="仿宋_GB2312" w:eastAsia="仿宋_GB2312" w:cs="仿宋_GB2312"/>
          <w:b w:val="0"/>
          <w:bCs/>
          <w:color w:val="auto"/>
          <w:sz w:val="32"/>
          <w:szCs w:val="32"/>
        </w:rPr>
        <w:t>提高学生毕业后就业保障，指标值：通过考试，</w:t>
      </w:r>
      <w:r>
        <w:rPr>
          <w:rStyle w:val="17"/>
          <w:rFonts w:hint="eastAsia" w:ascii="仿宋_GB2312" w:hAnsi="仿宋_GB2312" w:eastAsia="仿宋_GB2312" w:cs="仿宋_GB2312"/>
          <w:b w:val="0"/>
          <w:bCs/>
          <w:color w:val="auto"/>
          <w:sz w:val="32"/>
          <w:szCs w:val="32"/>
          <w:lang w:eastAsia="zh-CN"/>
        </w:rPr>
        <w:t>有效提高</w:t>
      </w:r>
      <w:r>
        <w:rPr>
          <w:rStyle w:val="17"/>
          <w:rFonts w:hint="eastAsia" w:ascii="仿宋_GB2312" w:hAnsi="仿宋_GB2312" w:eastAsia="仿宋_GB2312" w:cs="仿宋_GB2312"/>
          <w:b w:val="0"/>
          <w:bCs/>
          <w:color w:val="auto"/>
          <w:sz w:val="32"/>
          <w:szCs w:val="32"/>
        </w:rPr>
        <w:t>学生毕业后就业保障，</w:t>
      </w:r>
      <w:r>
        <w:rPr>
          <w:rStyle w:val="17"/>
          <w:rFonts w:hint="eastAsia" w:ascii="仿宋_GB2312" w:hAnsi="仿宋_GB2312" w:eastAsia="仿宋_GB2312" w:cs="仿宋_GB2312"/>
          <w:b w:val="0"/>
          <w:bCs/>
          <w:color w:val="auto"/>
          <w:sz w:val="32"/>
          <w:szCs w:val="32"/>
          <w:lang w:val="en-US" w:eastAsia="zh-CN"/>
        </w:rPr>
        <w:t>实际完成</w:t>
      </w:r>
      <w:r>
        <w:rPr>
          <w:rStyle w:val="17"/>
          <w:rFonts w:hint="eastAsia" w:ascii="仿宋_GB2312" w:hAnsi="仿宋_GB2312" w:eastAsia="仿宋_GB2312" w:cs="仿宋_GB2312"/>
          <w:b w:val="0"/>
          <w:bCs/>
          <w:color w:val="auto"/>
          <w:sz w:val="32"/>
          <w:szCs w:val="32"/>
        </w:rPr>
        <w:t>通过考试，学生毕业后就业保障</w:t>
      </w:r>
      <w:r>
        <w:rPr>
          <w:rStyle w:val="17"/>
          <w:rFonts w:hint="eastAsia" w:ascii="仿宋_GB2312" w:hAnsi="仿宋_GB2312" w:eastAsia="仿宋_GB2312" w:cs="仿宋_GB2312"/>
          <w:b w:val="0"/>
          <w:bCs/>
          <w:color w:val="auto"/>
          <w:sz w:val="32"/>
          <w:szCs w:val="32"/>
          <w:lang w:val="en-US" w:eastAsia="zh-CN"/>
        </w:rPr>
        <w:t>，</w:t>
      </w:r>
      <w:r>
        <w:rPr>
          <w:rStyle w:val="17"/>
          <w:rFonts w:hint="eastAsia" w:ascii="仿宋_GB2312" w:hAnsi="仿宋_GB2312" w:eastAsia="仿宋_GB2312" w:cs="仿宋_GB2312"/>
          <w:b w:val="0"/>
          <w:bCs/>
          <w:i w:val="0"/>
          <w:color w:val="auto"/>
          <w:sz w:val="32"/>
          <w:szCs w:val="32"/>
        </w:rPr>
        <w:t>指标</w:t>
      </w:r>
      <w:r>
        <w:rPr>
          <w:rStyle w:val="17"/>
          <w:rFonts w:hint="eastAsia" w:ascii="仿宋_GB2312" w:hAnsi="仿宋_GB2312" w:eastAsia="仿宋_GB2312" w:cs="仿宋_GB2312"/>
          <w:b w:val="0"/>
          <w:bCs/>
          <w:color w:val="auto"/>
          <w:sz w:val="32"/>
          <w:szCs w:val="32"/>
        </w:rPr>
        <w:t>完成率：100%，无偏差。</w:t>
      </w:r>
      <w:bookmarkEnd w:id="28"/>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keepLines w:val="0"/>
        <w:pageBreakBefore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auto"/>
          <w:sz w:val="32"/>
          <w:szCs w:val="32"/>
        </w:rPr>
      </w:pPr>
      <w:r>
        <w:rPr>
          <w:rStyle w:val="17"/>
          <w:rFonts w:hint="eastAsia" w:ascii="仿宋_GB2312" w:hAnsi="仿宋_GB2312" w:eastAsia="仿宋_GB2312" w:cs="仿宋_GB2312"/>
          <w:b w:val="0"/>
          <w:bCs/>
          <w:color w:val="000000" w:themeColor="text1"/>
          <w:sz w:val="32"/>
          <w:szCs w:val="32"/>
          <w14:textFill>
            <w14:solidFill>
              <w14:schemeClr w14:val="tx1"/>
            </w14:solidFill>
          </w14:textFill>
        </w:rPr>
        <w:t>社会效益指标方面：</w:t>
      </w:r>
      <w:bookmarkStart w:id="29" w:name="_Toc8308"/>
      <w:r>
        <w:rPr>
          <w:rStyle w:val="17"/>
          <w:rFonts w:hint="eastAsia" w:ascii="仿宋_GB2312" w:hAnsi="仿宋_GB2312" w:eastAsia="仿宋_GB2312" w:cs="仿宋_GB2312"/>
          <w:b w:val="0"/>
          <w:bCs/>
          <w:color w:val="000000" w:themeColor="text1"/>
          <w:sz w:val="32"/>
          <w:szCs w:val="32"/>
          <w14:textFill>
            <w14:solidFill>
              <w14:schemeClr w14:val="tx1"/>
            </w14:solidFill>
          </w14:textFill>
        </w:rPr>
        <w:t>有效提升信息技术应用水平，指标值：通过考试，有效推进全疆信息技术行业持续稳步发展</w:t>
      </w:r>
      <w:r>
        <w:rPr>
          <w:rStyle w:val="17"/>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Style w:val="17"/>
          <w:rFonts w:hint="eastAsia" w:ascii="仿宋_GB2312" w:hAnsi="仿宋_GB2312" w:eastAsia="仿宋_GB2312" w:cs="仿宋_GB2312"/>
          <w:b w:val="0"/>
          <w:bCs/>
          <w:i w:val="0"/>
          <w:color w:val="000000" w:themeColor="text1"/>
          <w:sz w:val="32"/>
          <w:szCs w:val="32"/>
          <w:lang w:val="en-US" w:eastAsia="zh-CN"/>
          <w14:textFill>
            <w14:solidFill>
              <w14:schemeClr w14:val="tx1"/>
            </w14:solidFill>
          </w14:textFill>
        </w:rPr>
        <w:t>实际完成</w:t>
      </w:r>
      <w:r>
        <w:rPr>
          <w:rStyle w:val="17"/>
          <w:rFonts w:hint="eastAsia" w:ascii="仿宋_GB2312" w:hAnsi="仿宋_GB2312" w:eastAsia="仿宋_GB2312" w:cs="仿宋_GB2312"/>
          <w:b w:val="0"/>
          <w:bCs/>
          <w:color w:val="000000" w:themeColor="text1"/>
          <w:sz w:val="32"/>
          <w:szCs w:val="32"/>
          <w14:textFill>
            <w14:solidFill>
              <w14:schemeClr w14:val="tx1"/>
            </w14:solidFill>
          </w14:textFill>
        </w:rPr>
        <w:t>通过考试，有效推进全疆信息技术行业持续稳步发展</w:t>
      </w:r>
      <w:r>
        <w:rPr>
          <w:rStyle w:val="17"/>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14:textFill>
            <w14:solidFill>
              <w14:schemeClr w14:val="tx1"/>
            </w14:solidFill>
          </w14:textFill>
        </w:rPr>
        <w:t>指标完成率</w:t>
      </w:r>
      <w:r>
        <w:rPr>
          <w:rStyle w:val="17"/>
          <w:rFonts w:hint="eastAsia" w:ascii="仿宋_GB2312" w:hAnsi="仿宋_GB2312" w:eastAsia="仿宋_GB2312" w:cs="仿宋_GB2312"/>
          <w:b w:val="0"/>
          <w:bCs/>
          <w:color w:val="auto"/>
          <w:sz w:val="32"/>
          <w:szCs w:val="32"/>
        </w:rPr>
        <w:t>：100%，无偏差。</w:t>
      </w:r>
      <w:bookmarkEnd w:id="29"/>
    </w:p>
    <w:p>
      <w:pPr>
        <w:keepLines w:val="0"/>
        <w:pageBreakBefore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auto"/>
          <w:sz w:val="32"/>
          <w:szCs w:val="32"/>
          <w:lang w:val="en-US" w:eastAsia="zh-CN"/>
        </w:rPr>
      </w:pPr>
      <w:r>
        <w:rPr>
          <w:rStyle w:val="17"/>
          <w:rFonts w:hint="eastAsia" w:ascii="仿宋_GB2312" w:hAnsi="仿宋_GB2312" w:eastAsia="仿宋_GB2312" w:cs="仿宋_GB2312"/>
          <w:b w:val="0"/>
          <w:bCs/>
          <w:color w:val="auto"/>
          <w:sz w:val="32"/>
          <w:szCs w:val="32"/>
          <w:lang w:val="en-US" w:eastAsia="zh-CN"/>
        </w:rPr>
        <w:t>③生态效益指标：</w:t>
      </w:r>
    </w:p>
    <w:p>
      <w:pPr>
        <w:keepLines w:val="0"/>
        <w:pageBreakBefore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auto"/>
          <w:sz w:val="32"/>
          <w:szCs w:val="32"/>
          <w:lang w:val="en-US" w:eastAsia="zh-CN"/>
        </w:rPr>
      </w:pPr>
      <w:r>
        <w:rPr>
          <w:rStyle w:val="17"/>
          <w:rFonts w:hint="eastAsia" w:ascii="仿宋_GB2312" w:hAnsi="仿宋_GB2312" w:eastAsia="仿宋_GB2312" w:cs="仿宋_GB2312"/>
          <w:b w:val="0"/>
          <w:bCs/>
          <w:color w:val="auto"/>
          <w:sz w:val="32"/>
          <w:szCs w:val="32"/>
          <w:lang w:val="en-US" w:eastAsia="zh-CN"/>
        </w:rPr>
        <w:t>本年度本单位未安排生态效益指标。</w:t>
      </w:r>
    </w:p>
    <w:p>
      <w:pPr>
        <w:keepLines w:val="0"/>
        <w:pageBreakBefore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auto"/>
          <w:sz w:val="32"/>
          <w:szCs w:val="32"/>
          <w:lang w:val="en-US" w:eastAsia="zh-CN"/>
        </w:rPr>
      </w:pPr>
      <w:r>
        <w:rPr>
          <w:rStyle w:val="17"/>
          <w:rFonts w:hint="eastAsia" w:ascii="仿宋_GB2312" w:hAnsi="仿宋_GB2312" w:eastAsia="仿宋_GB2312" w:cs="仿宋_GB2312"/>
          <w:b w:val="0"/>
          <w:bCs/>
          <w:color w:val="auto"/>
          <w:sz w:val="32"/>
          <w:szCs w:val="32"/>
          <w:lang w:val="en-US" w:eastAsia="zh-CN"/>
        </w:rPr>
        <w:t>④可持续影响指标</w:t>
      </w:r>
    </w:p>
    <w:p>
      <w:pPr>
        <w:keepLines w:val="0"/>
        <w:pageBreakBefore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auto"/>
          <w:sz w:val="32"/>
          <w:szCs w:val="32"/>
        </w:rPr>
      </w:pPr>
      <w:r>
        <w:rPr>
          <w:rStyle w:val="17"/>
          <w:rFonts w:hint="eastAsia" w:ascii="仿宋_GB2312" w:hAnsi="仿宋_GB2312" w:eastAsia="仿宋_GB2312" w:cs="仿宋_GB2312"/>
          <w:b w:val="0"/>
          <w:bCs/>
          <w:color w:val="auto"/>
          <w:sz w:val="32"/>
          <w:szCs w:val="32"/>
          <w:lang w:val="en-US" w:eastAsia="zh-CN"/>
        </w:rPr>
        <w:t>本年度本单位未安排可持续影响指标。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keepLines w:val="0"/>
        <w:pageBreakBefore w:val="0"/>
        <w:kinsoku/>
        <w:wordWrap/>
        <w:overflowPunct/>
        <w:topLinePunct w:val="0"/>
        <w:autoSpaceDE/>
        <w:autoSpaceDN/>
        <w:bidi w:val="0"/>
        <w:adjustRightInd/>
        <w:snapToGrid/>
        <w:spacing w:line="560" w:lineRule="exact"/>
        <w:ind w:firstLine="640"/>
        <w:textAlignment w:val="auto"/>
        <w:rPr>
          <w:rStyle w:val="17"/>
          <w:rFonts w:hint="eastAsia" w:ascii="仿宋_GB2312" w:hAnsi="仿宋_GB2312" w:eastAsia="仿宋_GB2312" w:cs="仿宋_GB2312"/>
          <w:b w:val="0"/>
          <w:bCs/>
          <w:color w:val="000000" w:themeColor="text1"/>
          <w:sz w:val="32"/>
          <w:szCs w:val="32"/>
          <w:lang w:eastAsia="zh-CN"/>
          <w14:textFill>
            <w14:solidFill>
              <w14:schemeClr w14:val="tx1"/>
            </w14:solidFill>
          </w14:textFill>
        </w:rPr>
      </w:pPr>
      <w:bookmarkStart w:id="30" w:name="_Toc4011"/>
      <w:r>
        <w:rPr>
          <w:rStyle w:val="17"/>
          <w:rFonts w:hint="eastAsia" w:ascii="仿宋_GB2312" w:hAnsi="仿宋_GB2312" w:eastAsia="仿宋_GB2312" w:cs="仿宋_GB2312"/>
          <w:b w:val="0"/>
          <w:bCs/>
          <w:color w:val="auto"/>
          <w:sz w:val="32"/>
          <w:szCs w:val="32"/>
          <w:lang w:eastAsia="zh-CN"/>
        </w:rPr>
        <w:t>考生</w:t>
      </w:r>
      <w:r>
        <w:rPr>
          <w:rStyle w:val="17"/>
          <w:rFonts w:hint="eastAsia" w:ascii="仿宋_GB2312" w:hAnsi="仿宋_GB2312" w:eastAsia="仿宋_GB2312" w:cs="仿宋_GB2312"/>
          <w:b w:val="0"/>
          <w:bCs/>
          <w:color w:val="auto"/>
          <w:sz w:val="32"/>
          <w:szCs w:val="32"/>
        </w:rPr>
        <w:t>满意度，指标值</w:t>
      </w:r>
      <w:r>
        <w:rPr>
          <w:rStyle w:val="17"/>
          <w:rFonts w:hint="eastAsia" w:ascii="仿宋_GB2312" w:hAnsi="仿宋_GB2312" w:cs="仿宋_GB2312"/>
          <w:b w:val="0"/>
          <w:bCs/>
          <w:color w:val="auto"/>
          <w:sz w:val="32"/>
          <w:szCs w:val="32"/>
          <w:lang w:eastAsia="zh-CN"/>
        </w:rPr>
        <w:t>：</w:t>
      </w:r>
      <w:r>
        <w:rPr>
          <w:rStyle w:val="17"/>
          <w:rFonts w:hint="eastAsia" w:ascii="仿宋_GB2312" w:hAnsi="仿宋_GB2312" w:eastAsia="仿宋_GB2312" w:cs="仿宋_GB2312"/>
          <w:b w:val="0"/>
          <w:i w:val="0"/>
          <w:color w:val="auto"/>
          <w:sz w:val="32"/>
          <w:szCs w:val="32"/>
          <w:lang w:val="en-US" w:eastAsia="zh-CN"/>
        </w:rPr>
        <w:t>&gt;=</w:t>
      </w:r>
      <w:r>
        <w:rPr>
          <w:rStyle w:val="17"/>
          <w:rFonts w:hint="eastAsia" w:ascii="仿宋_GB2312" w:hAnsi="仿宋_GB2312" w:eastAsia="仿宋_GB2312" w:cs="仿宋_GB2312"/>
          <w:b w:val="0"/>
          <w:bCs/>
          <w:color w:val="auto"/>
          <w:sz w:val="32"/>
          <w:szCs w:val="32"/>
        </w:rPr>
        <w:t>98%，实际完成</w:t>
      </w:r>
      <w:r>
        <w:rPr>
          <w:rStyle w:val="17"/>
          <w:rFonts w:hint="eastAsia" w:ascii="仿宋_GB2312" w:hAnsi="仿宋_GB2312" w:eastAsia="仿宋_GB2312" w:cs="仿宋_GB2312"/>
          <w:b w:val="0"/>
          <w:bCs/>
          <w:color w:val="auto"/>
          <w:sz w:val="32"/>
          <w:szCs w:val="32"/>
          <w:lang w:val="en-US" w:eastAsia="zh-CN"/>
        </w:rPr>
        <w:t>值：</w:t>
      </w:r>
      <w:r>
        <w:rPr>
          <w:rStyle w:val="17"/>
          <w:rFonts w:hint="eastAsia" w:ascii="仿宋_GB2312" w:hAnsi="仿宋_GB2312" w:cs="仿宋_GB2312"/>
          <w:b w:val="0"/>
          <w:bCs/>
          <w:color w:val="auto"/>
          <w:sz w:val="32"/>
          <w:szCs w:val="32"/>
          <w:lang w:val="en-US" w:eastAsia="zh-CN"/>
        </w:rPr>
        <w:t>=</w:t>
      </w:r>
      <w:r>
        <w:rPr>
          <w:rStyle w:val="17"/>
          <w:rFonts w:hint="eastAsia" w:ascii="仿宋_GB2312" w:hAnsi="仿宋_GB2312" w:eastAsia="仿宋_GB2312" w:cs="仿宋_GB2312"/>
          <w:b w:val="0"/>
          <w:bCs/>
          <w:color w:val="auto"/>
          <w:sz w:val="32"/>
          <w:szCs w:val="32"/>
          <w:lang w:val="en-US" w:eastAsia="zh-CN"/>
        </w:rPr>
        <w:t>98%</w:t>
      </w:r>
      <w:r>
        <w:rPr>
          <w:rStyle w:val="17"/>
          <w:rFonts w:hint="eastAsia" w:ascii="仿宋_GB2312" w:hAnsi="仿宋_GB2312" w:eastAsia="仿宋_GB2312" w:cs="仿宋_GB2312"/>
          <w:b w:val="0"/>
          <w:bCs/>
          <w:color w:val="000000" w:themeColor="text1"/>
          <w:sz w:val="32"/>
          <w:szCs w:val="32"/>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lang w:eastAsia="zh-CN"/>
          <w14:textFill>
            <w14:solidFill>
              <w14:schemeClr w14:val="tx1"/>
            </w14:solidFill>
          </w14:textFill>
        </w:rPr>
        <w:t>指标完成率</w:t>
      </w:r>
      <w:r>
        <w:rPr>
          <w:rStyle w:val="17"/>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100%，</w:t>
      </w:r>
      <w:r>
        <w:rPr>
          <w:rStyle w:val="17"/>
          <w:rFonts w:hint="eastAsia" w:ascii="仿宋_GB2312" w:hAnsi="仿宋_GB2312" w:eastAsia="仿宋_GB2312" w:cs="仿宋_GB2312"/>
          <w:b w:val="0"/>
          <w:bCs/>
          <w:color w:val="000000" w:themeColor="text1"/>
          <w:sz w:val="32"/>
          <w:szCs w:val="32"/>
          <w14:textFill>
            <w14:solidFill>
              <w14:schemeClr w14:val="tx1"/>
            </w14:solidFill>
          </w14:textFill>
        </w:rPr>
        <w:t>无偏差</w:t>
      </w:r>
      <w:bookmarkEnd w:id="30"/>
      <w:r>
        <w:rPr>
          <w:rStyle w:val="17"/>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18"/>
        <w:spacing w:line="560" w:lineRule="exact"/>
        <w:ind w:firstLine="640"/>
        <w:rPr>
          <w:rStyle w:val="17"/>
          <w:rFonts w:hint="eastAsia" w:ascii="仿宋_GB2312" w:hAnsi="仿宋_GB2312" w:eastAsia="仿宋_GB2312"/>
          <w:b w:val="0"/>
          <w:bCs/>
          <w:color w:val="auto"/>
          <w:kern w:val="2"/>
          <w:lang w:val="en-US" w:eastAsia="zh-CN" w:bidi="ar-SA"/>
        </w:rPr>
      </w:pPr>
      <w:r>
        <w:rPr>
          <w:rStyle w:val="17"/>
          <w:rFonts w:hint="eastAsia" w:ascii="仿宋_GB2312" w:hAnsi="仿宋_GB2312" w:eastAsia="仿宋_GB2312"/>
          <w:b w:val="0"/>
          <w:bCs/>
          <w:color w:val="auto"/>
          <w:kern w:val="2"/>
          <w:lang w:val="en-US" w:eastAsia="zh-CN" w:bidi="ar-SA"/>
        </w:rPr>
        <w:t>全疆考试考务运维工作经费项目年初预算94.52万元，全年预算94.52万元，实际支出84.51万元，预算执行率为89.41%，项目绩效指标总体完成率为98.06%，</w:t>
      </w:r>
      <w:r>
        <w:rPr>
          <w:rStyle w:val="17"/>
          <w:rFonts w:hint="eastAsia" w:ascii="仿宋_GB2312" w:hAnsi="仿宋_GB2312" w:eastAsia="仿宋_GB2312"/>
          <w:b w:val="0"/>
          <w:bCs/>
          <w:color w:val="auto"/>
          <w:kern w:val="2"/>
          <w:lang w:val="en-US" w:eastAsia="zh-Hans" w:bidi="ar-SA"/>
        </w:rPr>
        <w:t>总体</w:t>
      </w:r>
      <w:r>
        <w:rPr>
          <w:rStyle w:val="17"/>
          <w:rFonts w:hint="eastAsia" w:ascii="仿宋_GB2312" w:hAnsi="仿宋_GB2312" w:eastAsia="仿宋_GB2312"/>
          <w:b w:val="0"/>
          <w:bCs/>
          <w:color w:val="auto"/>
          <w:kern w:val="2"/>
          <w:lang w:val="en-US" w:eastAsia="zh-CN" w:bidi="ar-SA"/>
        </w:rPr>
        <w:t>偏差率为-8.65%,</w:t>
      </w:r>
      <w:r>
        <w:rPr>
          <w:rStyle w:val="17"/>
          <w:rFonts w:hint="eastAsia" w:ascii="仿宋_GB2312" w:hAnsi="仿宋_GB2312" w:eastAsia="仿宋_GB2312"/>
          <w:b w:val="0"/>
          <w:bCs/>
          <w:color w:val="auto"/>
          <w:kern w:val="2"/>
          <w:lang w:val="en-US" w:eastAsia="zh-Hans" w:bidi="ar-SA"/>
        </w:rPr>
        <w:t>偏差</w:t>
      </w:r>
      <w:r>
        <w:rPr>
          <w:rStyle w:val="17"/>
          <w:rFonts w:hint="eastAsia" w:ascii="仿宋_GB2312" w:hAnsi="仿宋_GB2312" w:eastAsia="仿宋_GB2312"/>
          <w:b w:val="0"/>
          <w:bCs/>
          <w:color w:val="auto"/>
          <w:kern w:val="2"/>
          <w:lang w:val="en-US" w:eastAsia="zh-CN" w:bidi="ar-SA"/>
        </w:rPr>
        <w:t>原因一是因部分中高职院校教学计划的调整，为了提高学生考试通过率及学生知识掌握程度，致使考试场次实际完成指标与目标值有偏差；二是全疆中职考务根据学生在校学习进度情况，为了提高学生知识掌握程度及学生考试通过率，调整考试时间至2023年12月第三周举行，致使相关费用未能及时支付。</w:t>
      </w:r>
    </w:p>
    <w:p>
      <w:pPr>
        <w:numPr>
          <w:ilvl w:val="0"/>
          <w:numId w:val="0"/>
        </w:num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主要经验及做法、存在的问题及原因分析</w:t>
      </w:r>
    </w:p>
    <w:p>
      <w:pPr>
        <w:pStyle w:val="4"/>
        <w:keepLines w:val="0"/>
        <w:pageBreakBefore w:val="0"/>
        <w:kinsoku/>
        <w:wordWrap/>
        <w:overflowPunct/>
        <w:topLinePunct w:val="0"/>
        <w:autoSpaceDE/>
        <w:autoSpaceDN/>
        <w:bidi w:val="0"/>
        <w:adjustRightInd/>
        <w:snapToGrid/>
        <w:spacing w:line="540" w:lineRule="exact"/>
        <w:ind w:firstLine="643"/>
        <w:textAlignment w:val="auto"/>
        <w:rPr>
          <w:rStyle w:val="16"/>
          <w:bCs w:val="0"/>
        </w:rPr>
      </w:pPr>
      <w:bookmarkStart w:id="31" w:name="_Toc24471"/>
      <w:r>
        <w:rPr>
          <w:rStyle w:val="16"/>
          <w:bCs w:val="0"/>
        </w:rPr>
        <w:t>（一）主要经验及做法</w:t>
      </w:r>
      <w:bookmarkEnd w:id="31"/>
    </w:p>
    <w:p>
      <w:pPr>
        <w:keepLines w:val="0"/>
        <w:pageBreakBefore w:val="0"/>
        <w:kinsoku/>
        <w:wordWrap/>
        <w:overflowPunct/>
        <w:topLinePunct w:val="0"/>
        <w:autoSpaceDE/>
        <w:autoSpaceDN/>
        <w:bidi w:val="0"/>
        <w:adjustRightInd/>
        <w:snapToGrid/>
        <w:spacing w:line="540" w:lineRule="exact"/>
        <w:ind w:firstLine="640"/>
        <w:textAlignment w:val="auto"/>
        <w:rPr>
          <w:sz w:val="32"/>
          <w:szCs w:val="32"/>
        </w:rPr>
      </w:pPr>
      <w:r>
        <w:rPr>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Lines w:val="0"/>
        <w:pageBreakBefore w:val="0"/>
        <w:kinsoku/>
        <w:wordWrap/>
        <w:overflowPunct/>
        <w:topLinePunct w:val="0"/>
        <w:autoSpaceDE/>
        <w:autoSpaceDN/>
        <w:bidi w:val="0"/>
        <w:adjustRightInd/>
        <w:snapToGrid/>
        <w:spacing w:line="540" w:lineRule="exact"/>
        <w:ind w:firstLine="640"/>
        <w:textAlignment w:val="auto"/>
        <w:rPr>
          <w:bCs/>
          <w:sz w:val="32"/>
          <w:szCs w:val="32"/>
        </w:rPr>
      </w:pPr>
      <w:bookmarkStart w:id="32" w:name="_Toc15723"/>
      <w:r>
        <w:rPr>
          <w:bCs/>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bookmarkEnd w:id="32"/>
    </w:p>
    <w:p>
      <w:pPr>
        <w:pStyle w:val="4"/>
        <w:keepLines w:val="0"/>
        <w:pageBreakBefore w:val="0"/>
        <w:numPr>
          <w:ilvl w:val="0"/>
          <w:numId w:val="2"/>
        </w:numPr>
        <w:kinsoku/>
        <w:wordWrap/>
        <w:overflowPunct/>
        <w:topLinePunct w:val="0"/>
        <w:autoSpaceDE/>
        <w:autoSpaceDN/>
        <w:bidi w:val="0"/>
        <w:adjustRightInd/>
        <w:snapToGrid/>
        <w:spacing w:line="540" w:lineRule="exact"/>
        <w:ind w:firstLine="643"/>
        <w:textAlignment w:val="auto"/>
        <w:rPr>
          <w:rStyle w:val="16"/>
          <w:bCs w:val="0"/>
        </w:rPr>
      </w:pPr>
      <w:bookmarkStart w:id="33" w:name="_Toc16214"/>
      <w:r>
        <w:rPr>
          <w:rStyle w:val="16"/>
          <w:bCs w:val="0"/>
        </w:rPr>
        <w:t>存在的问题及原因分析</w:t>
      </w:r>
      <w:bookmarkEnd w:id="33"/>
    </w:p>
    <w:p>
      <w:pPr>
        <w:keepLines w:val="0"/>
        <w:pageBreakBefore w:val="0"/>
        <w:kinsoku/>
        <w:wordWrap/>
        <w:overflowPunct/>
        <w:topLinePunct w:val="0"/>
        <w:autoSpaceDE/>
        <w:autoSpaceDN/>
        <w:bidi w:val="0"/>
        <w:adjustRightInd/>
        <w:snapToGrid/>
        <w:spacing w:line="540" w:lineRule="exact"/>
        <w:ind w:firstLine="640"/>
        <w:textAlignment w:val="auto"/>
        <w:rPr>
          <w:rFonts w:hint="default" w:eastAsiaTheme="majorEastAsia"/>
          <w:sz w:val="32"/>
          <w:szCs w:val="32"/>
          <w:lang w:val="en-US" w:eastAsia="zh-CN"/>
        </w:rPr>
      </w:pPr>
      <w:bookmarkStart w:id="34" w:name="_Toc16383"/>
      <w:r>
        <w:rPr>
          <w:sz w:val="32"/>
          <w:szCs w:val="32"/>
        </w:rPr>
        <w:t>存在的问题</w:t>
      </w:r>
      <w:r>
        <w:rPr>
          <w:rFonts w:hint="eastAsia"/>
          <w:sz w:val="32"/>
          <w:szCs w:val="32"/>
        </w:rPr>
        <w:t>及</w:t>
      </w:r>
      <w:r>
        <w:rPr>
          <w:sz w:val="32"/>
          <w:szCs w:val="32"/>
        </w:rPr>
        <w:t>原因分析</w:t>
      </w:r>
      <w:r>
        <w:rPr>
          <w:rFonts w:hint="eastAsia"/>
          <w:sz w:val="32"/>
          <w:szCs w:val="32"/>
        </w:rPr>
        <w:t>：本次绩效评价情况，考试考务成本性支出项目组织实施过程中，</w:t>
      </w:r>
      <w:r>
        <w:rPr>
          <w:rStyle w:val="17"/>
          <w:rFonts w:hint="eastAsia" w:ascii="仿宋_GB2312" w:hAnsi="仿宋_GB2312" w:eastAsia="仿宋_GB2312" w:cs="仿宋_GB2312"/>
          <w:b w:val="0"/>
          <w:bCs/>
          <w:color w:val="auto"/>
          <w:sz w:val="32"/>
          <w:szCs w:val="32"/>
          <w:lang w:val="en-US" w:eastAsia="zh-CN"/>
        </w:rPr>
        <w:t>全疆中职考务根据学生在校学习进度情况，为了提高学生知识掌握程度及考生考试通过率，调整考试时间至2023年12月第三周举行，致使部分相关费用未及时支</w:t>
      </w:r>
      <w:r>
        <w:rPr>
          <w:rStyle w:val="17"/>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付</w:t>
      </w:r>
      <w:r>
        <w:rPr>
          <w:rFonts w:hint="eastAsia"/>
          <w:color w:val="000000" w:themeColor="text1"/>
          <w:sz w:val="32"/>
          <w:szCs w:val="32"/>
          <w14:textFill>
            <w14:solidFill>
              <w14:schemeClr w14:val="tx1"/>
            </w14:solidFill>
          </w14:textFill>
        </w:rPr>
        <w:t>。</w:t>
      </w:r>
      <w:bookmarkEnd w:id="34"/>
    </w:p>
    <w:p>
      <w:pPr>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eastAsia" w:ascii="黑体" w:hAnsi="黑体" w:eastAsia="黑体"/>
          <w:sz w:val="32"/>
          <w:szCs w:val="32"/>
        </w:rPr>
      </w:pPr>
      <w:r>
        <w:rPr>
          <w:rFonts w:hint="eastAsia" w:ascii="黑体" w:hAnsi="黑体" w:eastAsia="黑体"/>
          <w:sz w:val="32"/>
          <w:szCs w:val="32"/>
          <w:lang w:eastAsia="zh-CN"/>
        </w:rPr>
        <w:t>七、</w:t>
      </w:r>
      <w:r>
        <w:rPr>
          <w:rFonts w:hint="eastAsia" w:ascii="黑体" w:hAnsi="黑体" w:eastAsia="黑体"/>
          <w:sz w:val="32"/>
          <w:szCs w:val="32"/>
        </w:rPr>
        <w:t>有关建议</w:t>
      </w:r>
    </w:p>
    <w:p>
      <w:pPr>
        <w:keepNext w:val="0"/>
        <w:keepLines w:val="0"/>
        <w:pageBreakBefore w:val="0"/>
        <w:widowControl w:val="0"/>
        <w:kinsoku/>
        <w:wordWrap/>
        <w:overflowPunct/>
        <w:topLinePunct w:val="0"/>
        <w:autoSpaceDE/>
        <w:autoSpaceDN/>
        <w:bidi w:val="0"/>
        <w:adjustRightInd/>
        <w:snapToGrid/>
        <w:spacing w:line="540" w:lineRule="exact"/>
        <w:ind w:firstLine="641"/>
        <w:textAlignment w:val="auto"/>
        <w:rPr>
          <w:sz w:val="32"/>
          <w:szCs w:val="32"/>
        </w:rPr>
      </w:pPr>
      <w:r>
        <w:rPr>
          <w:rFonts w:hint="eastAsia"/>
          <w:sz w:val="32"/>
          <w:szCs w:val="32"/>
        </w:rPr>
        <w:t>进一步加强对绩效管理工作的组织领导，提高对预算绩效管理工作重要性的认识，总结经验查找问题，抓紧研究制定更全面更完善的绩效评价管理办法。</w:t>
      </w:r>
    </w:p>
    <w:p>
      <w:pPr>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eastAsia" w:ascii="黑体" w:hAnsi="黑体" w:eastAsia="黑体"/>
          <w:sz w:val="32"/>
          <w:szCs w:val="32"/>
        </w:rPr>
      </w:pPr>
      <w:r>
        <w:rPr>
          <w:rFonts w:hint="eastAsia" w:ascii="黑体" w:hAnsi="黑体" w:eastAsia="黑体"/>
          <w:sz w:val="32"/>
          <w:szCs w:val="32"/>
          <w:lang w:eastAsia="zh-CN"/>
        </w:rPr>
        <w:t>八、</w:t>
      </w:r>
      <w:r>
        <w:rPr>
          <w:rFonts w:hint="eastAsia" w:ascii="黑体" w:hAnsi="黑体" w:eastAsia="黑体"/>
          <w:sz w:val="32"/>
          <w:szCs w:val="32"/>
        </w:rPr>
        <w:t>其他需要说明的问题</w:t>
      </w:r>
    </w:p>
    <w:p>
      <w:pPr>
        <w:pStyle w:val="13"/>
        <w:keepLines w:val="0"/>
        <w:pageBreakBefore w:val="0"/>
        <w:kinsoku/>
        <w:wordWrap/>
        <w:overflowPunct/>
        <w:topLinePunct w:val="0"/>
        <w:autoSpaceDE/>
        <w:autoSpaceDN/>
        <w:bidi w:val="0"/>
        <w:adjustRightInd/>
        <w:snapToGrid/>
        <w:spacing w:after="0" w:line="540" w:lineRule="exact"/>
        <w:ind w:left="0" w:leftChars="0" w:firstLine="640"/>
        <w:textAlignment w:val="auto"/>
        <w:rPr>
          <w:rFonts w:hint="eastAsia"/>
          <w:lang w:eastAsia="zh-CN"/>
        </w:rPr>
      </w:pPr>
      <w:r>
        <w:rPr>
          <w:rFonts w:hint="eastAsia" w:ascii="仿宋_GB2312" w:hAnsi="仿宋_GB2312" w:eastAsia="仿宋_GB2312" w:cs="仿宋_GB2312"/>
          <w:sz w:val="32"/>
          <w:szCs w:val="32"/>
          <w:lang w:eastAsia="zh-Hans"/>
        </w:rPr>
        <w:t>本项目无其他需说明的问题。</w:t>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bookmarkStart w:id="35" w:name="_GoBack"/>
      <w:bookmarkEnd w:id="35"/>
    </w:p>
    <w:p>
      <w:pPr>
        <w:rPr>
          <w:rFonts w:hint="eastAsia"/>
          <w:lang w:eastAsia="zh-CN"/>
        </w:rPr>
      </w:pPr>
    </w:p>
    <w:p>
      <w:pPr>
        <w:rPr>
          <w:rFonts w:hint="eastAsia"/>
          <w:lang w:eastAsia="zh-CN"/>
        </w:rPr>
      </w:pPr>
    </w:p>
    <w:sectPr>
      <w:footerReference r:id="rId4" w:type="default"/>
      <w:pgSz w:w="11906" w:h="16838"/>
      <w:pgMar w:top="1928" w:right="1531" w:bottom="1701" w:left="1531" w:header="737" w:footer="851" w:gutter="0"/>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altName w:val="Calibri"/>
    <w:panose1 w:val="020F0302020204030204"/>
    <w:charset w:val="00"/>
    <w:family w:val="auto"/>
    <w:pitch w:val="default"/>
    <w:sig w:usb0="00000000" w:usb1="00000000"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27813159"/>
    <w:multiLevelType w:val="singleLevel"/>
    <w:tmpl w:val="27813159"/>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06F4BEE"/>
    <w:rsid w:val="02B82CBB"/>
    <w:rsid w:val="037129FA"/>
    <w:rsid w:val="038D07E8"/>
    <w:rsid w:val="04AE1B7C"/>
    <w:rsid w:val="06FD4082"/>
    <w:rsid w:val="0A0D22DD"/>
    <w:rsid w:val="0AA625B0"/>
    <w:rsid w:val="0CBD6B55"/>
    <w:rsid w:val="14793B9C"/>
    <w:rsid w:val="16730284"/>
    <w:rsid w:val="1731288D"/>
    <w:rsid w:val="18E71DF8"/>
    <w:rsid w:val="19003D1E"/>
    <w:rsid w:val="19927FFD"/>
    <w:rsid w:val="19A16F22"/>
    <w:rsid w:val="1B405117"/>
    <w:rsid w:val="1D417BFD"/>
    <w:rsid w:val="1F0B55D3"/>
    <w:rsid w:val="1F0F2212"/>
    <w:rsid w:val="1F3C2D47"/>
    <w:rsid w:val="204C54FD"/>
    <w:rsid w:val="21562003"/>
    <w:rsid w:val="24DE5462"/>
    <w:rsid w:val="25D649BC"/>
    <w:rsid w:val="275F458D"/>
    <w:rsid w:val="28474252"/>
    <w:rsid w:val="28987A8A"/>
    <w:rsid w:val="29DA1C97"/>
    <w:rsid w:val="2E620EB2"/>
    <w:rsid w:val="31D855D9"/>
    <w:rsid w:val="32D409C6"/>
    <w:rsid w:val="35665C24"/>
    <w:rsid w:val="36A814F3"/>
    <w:rsid w:val="377252F9"/>
    <w:rsid w:val="394E275F"/>
    <w:rsid w:val="3E596DEF"/>
    <w:rsid w:val="415058DA"/>
    <w:rsid w:val="419E3603"/>
    <w:rsid w:val="449E7034"/>
    <w:rsid w:val="45EC0627"/>
    <w:rsid w:val="48530E50"/>
    <w:rsid w:val="497A75A0"/>
    <w:rsid w:val="4B3E3035"/>
    <w:rsid w:val="4BF47383"/>
    <w:rsid w:val="4CB1167B"/>
    <w:rsid w:val="4FEE7CED"/>
    <w:rsid w:val="52FE5696"/>
    <w:rsid w:val="557F4CBF"/>
    <w:rsid w:val="5BF3746A"/>
    <w:rsid w:val="5C2D3FFE"/>
    <w:rsid w:val="5D7B08EC"/>
    <w:rsid w:val="642315B6"/>
    <w:rsid w:val="65AD43C5"/>
    <w:rsid w:val="669929BC"/>
    <w:rsid w:val="676F11D5"/>
    <w:rsid w:val="682E2497"/>
    <w:rsid w:val="6BDB3978"/>
    <w:rsid w:val="6EED7D49"/>
    <w:rsid w:val="6FF62DE2"/>
    <w:rsid w:val="711235AD"/>
    <w:rsid w:val="735F0FCC"/>
    <w:rsid w:val="78BB0EB8"/>
    <w:rsid w:val="7A7E3B6D"/>
    <w:rsid w:val="7AE3126C"/>
    <w:rsid w:val="7DF6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qFormat/>
    <w:uiPriority w:val="9"/>
    <w:pPr>
      <w:keepNext/>
      <w:widowControl/>
      <w:spacing w:line="600" w:lineRule="exact"/>
      <w:ind w:firstLine="640"/>
      <w:jc w:val="left"/>
      <w:outlineLvl w:val="0"/>
    </w:pPr>
    <w:rPr>
      <w:rFonts w:eastAsia="黑体" w:asciiTheme="majorHAnsi" w:hAnsiTheme="majorHAnsi"/>
      <w:bCs/>
      <w:kern w:val="32"/>
      <w:szCs w:val="32"/>
    </w:rPr>
  </w:style>
  <w:style w:type="paragraph" w:styleId="4">
    <w:name w:val="heading 2"/>
    <w:basedOn w:val="1"/>
    <w:next w:val="1"/>
    <w:unhideWhenUsed/>
    <w:qFormat/>
    <w:uiPriority w:val="9"/>
    <w:pPr>
      <w:keepNext/>
      <w:widowControl/>
      <w:spacing w:line="600" w:lineRule="exact"/>
      <w:ind w:firstLine="640"/>
      <w:jc w:val="left"/>
      <w:outlineLvl w:val="1"/>
    </w:pPr>
    <w:rPr>
      <w:rFonts w:eastAsia="楷体_GB2312" w:asciiTheme="majorHAnsi" w:hAnsiTheme="majorHAnsi"/>
      <w:bCs/>
      <w:iCs/>
      <w:kern w:val="0"/>
      <w:szCs w:val="28"/>
    </w:rPr>
  </w:style>
  <w:style w:type="character" w:default="1" w:styleId="15">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Cs w:val="32"/>
    </w:rPr>
  </w:style>
  <w:style w:type="paragraph" w:styleId="5">
    <w:name w:val="annotation text"/>
    <w:basedOn w:val="1"/>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style>
  <w:style w:type="paragraph" w:styleId="11">
    <w:name w:val="toc 2"/>
    <w:basedOn w:val="1"/>
    <w:next w:val="1"/>
    <w:unhideWhenUsed/>
    <w:qFormat/>
    <w:uiPriority w:val="39"/>
    <w:pPr>
      <w:ind w:left="420" w:leftChars="200"/>
    </w:pPr>
  </w:style>
  <w:style w:type="paragraph" w:styleId="12">
    <w:name w:val="Body Text First Indent"/>
    <w:basedOn w:val="6"/>
    <w:qFormat/>
    <w:uiPriority w:val="0"/>
    <w:pPr>
      <w:spacing w:after="0"/>
    </w:pPr>
    <w:rPr>
      <w:b/>
    </w:rPr>
  </w:style>
  <w:style w:type="paragraph" w:styleId="13">
    <w:name w:val="Body Text First Indent 2"/>
    <w:basedOn w:val="7"/>
    <w:qFormat/>
    <w:uiPriority w:val="0"/>
    <w:pPr>
      <w:ind w:firstLine="420" w:firstLineChars="200"/>
    </w:pPr>
  </w:style>
  <w:style w:type="character" w:styleId="16">
    <w:name w:val="Strong"/>
    <w:basedOn w:val="15"/>
    <w:qFormat/>
    <w:uiPriority w:val="0"/>
    <w:rPr>
      <w:rFonts w:ascii="Times New Roman" w:hAnsi="Times New Roman" w:eastAsia="楷体_GB2312"/>
      <w:b/>
      <w:bCs/>
      <w:sz w:val="32"/>
    </w:rPr>
  </w:style>
  <w:style w:type="character" w:customStyle="1" w:styleId="17">
    <w:name w:val="标题1"/>
    <w:qFormat/>
    <w:uiPriority w:val="0"/>
    <w:rPr>
      <w:rFonts w:ascii="Times New Roman" w:hAnsi="Times New Roman" w:eastAsia="黑体" w:cs="仿宋_GB2312"/>
      <w:b/>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9947</Words>
  <Characters>10422</Characters>
  <Lines>0</Lines>
  <Paragraphs>0</Paragraphs>
  <TotalTime>24</TotalTime>
  <ScaleCrop>false</ScaleCrop>
  <LinksUpToDate>false</LinksUpToDate>
  <CharactersWithSpaces>10439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Administrator</cp:lastModifiedBy>
  <cp:lastPrinted>2024-03-04T11:32:00Z</cp:lastPrinted>
  <dcterms:modified xsi:type="dcterms:W3CDTF">2025-08-08T09:48:54Z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4CBA51F098A84EE1BF0E059B495C134A</vt:lpwstr>
  </property>
</Properties>
</file>