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678F7">
      <w:pPr>
        <w:spacing w:line="660" w:lineRule="exact"/>
        <w:ind w:firstLine="0" w:firstLineChars="0"/>
        <w:jc w:val="both"/>
        <w:rPr>
          <w:rFonts w:hint="eastAsia" w:eastAsia="方正小标宋_GBK"/>
          <w:color w:val="auto"/>
          <w:kern w:val="0"/>
          <w:sz w:val="48"/>
          <w:szCs w:val="48"/>
          <w:lang w:eastAsia="zh-CN"/>
        </w:rPr>
      </w:pPr>
    </w:p>
    <w:p w14:paraId="5AA38CC6">
      <w:pPr>
        <w:spacing w:line="540" w:lineRule="exact"/>
        <w:jc w:val="center"/>
        <w:rPr>
          <w:rFonts w:eastAsia="方正小标宋_GBK"/>
          <w:kern w:val="0"/>
          <w:sz w:val="48"/>
          <w:szCs w:val="48"/>
        </w:rPr>
      </w:pPr>
      <w:r>
        <w:rPr>
          <w:rFonts w:hint="eastAsia" w:eastAsia="方正小标宋_GBK"/>
          <w:kern w:val="0"/>
          <w:sz w:val="48"/>
          <w:szCs w:val="48"/>
        </w:rPr>
        <w:t>弥补人员经费支出</w:t>
      </w:r>
      <w:r>
        <w:rPr>
          <w:rFonts w:eastAsia="方正小标宋_GBK"/>
          <w:kern w:val="0"/>
          <w:sz w:val="48"/>
          <w:szCs w:val="48"/>
        </w:rPr>
        <w:t>资金项目支出绩效</w:t>
      </w:r>
    </w:p>
    <w:p w14:paraId="31586323">
      <w:pPr>
        <w:spacing w:line="540" w:lineRule="exact"/>
        <w:jc w:val="center"/>
        <w:rPr>
          <w:rFonts w:eastAsia="方正小标宋_GBK"/>
          <w:kern w:val="0"/>
          <w:sz w:val="48"/>
          <w:szCs w:val="48"/>
        </w:rPr>
      </w:pPr>
      <w:r>
        <w:rPr>
          <w:rFonts w:eastAsia="方正小标宋_GBK"/>
          <w:kern w:val="0"/>
          <w:sz w:val="48"/>
          <w:szCs w:val="48"/>
        </w:rPr>
        <w:t>评价报告</w:t>
      </w:r>
    </w:p>
    <w:p w14:paraId="31E42CDB">
      <w:pPr>
        <w:spacing w:line="540" w:lineRule="exact"/>
        <w:ind w:left="0" w:leftChars="0" w:firstLine="0" w:firstLineChars="0"/>
        <w:jc w:val="center"/>
        <w:rPr>
          <w:rFonts w:hint="eastAsia" w:cs="宋体"/>
          <w:color w:val="auto"/>
          <w:kern w:val="0"/>
          <w:sz w:val="36"/>
          <w:szCs w:val="36"/>
        </w:rPr>
      </w:pPr>
    </w:p>
    <w:p w14:paraId="2DA63419">
      <w:pPr>
        <w:spacing w:line="540" w:lineRule="exact"/>
        <w:ind w:left="0" w:leftChars="0" w:firstLine="0" w:firstLineChars="0"/>
        <w:jc w:val="center"/>
        <w:rPr>
          <w:rFonts w:cs="宋体"/>
          <w:color w:val="auto"/>
          <w:kern w:val="0"/>
          <w:sz w:val="36"/>
          <w:szCs w:val="36"/>
        </w:rPr>
      </w:pPr>
      <w:r>
        <w:rPr>
          <w:rFonts w:hint="eastAsia" w:cs="宋体"/>
          <w:color w:val="auto"/>
          <w:kern w:val="0"/>
          <w:sz w:val="36"/>
          <w:szCs w:val="36"/>
        </w:rPr>
        <w:t>（202</w:t>
      </w:r>
      <w:r>
        <w:rPr>
          <w:rFonts w:hint="eastAsia" w:cs="宋体"/>
          <w:color w:val="auto"/>
          <w:kern w:val="0"/>
          <w:sz w:val="36"/>
          <w:szCs w:val="36"/>
          <w:lang w:val="en-US" w:eastAsia="zh-CN"/>
        </w:rPr>
        <w:t>3</w:t>
      </w:r>
      <w:r>
        <w:rPr>
          <w:rFonts w:hint="eastAsia" w:cs="宋体"/>
          <w:color w:val="auto"/>
          <w:kern w:val="0"/>
          <w:sz w:val="36"/>
          <w:szCs w:val="36"/>
        </w:rPr>
        <w:t>年度）</w:t>
      </w:r>
    </w:p>
    <w:p w14:paraId="602A08E3">
      <w:pPr>
        <w:spacing w:line="700" w:lineRule="exact"/>
        <w:ind w:firstLine="643"/>
        <w:jc w:val="left"/>
        <w:rPr>
          <w:rFonts w:hint="eastAsia" w:eastAsia="宋体" w:cs="宋体"/>
          <w:b/>
          <w:bCs/>
          <w:color w:val="auto"/>
          <w:kern w:val="0"/>
          <w:sz w:val="32"/>
          <w:szCs w:val="32"/>
        </w:rPr>
      </w:pPr>
    </w:p>
    <w:p w14:paraId="45125B72">
      <w:pPr>
        <w:spacing w:line="700" w:lineRule="exact"/>
        <w:ind w:firstLine="643"/>
        <w:jc w:val="left"/>
        <w:rPr>
          <w:rFonts w:hint="eastAsia" w:eastAsia="宋体" w:cs="宋体"/>
          <w:b/>
          <w:bCs/>
          <w:color w:val="auto"/>
          <w:kern w:val="0"/>
          <w:sz w:val="32"/>
          <w:szCs w:val="32"/>
        </w:rPr>
      </w:pPr>
    </w:p>
    <w:p w14:paraId="7A25A822">
      <w:pPr>
        <w:spacing w:line="700" w:lineRule="exact"/>
        <w:ind w:firstLine="643"/>
        <w:jc w:val="left"/>
        <w:rPr>
          <w:rFonts w:hint="eastAsia" w:eastAsia="宋体" w:cs="宋体"/>
          <w:b/>
          <w:bCs/>
          <w:color w:val="auto"/>
          <w:kern w:val="0"/>
          <w:sz w:val="32"/>
          <w:szCs w:val="32"/>
        </w:rPr>
      </w:pPr>
    </w:p>
    <w:p w14:paraId="5B1585A9">
      <w:pPr>
        <w:spacing w:line="700" w:lineRule="exact"/>
        <w:ind w:firstLine="643"/>
        <w:jc w:val="left"/>
        <w:rPr>
          <w:rFonts w:hint="eastAsia" w:eastAsia="宋体" w:cs="宋体"/>
          <w:b/>
          <w:bCs/>
          <w:color w:val="auto"/>
          <w:kern w:val="0"/>
          <w:sz w:val="32"/>
          <w:szCs w:val="32"/>
        </w:rPr>
      </w:pPr>
    </w:p>
    <w:p w14:paraId="578B71CE">
      <w:pPr>
        <w:spacing w:line="700" w:lineRule="exact"/>
        <w:ind w:firstLine="643"/>
        <w:jc w:val="left"/>
        <w:rPr>
          <w:rFonts w:hint="eastAsia" w:eastAsia="宋体" w:cs="宋体"/>
          <w:b/>
          <w:bCs/>
          <w:color w:val="auto"/>
          <w:kern w:val="0"/>
          <w:sz w:val="32"/>
          <w:szCs w:val="32"/>
        </w:rPr>
      </w:pPr>
    </w:p>
    <w:p w14:paraId="68D6E2CB">
      <w:pPr>
        <w:spacing w:line="700" w:lineRule="exact"/>
        <w:jc w:val="left"/>
        <w:rPr>
          <w:rFonts w:hint="eastAsia" w:eastAsia="宋体" w:cs="宋体"/>
          <w:b/>
          <w:bCs/>
          <w:color w:val="auto"/>
          <w:kern w:val="0"/>
          <w:sz w:val="32"/>
          <w:szCs w:val="32"/>
        </w:rPr>
      </w:pPr>
    </w:p>
    <w:p w14:paraId="6E1F06E9">
      <w:pPr>
        <w:spacing w:line="700" w:lineRule="exact"/>
        <w:jc w:val="left"/>
        <w:rPr>
          <w:rFonts w:hint="eastAsia" w:eastAsia="仿宋_GB2312"/>
          <w:kern w:val="0"/>
          <w:sz w:val="36"/>
          <w:szCs w:val="36"/>
        </w:rPr>
      </w:pPr>
      <w:r>
        <w:rPr>
          <w:rFonts w:hint="eastAsia" w:eastAsia="仿宋_GB2312"/>
          <w:kern w:val="0"/>
          <w:sz w:val="36"/>
          <w:szCs w:val="36"/>
        </w:rPr>
        <w:t>项目名称：弥补人员经费支出</w:t>
      </w:r>
    </w:p>
    <w:p w14:paraId="74F822B9">
      <w:pPr>
        <w:spacing w:line="700" w:lineRule="exact"/>
        <w:ind w:left="3240" w:hanging="3240" w:hangingChars="900"/>
        <w:jc w:val="left"/>
        <w:rPr>
          <w:rFonts w:hint="eastAsia" w:eastAsia="仿宋_GB2312"/>
          <w:kern w:val="0"/>
          <w:sz w:val="36"/>
          <w:szCs w:val="36"/>
        </w:rPr>
      </w:pPr>
      <w:r>
        <w:rPr>
          <w:rFonts w:hint="eastAsia" w:eastAsia="仿宋_GB2312"/>
          <w:kern w:val="0"/>
          <w:sz w:val="36"/>
          <w:szCs w:val="36"/>
        </w:rPr>
        <w:t>实施单位（公章）：新疆维吾尔自治区工业和信息化培训中心（自治区计算机培训中心）</w:t>
      </w:r>
    </w:p>
    <w:p w14:paraId="2FEFE00D">
      <w:pPr>
        <w:spacing w:line="700" w:lineRule="exact"/>
        <w:jc w:val="left"/>
        <w:rPr>
          <w:rFonts w:hint="eastAsia" w:eastAsia="仿宋_GB2312"/>
          <w:kern w:val="0"/>
          <w:sz w:val="36"/>
          <w:szCs w:val="36"/>
        </w:rPr>
      </w:pPr>
      <w:r>
        <w:rPr>
          <w:rFonts w:hint="eastAsia" w:eastAsia="仿宋_GB2312"/>
          <w:kern w:val="0"/>
          <w:sz w:val="36"/>
          <w:szCs w:val="36"/>
        </w:rPr>
        <w:t>主管部门（公章）：新疆维吾尔自治区工业和信息化厅</w:t>
      </w:r>
    </w:p>
    <w:p w14:paraId="55C263B2">
      <w:pPr>
        <w:spacing w:line="700" w:lineRule="exact"/>
        <w:jc w:val="left"/>
        <w:rPr>
          <w:rFonts w:hint="eastAsia" w:eastAsia="仿宋_GB2312"/>
          <w:kern w:val="0"/>
          <w:sz w:val="36"/>
          <w:szCs w:val="36"/>
          <w:lang w:eastAsia="zh-CN"/>
        </w:rPr>
      </w:pPr>
      <w:r>
        <w:rPr>
          <w:rFonts w:hint="eastAsia" w:eastAsia="仿宋_GB2312"/>
          <w:kern w:val="0"/>
          <w:sz w:val="36"/>
          <w:szCs w:val="36"/>
        </w:rPr>
        <w:t>项目负责人（签章）：</w:t>
      </w:r>
      <w:r>
        <w:rPr>
          <w:rFonts w:hint="eastAsia"/>
          <w:kern w:val="0"/>
          <w:sz w:val="36"/>
          <w:szCs w:val="36"/>
          <w:lang w:eastAsia="zh-CN"/>
        </w:rPr>
        <w:t>樊矾</w:t>
      </w:r>
    </w:p>
    <w:p w14:paraId="3AEEC2AB">
      <w:pPr>
        <w:spacing w:line="700" w:lineRule="exact"/>
        <w:jc w:val="left"/>
        <w:rPr>
          <w:rFonts w:hint="eastAsia" w:eastAsia="仿宋_GB2312"/>
          <w:color w:val="auto"/>
          <w:kern w:val="0"/>
          <w:sz w:val="36"/>
          <w:szCs w:val="36"/>
        </w:rPr>
      </w:pPr>
      <w:r>
        <w:rPr>
          <w:rFonts w:hint="eastAsia" w:eastAsia="仿宋_GB2312"/>
          <w:kern w:val="0"/>
          <w:sz w:val="36"/>
          <w:szCs w:val="36"/>
        </w:rPr>
        <w:t>填报时间：202</w:t>
      </w:r>
      <w:r>
        <w:rPr>
          <w:rFonts w:hint="eastAsia" w:eastAsia="仿宋_GB2312"/>
          <w:color w:val="auto"/>
          <w:kern w:val="0"/>
          <w:sz w:val="36"/>
          <w:szCs w:val="36"/>
          <w:lang w:val="en-US" w:eastAsia="zh-CN"/>
        </w:rPr>
        <w:t>4</w:t>
      </w:r>
      <w:r>
        <w:rPr>
          <w:rFonts w:hint="eastAsia" w:eastAsia="仿宋_GB2312"/>
          <w:color w:val="auto"/>
          <w:kern w:val="0"/>
          <w:sz w:val="36"/>
          <w:szCs w:val="36"/>
        </w:rPr>
        <w:t xml:space="preserve"> 年 </w:t>
      </w:r>
      <w:r>
        <w:rPr>
          <w:rFonts w:hint="eastAsia" w:eastAsia="仿宋_GB2312"/>
          <w:color w:val="auto"/>
          <w:kern w:val="0"/>
          <w:sz w:val="36"/>
          <w:szCs w:val="36"/>
          <w:lang w:val="en-US" w:eastAsia="zh-CN"/>
        </w:rPr>
        <w:t>3</w:t>
      </w:r>
      <w:r>
        <w:rPr>
          <w:rFonts w:hint="eastAsia" w:eastAsia="仿宋_GB2312"/>
          <w:color w:val="auto"/>
          <w:kern w:val="0"/>
          <w:sz w:val="36"/>
          <w:szCs w:val="36"/>
        </w:rPr>
        <w:t xml:space="preserve"> 月</w:t>
      </w:r>
      <w:r>
        <w:rPr>
          <w:rFonts w:hint="eastAsia" w:eastAsia="仿宋_GB2312"/>
          <w:color w:val="auto"/>
          <w:kern w:val="0"/>
          <w:sz w:val="36"/>
          <w:szCs w:val="36"/>
          <w:lang w:val="en-US" w:eastAsia="zh-CN"/>
        </w:rPr>
        <w:t>25</w:t>
      </w:r>
      <w:r>
        <w:rPr>
          <w:rFonts w:hint="eastAsia" w:eastAsia="仿宋_GB2312"/>
          <w:color w:val="auto"/>
          <w:kern w:val="0"/>
          <w:sz w:val="36"/>
          <w:szCs w:val="36"/>
        </w:rPr>
        <w:t xml:space="preserve"> 日</w:t>
      </w:r>
    </w:p>
    <w:p w14:paraId="18A3273A">
      <w:pPr>
        <w:pStyle w:val="2"/>
        <w:ind w:left="0" w:leftChars="0" w:firstLine="0" w:firstLineChars="0"/>
        <w:jc w:val="both"/>
        <w:rPr>
          <w:color w:val="auto"/>
        </w:rPr>
      </w:pPr>
    </w:p>
    <w:p w14:paraId="0FE9A1AF">
      <w:pPr>
        <w:pStyle w:val="2"/>
        <w:ind w:left="0" w:leftChars="0" w:firstLine="0" w:firstLineChars="0"/>
        <w:jc w:val="both"/>
      </w:pPr>
    </w:p>
    <w:p w14:paraId="3E6F4C7B">
      <w:pPr>
        <w:spacing w:line="600" w:lineRule="exact"/>
        <w:ind w:firstLine="640" w:firstLineChars="200"/>
        <w:rPr>
          <w:rFonts w:hint="eastAsia" w:ascii="黑体" w:hAnsi="黑体" w:eastAsia="黑体"/>
          <w:sz w:val="32"/>
          <w:szCs w:val="32"/>
        </w:rPr>
        <w:sectPr>
          <w:footerReference r:id="rId3" w:type="default"/>
          <w:pgSz w:w="11906" w:h="16838"/>
          <w:pgMar w:top="1928" w:right="1531" w:bottom="1701" w:left="1531" w:header="737" w:footer="851" w:gutter="0"/>
          <w:pgNumType w:fmt="decimal" w:start="1"/>
          <w:cols w:space="720" w:num="1"/>
          <w:docGrid w:type="lines" w:linePitch="408" w:charSpace="0"/>
        </w:sectPr>
      </w:pPr>
    </w:p>
    <w:p w14:paraId="6072D9C9">
      <w:pPr>
        <w:spacing w:line="600" w:lineRule="exact"/>
        <w:ind w:firstLine="640" w:firstLineChars="200"/>
        <w:rPr>
          <w:rFonts w:ascii="黑体" w:hAnsi="黑体" w:eastAsia="黑体"/>
          <w:sz w:val="32"/>
          <w:szCs w:val="32"/>
        </w:rPr>
      </w:pPr>
      <w:r>
        <w:rPr>
          <w:rFonts w:hint="eastAsia" w:ascii="黑体" w:hAnsi="黑体" w:eastAsia="黑体"/>
          <w:sz w:val="32"/>
          <w:szCs w:val="32"/>
        </w:rPr>
        <w:t>一、基本情况</w:t>
      </w:r>
    </w:p>
    <w:p w14:paraId="0B3671A0">
      <w:pPr>
        <w:pStyle w:val="4"/>
        <w:pageBreakBefore w:val="0"/>
        <w:widowControl w:val="0"/>
        <w:kinsoku/>
        <w:wordWrap/>
        <w:overflowPunct/>
        <w:topLinePunct w:val="0"/>
        <w:autoSpaceDE/>
        <w:autoSpaceDN/>
        <w:bidi w:val="0"/>
        <w:adjustRightInd/>
        <w:snapToGrid/>
        <w:spacing w:line="560" w:lineRule="exact"/>
        <w:ind w:firstLine="643"/>
        <w:textAlignment w:val="auto"/>
        <w:rPr>
          <w:rFonts w:ascii="Times New Roman" w:hAnsi="Times New Roman"/>
          <w:color w:val="auto"/>
        </w:rPr>
      </w:pPr>
      <w:bookmarkStart w:id="0" w:name="_Toc11058"/>
      <w:bookmarkStart w:id="1" w:name="_Toc447"/>
      <w:r>
        <w:rPr>
          <w:rFonts w:hint="eastAsia" w:ascii="Times New Roman" w:hAnsi="Times New Roman"/>
          <w:color w:val="auto"/>
        </w:rPr>
        <w:t>（一）项目概况</w:t>
      </w:r>
      <w:bookmarkEnd w:id="0"/>
      <w:bookmarkEnd w:id="1"/>
    </w:p>
    <w:p w14:paraId="107D4C67">
      <w:pPr>
        <w:pStyle w:val="5"/>
        <w:pageBreakBefore w:val="0"/>
        <w:widowControl w:val="0"/>
        <w:kinsoku/>
        <w:wordWrap/>
        <w:overflowPunct/>
        <w:topLinePunct w:val="0"/>
        <w:autoSpaceDE/>
        <w:autoSpaceDN/>
        <w:bidi w:val="0"/>
        <w:adjustRightInd/>
        <w:snapToGrid/>
        <w:spacing w:line="560" w:lineRule="exact"/>
        <w:ind w:firstLine="643"/>
        <w:textAlignment w:val="auto"/>
        <w:rPr>
          <w:color w:val="auto"/>
        </w:rPr>
      </w:pPr>
      <w:r>
        <w:rPr>
          <w:rFonts w:hint="eastAsia"/>
          <w:color w:val="auto"/>
        </w:rPr>
        <w:t>1、项目背景</w:t>
      </w:r>
    </w:p>
    <w:p w14:paraId="2BEEA729">
      <w:pPr>
        <w:pageBreakBefore w:val="0"/>
        <w:widowControl w:val="0"/>
        <w:kinsoku/>
        <w:wordWrap/>
        <w:overflowPunct/>
        <w:topLinePunct w:val="0"/>
        <w:autoSpaceDE/>
        <w:autoSpaceDN/>
        <w:bidi w:val="0"/>
        <w:adjustRightInd/>
        <w:snapToGrid/>
        <w:spacing w:line="560" w:lineRule="exact"/>
        <w:ind w:firstLine="640"/>
        <w:textAlignment w:val="auto"/>
        <w:rPr>
          <w:color w:val="auto"/>
          <w:sz w:val="32"/>
        </w:rPr>
      </w:pPr>
      <w:r>
        <w:rPr>
          <w:rFonts w:hint="eastAsia"/>
          <w:color w:val="auto"/>
          <w:sz w:val="32"/>
        </w:rPr>
        <w:t>根据自治区财政厅印发《关于开展自治区本级202</w:t>
      </w:r>
      <w:r>
        <w:rPr>
          <w:rFonts w:hint="eastAsia"/>
          <w:color w:val="auto"/>
          <w:sz w:val="32"/>
          <w:lang w:val="en-US" w:eastAsia="zh-CN"/>
        </w:rPr>
        <w:t>3</w:t>
      </w:r>
      <w:r>
        <w:rPr>
          <w:rFonts w:hint="eastAsia"/>
          <w:color w:val="auto"/>
          <w:sz w:val="32"/>
        </w:rPr>
        <w:t>年部门预算编制工作的通知》和《自治区本级部门预算绩效目标管理暂行办法》的文件规定及自治区工信厅相关要求，新疆维吾尔自治区工业和信息化培训中心（自治区计算机培训中心）（以下简称自治区工业和信息化培训中心）为差额预算单位，事业收入中考试考务费全额上缴财政专户（教育收费）资金，财政专用财政预算批复部分用于安排弥补人员经费支出。</w:t>
      </w:r>
    </w:p>
    <w:p w14:paraId="4828EE22">
      <w:pPr>
        <w:pStyle w:val="5"/>
        <w:pageBreakBefore w:val="0"/>
        <w:widowControl w:val="0"/>
        <w:kinsoku/>
        <w:wordWrap/>
        <w:overflowPunct/>
        <w:topLinePunct w:val="0"/>
        <w:autoSpaceDE/>
        <w:autoSpaceDN/>
        <w:bidi w:val="0"/>
        <w:adjustRightInd/>
        <w:snapToGrid/>
        <w:spacing w:line="560" w:lineRule="exact"/>
        <w:ind w:firstLine="643"/>
        <w:textAlignment w:val="auto"/>
        <w:rPr>
          <w:color w:val="auto"/>
        </w:rPr>
      </w:pPr>
      <w:r>
        <w:rPr>
          <w:rFonts w:hint="eastAsia"/>
          <w:color w:val="auto"/>
        </w:rPr>
        <w:t>2、项目主要内容</w:t>
      </w:r>
    </w:p>
    <w:p w14:paraId="3BA322FE">
      <w:pPr>
        <w:pageBreakBefore w:val="0"/>
        <w:widowControl w:val="0"/>
        <w:kinsoku/>
        <w:wordWrap/>
        <w:overflowPunct/>
        <w:topLinePunct w:val="0"/>
        <w:autoSpaceDE/>
        <w:autoSpaceDN/>
        <w:bidi w:val="0"/>
        <w:adjustRightInd/>
        <w:snapToGrid/>
        <w:spacing w:line="560" w:lineRule="exact"/>
        <w:ind w:firstLine="640"/>
        <w:textAlignment w:val="auto"/>
        <w:rPr>
          <w:rFonts w:hint="eastAsia"/>
          <w:bCs/>
          <w:color w:val="auto"/>
          <w:sz w:val="32"/>
          <w:highlight w:val="none"/>
        </w:rPr>
      </w:pPr>
      <w:r>
        <w:rPr>
          <w:rFonts w:hint="eastAsia"/>
          <w:bCs/>
          <w:color w:val="auto"/>
          <w:sz w:val="32"/>
          <w:highlight w:val="none"/>
        </w:rPr>
        <w:t>项目主要内容：培训中心长期聘用7人，聘用人员均在培训中心工作10年以上，均成长为各部门业务骨干，为稳定培训中心教职员工队伍，提高工作质量和效率，长期创新开拓业务，也为培训中心的各项业务能够长期持续性的发展下去，有利于培训中心长远发展规划。长期聘用人员7人的经费支出，按照测算2023年工资、社保等经费需要支出83.86万元，按时按月足量发放到位，以确保单位业务正常开展。经费由上缴财政非税收入和财政专户结余资金348万元解决。</w:t>
      </w:r>
    </w:p>
    <w:p w14:paraId="5E6DCCC4">
      <w:pPr>
        <w:pageBreakBefore w:val="0"/>
        <w:widowControl w:val="0"/>
        <w:kinsoku/>
        <w:wordWrap/>
        <w:overflowPunct/>
        <w:topLinePunct w:val="0"/>
        <w:autoSpaceDE/>
        <w:autoSpaceDN/>
        <w:bidi w:val="0"/>
        <w:adjustRightInd/>
        <w:snapToGrid/>
        <w:spacing w:line="560" w:lineRule="exact"/>
        <w:ind w:firstLine="640"/>
        <w:textAlignment w:val="auto"/>
        <w:rPr>
          <w:color w:val="auto"/>
          <w:sz w:val="32"/>
        </w:rPr>
      </w:pPr>
      <w:r>
        <w:rPr>
          <w:rFonts w:hint="eastAsia"/>
          <w:bCs/>
          <w:color w:val="auto"/>
          <w:sz w:val="32"/>
        </w:rPr>
        <w:t>项目实施情况：</w:t>
      </w:r>
      <w:r>
        <w:rPr>
          <w:rFonts w:hint="eastAsia"/>
          <w:color w:val="auto"/>
          <w:sz w:val="32"/>
        </w:rPr>
        <w:t>项目实施过程前期，认真核对测算经费支出</w:t>
      </w:r>
      <w:r>
        <w:rPr>
          <w:rFonts w:hint="eastAsia"/>
          <w:color w:val="auto"/>
          <w:sz w:val="32"/>
          <w:lang w:eastAsia="zh-CN"/>
        </w:rPr>
        <w:t>。</w:t>
      </w:r>
      <w:r>
        <w:rPr>
          <w:rFonts w:hint="eastAsia"/>
          <w:color w:val="auto"/>
          <w:sz w:val="32"/>
        </w:rPr>
        <w:t>实施过程中，根据自治区工业和信息化培训中心弥补人员经费支出的实际情况，</w:t>
      </w:r>
      <w:r>
        <w:rPr>
          <w:color w:val="auto"/>
          <w:sz w:val="32"/>
          <w:szCs w:val="32"/>
        </w:rPr>
        <w:t>严格按照目标设立的各阶段任务开展工作</w:t>
      </w:r>
      <w:r>
        <w:rPr>
          <w:rFonts w:hint="eastAsia"/>
          <w:color w:val="auto"/>
          <w:sz w:val="32"/>
          <w:szCs w:val="32"/>
        </w:rPr>
        <w:t>，</w:t>
      </w:r>
      <w:r>
        <w:rPr>
          <w:rFonts w:hint="eastAsia"/>
          <w:color w:val="auto"/>
          <w:sz w:val="32"/>
        </w:rPr>
        <w:t>实现每月人员经费支出按计划执行，足月足额发放人员经费，按时缴纳社保等费用。稳定职工队伍，促进中心业务持续发展。</w:t>
      </w:r>
    </w:p>
    <w:p w14:paraId="22E82767">
      <w:pPr>
        <w:pStyle w:val="5"/>
        <w:pageBreakBefore w:val="0"/>
        <w:widowControl w:val="0"/>
        <w:kinsoku/>
        <w:wordWrap/>
        <w:overflowPunct/>
        <w:topLinePunct w:val="0"/>
        <w:autoSpaceDE/>
        <w:autoSpaceDN/>
        <w:bidi w:val="0"/>
        <w:adjustRightInd/>
        <w:snapToGrid/>
        <w:spacing w:line="560" w:lineRule="exact"/>
        <w:ind w:firstLine="643"/>
        <w:textAlignment w:val="auto"/>
        <w:rPr>
          <w:color w:val="auto"/>
        </w:rPr>
      </w:pPr>
      <w:r>
        <w:rPr>
          <w:rFonts w:hint="eastAsia"/>
          <w:color w:val="auto"/>
        </w:rPr>
        <w:t>3、资金投入和使用情况</w:t>
      </w:r>
    </w:p>
    <w:p w14:paraId="4B81ECD9">
      <w:pPr>
        <w:pageBreakBefore w:val="0"/>
        <w:widowControl w:val="0"/>
        <w:kinsoku/>
        <w:wordWrap/>
        <w:overflowPunct/>
        <w:topLinePunct w:val="0"/>
        <w:autoSpaceDE/>
        <w:autoSpaceDN/>
        <w:bidi w:val="0"/>
        <w:adjustRightInd/>
        <w:snapToGrid/>
        <w:spacing w:line="560" w:lineRule="exact"/>
        <w:ind w:firstLine="643"/>
        <w:textAlignment w:val="auto"/>
        <w:rPr>
          <w:b/>
          <w:bCs/>
          <w:color w:val="auto"/>
          <w:sz w:val="32"/>
          <w:szCs w:val="28"/>
        </w:rPr>
      </w:pPr>
      <w:r>
        <w:rPr>
          <w:rFonts w:hint="eastAsia"/>
          <w:b/>
          <w:bCs/>
          <w:color w:val="auto"/>
          <w:sz w:val="32"/>
          <w:szCs w:val="28"/>
        </w:rPr>
        <w:t>（1）资金安排</w:t>
      </w:r>
    </w:p>
    <w:p w14:paraId="6778AF34">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1A56E28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该项目年初预算数83.86万元，全年预算数83.86万元，实际总投入82.72万元，该项目资金已全部落实到位，资金来源为财政专户资金。</w:t>
      </w:r>
    </w:p>
    <w:p w14:paraId="496A470C">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66ED35FB">
      <w:pPr>
        <w:pageBreakBefore w:val="0"/>
        <w:widowControl w:val="0"/>
        <w:kinsoku/>
        <w:wordWrap/>
        <w:overflowPunct/>
        <w:topLinePunct w:val="0"/>
        <w:autoSpaceDE/>
        <w:autoSpaceDN/>
        <w:bidi w:val="0"/>
        <w:adjustRightInd/>
        <w:snapToGrid/>
        <w:spacing w:line="560" w:lineRule="exact"/>
        <w:ind w:firstLine="640"/>
        <w:textAlignment w:val="auto"/>
        <w:rPr>
          <w:color w:val="auto"/>
          <w:sz w:val="32"/>
        </w:rPr>
      </w:pPr>
      <w:r>
        <w:rPr>
          <w:rFonts w:hint="eastAsia" w:ascii="仿宋_GB2312" w:hAnsi="仿宋_GB2312" w:eastAsia="仿宋_GB2312" w:cs="仿宋_GB2312"/>
          <w:sz w:val="32"/>
          <w:szCs w:val="32"/>
          <w:highlight w:val="none"/>
          <w:lang w:val="en-US" w:eastAsia="zh-CN"/>
        </w:rPr>
        <w:t>该项目年初预算数83.86万元，全年预算数83.86万元，全年执行数82.72万元，预算执行率为98.64%，主要用于：支付项目实施进程中的各项费用。包括：基本工资、津贴、绩效工资和奖金等59.88万元，社会保障</w:t>
      </w:r>
      <w:r>
        <w:rPr>
          <w:rFonts w:hint="eastAsia" w:ascii="仿宋_GB2312" w:hAnsi="仿宋_GB2312" w:cs="仿宋_GB2312"/>
          <w:sz w:val="32"/>
          <w:szCs w:val="32"/>
          <w:highlight w:val="none"/>
          <w:lang w:val="en-US" w:eastAsia="zh-CN"/>
        </w:rPr>
        <w:t>缴费</w:t>
      </w:r>
      <w:r>
        <w:rPr>
          <w:rFonts w:hint="eastAsia" w:ascii="仿宋_GB2312" w:hAnsi="仿宋_GB2312" w:eastAsia="仿宋_GB2312" w:cs="仿宋_GB2312"/>
          <w:sz w:val="32"/>
          <w:szCs w:val="32"/>
          <w:highlight w:val="none"/>
          <w:lang w:val="en-US" w:eastAsia="zh-CN"/>
        </w:rPr>
        <w:t>和住房公积金等22.84</w:t>
      </w:r>
      <w:r>
        <w:rPr>
          <w:rFonts w:hint="eastAsia"/>
          <w:color w:val="000000" w:themeColor="text1"/>
          <w:sz w:val="32"/>
          <w14:textFill>
            <w14:solidFill>
              <w14:schemeClr w14:val="tx1"/>
            </w14:solidFill>
          </w14:textFill>
        </w:rPr>
        <w:t>万元</w:t>
      </w:r>
      <w:r>
        <w:rPr>
          <w:rFonts w:hint="eastAsia"/>
          <w:color w:val="auto"/>
          <w:sz w:val="32"/>
        </w:rPr>
        <w:t>。</w:t>
      </w:r>
      <w:bookmarkStart w:id="2" w:name="_Toc3520"/>
    </w:p>
    <w:p w14:paraId="39368835">
      <w:pPr>
        <w:pStyle w:val="4"/>
        <w:pageBreakBefore w:val="0"/>
        <w:widowControl w:val="0"/>
        <w:kinsoku/>
        <w:wordWrap/>
        <w:overflowPunct/>
        <w:topLinePunct w:val="0"/>
        <w:autoSpaceDE/>
        <w:autoSpaceDN/>
        <w:bidi w:val="0"/>
        <w:adjustRightInd/>
        <w:snapToGrid/>
        <w:spacing w:line="560" w:lineRule="exact"/>
        <w:ind w:firstLine="643"/>
        <w:textAlignment w:val="auto"/>
        <w:rPr>
          <w:color w:val="auto"/>
        </w:rPr>
      </w:pPr>
      <w:bookmarkStart w:id="3" w:name="_Toc6228"/>
      <w:r>
        <w:rPr>
          <w:rFonts w:hint="eastAsia"/>
          <w:color w:val="auto"/>
        </w:rPr>
        <w:t>（二）项目绩效目标</w:t>
      </w:r>
      <w:bookmarkEnd w:id="2"/>
      <w:bookmarkEnd w:id="3"/>
    </w:p>
    <w:p w14:paraId="206A1F3A">
      <w:pPr>
        <w:pStyle w:val="5"/>
        <w:pageBreakBefore w:val="0"/>
        <w:widowControl w:val="0"/>
        <w:kinsoku/>
        <w:wordWrap/>
        <w:overflowPunct/>
        <w:topLinePunct w:val="0"/>
        <w:autoSpaceDE/>
        <w:autoSpaceDN/>
        <w:bidi w:val="0"/>
        <w:adjustRightInd/>
        <w:snapToGrid/>
        <w:spacing w:line="560" w:lineRule="exact"/>
        <w:ind w:firstLine="643"/>
        <w:textAlignment w:val="auto"/>
        <w:rPr>
          <w:b w:val="0"/>
          <w:bCs/>
          <w:color w:val="auto"/>
        </w:rPr>
      </w:pPr>
      <w:r>
        <w:rPr>
          <w:rFonts w:hint="eastAsia"/>
          <w:b w:val="0"/>
          <w:bCs/>
          <w:color w:val="auto"/>
        </w:rPr>
        <w:t>1、总体目标</w:t>
      </w:r>
    </w:p>
    <w:p w14:paraId="74137DD7">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rPr>
      </w:pPr>
      <w:r>
        <w:rPr>
          <w:rFonts w:hint="eastAsia"/>
          <w:color w:val="auto"/>
          <w:sz w:val="32"/>
          <w:szCs w:val="28"/>
        </w:rPr>
        <w:t>培训中心长期聘用7人，聘用人员均在培训中心工作10年以上，均成长为各部门业务骨干，为稳定培训中心教职员工队伍，提高工作质量和效率，长期创新开拓业务，也为培训中心的各项业务能够长期持续性的发展下去，有利于培训中心长远发展规划。长期聘用人员7人的经费支出，按照测算2023年工资、社保等经费需要支出83.86万元，按时按月足量发放到位，以确保单位业务正常开展。经费由上缴财政非税收入和财政专户结余资金348万元解决。</w:t>
      </w:r>
    </w:p>
    <w:p w14:paraId="7E47AD90">
      <w:pPr>
        <w:pStyle w:val="5"/>
        <w:pageBreakBefore w:val="0"/>
        <w:widowControl w:val="0"/>
        <w:kinsoku/>
        <w:wordWrap/>
        <w:overflowPunct/>
        <w:topLinePunct w:val="0"/>
        <w:autoSpaceDE/>
        <w:autoSpaceDN/>
        <w:bidi w:val="0"/>
        <w:adjustRightInd/>
        <w:snapToGrid/>
        <w:spacing w:line="560" w:lineRule="exact"/>
        <w:ind w:firstLine="643"/>
        <w:textAlignment w:val="auto"/>
        <w:rPr>
          <w:b w:val="0"/>
          <w:bCs/>
          <w:color w:val="auto"/>
        </w:rPr>
      </w:pPr>
      <w:r>
        <w:rPr>
          <w:rFonts w:hint="eastAsia"/>
          <w:b w:val="0"/>
          <w:bCs/>
          <w:color w:val="auto"/>
        </w:rPr>
        <w:t>2、阶段性目标</w:t>
      </w:r>
    </w:p>
    <w:p w14:paraId="641EE3D4">
      <w:pPr>
        <w:pageBreakBefore w:val="0"/>
        <w:widowControl w:val="0"/>
        <w:kinsoku/>
        <w:wordWrap/>
        <w:overflowPunct/>
        <w:topLinePunct w:val="0"/>
        <w:autoSpaceDE/>
        <w:autoSpaceDN/>
        <w:bidi w:val="0"/>
        <w:adjustRightInd/>
        <w:snapToGrid/>
        <w:spacing w:line="560" w:lineRule="exact"/>
        <w:ind w:firstLine="643"/>
        <w:textAlignment w:val="auto"/>
        <w:rPr>
          <w:b w:val="0"/>
          <w:bCs/>
          <w:color w:val="auto"/>
          <w:sz w:val="32"/>
          <w:szCs w:val="32"/>
        </w:rPr>
      </w:pPr>
      <w:r>
        <w:rPr>
          <w:rFonts w:hint="eastAsia"/>
          <w:b w:val="0"/>
          <w:bCs/>
          <w:color w:val="auto"/>
          <w:sz w:val="32"/>
        </w:rPr>
        <w:t>（1）前期准备：</w:t>
      </w:r>
      <w:r>
        <w:rPr>
          <w:b w:val="0"/>
          <w:bCs/>
          <w:color w:val="auto"/>
          <w:sz w:val="32"/>
          <w:szCs w:val="32"/>
        </w:rPr>
        <w:t>通过制定项目实施方案，经项目负责人审核通过后，有序开展后续工作。</w:t>
      </w:r>
    </w:p>
    <w:p w14:paraId="05D1F2BF">
      <w:pPr>
        <w:pageBreakBefore w:val="0"/>
        <w:widowControl w:val="0"/>
        <w:kinsoku/>
        <w:wordWrap/>
        <w:overflowPunct/>
        <w:topLinePunct w:val="0"/>
        <w:autoSpaceDE/>
        <w:autoSpaceDN/>
        <w:bidi w:val="0"/>
        <w:adjustRightInd/>
        <w:snapToGrid/>
        <w:spacing w:line="560" w:lineRule="exact"/>
        <w:ind w:firstLine="643"/>
        <w:textAlignment w:val="auto"/>
        <w:rPr>
          <w:b/>
          <w:bCs/>
          <w:color w:val="auto"/>
          <w:sz w:val="32"/>
        </w:rPr>
      </w:pPr>
      <w:r>
        <w:rPr>
          <w:rFonts w:hint="eastAsia"/>
          <w:b w:val="0"/>
          <w:bCs/>
          <w:color w:val="auto"/>
          <w:sz w:val="32"/>
        </w:rPr>
        <w:t>（2）组织实施：</w:t>
      </w:r>
      <w:r>
        <w:rPr>
          <w:b w:val="0"/>
          <w:bCs/>
          <w:color w:val="auto"/>
          <w:sz w:val="32"/>
          <w:szCs w:val="32"/>
        </w:rPr>
        <w:t>资金一到位，立即根据项目要求实施项目。项目责任人按照项目实施方案要求</w:t>
      </w:r>
      <w:r>
        <w:rPr>
          <w:color w:val="auto"/>
          <w:sz w:val="32"/>
          <w:szCs w:val="32"/>
        </w:rPr>
        <w:t>逐一进行项目部署安排，提高项目质量及效率性。</w:t>
      </w:r>
    </w:p>
    <w:p w14:paraId="77820EBB">
      <w:pPr>
        <w:spacing w:line="600" w:lineRule="exact"/>
        <w:ind w:firstLine="640" w:firstLineChars="200"/>
        <w:rPr>
          <w:rFonts w:ascii="黑体" w:hAnsi="黑体" w:eastAsia="黑体"/>
          <w:sz w:val="32"/>
          <w:szCs w:val="32"/>
        </w:rPr>
      </w:pPr>
      <w:r>
        <w:rPr>
          <w:rFonts w:hint="eastAsia" w:ascii="黑体" w:hAnsi="黑体" w:eastAsia="黑体"/>
          <w:sz w:val="32"/>
          <w:szCs w:val="32"/>
        </w:rPr>
        <w:t>二、绩效评价工作开展情况</w:t>
      </w:r>
    </w:p>
    <w:p w14:paraId="73FFBE16">
      <w:pPr>
        <w:pStyle w:val="4"/>
        <w:pageBreakBefore w:val="0"/>
        <w:widowControl w:val="0"/>
        <w:kinsoku/>
        <w:wordWrap/>
        <w:overflowPunct/>
        <w:topLinePunct w:val="0"/>
        <w:autoSpaceDE/>
        <w:autoSpaceDN/>
        <w:bidi w:val="0"/>
        <w:adjustRightInd/>
        <w:snapToGrid/>
        <w:spacing w:line="560" w:lineRule="exact"/>
        <w:ind w:firstLine="643"/>
        <w:textAlignment w:val="auto"/>
        <w:rPr>
          <w:color w:val="auto"/>
        </w:rPr>
      </w:pPr>
      <w:bookmarkStart w:id="4" w:name="_Toc18412"/>
      <w:bookmarkStart w:id="5" w:name="_Toc10"/>
      <w:r>
        <w:rPr>
          <w:rFonts w:hint="eastAsia"/>
          <w:color w:val="auto"/>
        </w:rPr>
        <w:t>（一）绩效评价目的、对象和范围</w:t>
      </w:r>
      <w:bookmarkEnd w:id="4"/>
      <w:bookmarkEnd w:id="5"/>
    </w:p>
    <w:p w14:paraId="41EA700C">
      <w:pPr>
        <w:pStyle w:val="5"/>
        <w:pageBreakBefore w:val="0"/>
        <w:widowControl w:val="0"/>
        <w:kinsoku/>
        <w:wordWrap/>
        <w:overflowPunct/>
        <w:topLinePunct w:val="0"/>
        <w:autoSpaceDE/>
        <w:autoSpaceDN/>
        <w:bidi w:val="0"/>
        <w:adjustRightInd/>
        <w:snapToGrid/>
        <w:spacing w:line="560" w:lineRule="exact"/>
        <w:ind w:firstLine="643"/>
        <w:textAlignment w:val="auto"/>
        <w:rPr>
          <w:b/>
          <w:bCs w:val="0"/>
          <w:color w:val="auto"/>
        </w:rPr>
      </w:pPr>
      <w:r>
        <w:rPr>
          <w:rFonts w:hint="eastAsia"/>
          <w:b/>
          <w:bCs w:val="0"/>
          <w:color w:val="auto"/>
        </w:rPr>
        <w:t>1、绩效评价目的</w:t>
      </w:r>
    </w:p>
    <w:p w14:paraId="460177FD">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严格按照《会计法》、《政府会计制度》、《自治区工业和信息化培训中心内控制度》等规定执行财务核算，财政支出绩效评价运用科学、规范的绩效评价方法，制定统一的评价标准，使财政资金得到事前、事中和事后多方面的控制。财政支出绩效评价贯穿于自治区工业和信息化培训中心财政支出安排和实施的全过程，对财政支出效益、管理水平、投入风险等方面的进行综合评价；达到发挥财政调控功能、提高财政资金安排科学性、促进财政支持社会经济目标实现的重要保证。</w:t>
      </w:r>
    </w:p>
    <w:p w14:paraId="255F690F">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（1）自治区工业和信息化培训中心在项目实施前向项目负责人提供财政支出绩效方面的资金管理信息，促进项目支出严格按照资金管理规定进行。</w:t>
      </w:r>
    </w:p>
    <w:p w14:paraId="21B68EB8">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（2）项目绩效管理财政支出运行提供及时、有效的信息。</w:t>
      </w:r>
    </w:p>
    <w:p w14:paraId="36E726BE">
      <w:pPr>
        <w:pageBreakBefore w:val="0"/>
        <w:widowControl w:val="0"/>
        <w:kinsoku/>
        <w:wordWrap/>
        <w:overflowPunct/>
        <w:topLinePunct w:val="0"/>
        <w:autoSpaceDE/>
        <w:autoSpaceDN/>
        <w:bidi w:val="0"/>
        <w:adjustRightInd/>
        <w:snapToGrid/>
        <w:spacing w:line="560" w:lineRule="exact"/>
        <w:textAlignment w:val="auto"/>
        <w:rPr>
          <w:color w:val="auto"/>
          <w:sz w:val="32"/>
          <w:szCs w:val="28"/>
        </w:rPr>
      </w:pPr>
      <w:r>
        <w:rPr>
          <w:rFonts w:hint="eastAsia"/>
          <w:color w:val="auto"/>
          <w:sz w:val="32"/>
          <w:szCs w:val="28"/>
        </w:rPr>
        <w:t>综合来看，通过开展有效的财政支出绩效评价管理，达到改进预算管理、控制节约成本，提高预算资金使用效益的目的。</w:t>
      </w:r>
    </w:p>
    <w:p w14:paraId="153B5E48">
      <w:pPr>
        <w:pStyle w:val="5"/>
        <w:pageBreakBefore w:val="0"/>
        <w:widowControl w:val="0"/>
        <w:kinsoku/>
        <w:wordWrap/>
        <w:overflowPunct/>
        <w:topLinePunct w:val="0"/>
        <w:autoSpaceDE/>
        <w:autoSpaceDN/>
        <w:bidi w:val="0"/>
        <w:adjustRightInd/>
        <w:snapToGrid/>
        <w:spacing w:line="560" w:lineRule="exact"/>
        <w:ind w:firstLine="643"/>
        <w:textAlignment w:val="auto"/>
        <w:rPr>
          <w:b/>
          <w:bCs w:val="0"/>
          <w:color w:val="auto"/>
        </w:rPr>
      </w:pPr>
      <w:r>
        <w:rPr>
          <w:rFonts w:hint="eastAsia"/>
          <w:b/>
          <w:bCs w:val="0"/>
          <w:color w:val="auto"/>
        </w:rPr>
        <w:t>2、绩效评价对象</w:t>
      </w:r>
    </w:p>
    <w:p w14:paraId="1331347E">
      <w:pPr>
        <w:spacing w:line="560" w:lineRule="exact"/>
        <w:ind w:firstLine="640" w:firstLineChars="200"/>
        <w:rPr>
          <w:color w:val="auto"/>
          <w:sz w:val="32"/>
          <w:szCs w:val="28"/>
        </w:rPr>
      </w:pPr>
      <w:r>
        <w:rPr>
          <w:rFonts w:hint="eastAsia"/>
          <w:b w:val="0"/>
          <w:bCs/>
          <w:color w:val="auto"/>
          <w:sz w:val="32"/>
          <w:szCs w:val="28"/>
        </w:rPr>
        <w:t>新疆维吾尔自治区</w:t>
      </w:r>
      <w:r>
        <w:rPr>
          <w:rFonts w:hint="eastAsia"/>
          <w:color w:val="auto"/>
          <w:sz w:val="32"/>
          <w:szCs w:val="28"/>
        </w:rPr>
        <w:t>工业和信息化培训中心（自治区计算机培训中心）弥补人员经费支出项目</w:t>
      </w:r>
      <w:r>
        <w:rPr>
          <w:rFonts w:hint="eastAsia" w:ascii="仿宋_GB2312" w:hAnsi="仿宋_GB2312" w:eastAsia="仿宋_GB2312" w:cs="仿宋_GB2312"/>
          <w:sz w:val="32"/>
          <w:szCs w:val="32"/>
        </w:rPr>
        <w:t>所包含的全部项目内容。</w:t>
      </w:r>
    </w:p>
    <w:p w14:paraId="68A0EEA5">
      <w:pPr>
        <w:pStyle w:val="5"/>
        <w:pageBreakBefore w:val="0"/>
        <w:widowControl w:val="0"/>
        <w:kinsoku/>
        <w:wordWrap/>
        <w:overflowPunct/>
        <w:topLinePunct w:val="0"/>
        <w:autoSpaceDE/>
        <w:autoSpaceDN/>
        <w:bidi w:val="0"/>
        <w:adjustRightInd/>
        <w:snapToGrid/>
        <w:spacing w:line="560" w:lineRule="exact"/>
        <w:ind w:firstLine="643"/>
        <w:textAlignment w:val="auto"/>
        <w:rPr>
          <w:color w:val="auto"/>
        </w:rPr>
      </w:pPr>
      <w:r>
        <w:rPr>
          <w:rFonts w:hint="eastAsia"/>
          <w:color w:val="auto"/>
        </w:rPr>
        <w:t>3、绩效评价范围</w:t>
      </w:r>
    </w:p>
    <w:p w14:paraId="37E0DF0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color w:val="auto"/>
          <w:sz w:val="32"/>
          <w:szCs w:val="28"/>
        </w:rPr>
        <w:t>弥补人员经费支</w:t>
      </w:r>
      <w:r>
        <w:rPr>
          <w:rFonts w:hint="eastAsia" w:ascii="仿宋_GB2312" w:hAnsi="仿宋_GB2312" w:eastAsia="仿宋_GB2312" w:cs="仿宋_GB2312"/>
          <w:sz w:val="32"/>
          <w:szCs w:val="32"/>
        </w:rPr>
        <w:t>出项目进行评价，评价核心为专项资金的支出完成情况和效果。</w:t>
      </w:r>
    </w:p>
    <w:p w14:paraId="4DFC6F92">
      <w:pPr>
        <w:pStyle w:val="4"/>
        <w:pageBreakBefore w:val="0"/>
        <w:widowControl w:val="0"/>
        <w:kinsoku/>
        <w:wordWrap/>
        <w:overflowPunct/>
        <w:topLinePunct w:val="0"/>
        <w:autoSpaceDE/>
        <w:autoSpaceDN/>
        <w:bidi w:val="0"/>
        <w:adjustRightInd/>
        <w:snapToGrid/>
        <w:spacing w:line="560" w:lineRule="exact"/>
        <w:ind w:firstLine="643"/>
        <w:textAlignment w:val="auto"/>
        <w:rPr>
          <w:color w:val="auto"/>
        </w:rPr>
      </w:pPr>
      <w:bookmarkStart w:id="6" w:name="_Toc26395"/>
      <w:bookmarkStart w:id="7" w:name="_Toc4213"/>
      <w:r>
        <w:rPr>
          <w:rFonts w:hint="eastAsia"/>
          <w:color w:val="auto"/>
        </w:rPr>
        <w:t>（二）绩效评价原则、评价指标体系（附表说明）、评价方法、评价标准</w:t>
      </w:r>
      <w:bookmarkEnd w:id="6"/>
      <w:bookmarkEnd w:id="7"/>
    </w:p>
    <w:p w14:paraId="4D2E7C2E">
      <w:pPr>
        <w:pStyle w:val="5"/>
        <w:pageBreakBefore w:val="0"/>
        <w:widowControl w:val="0"/>
        <w:kinsoku/>
        <w:wordWrap/>
        <w:overflowPunct/>
        <w:topLinePunct w:val="0"/>
        <w:autoSpaceDE/>
        <w:autoSpaceDN/>
        <w:bidi w:val="0"/>
        <w:adjustRightInd/>
        <w:snapToGrid/>
        <w:spacing w:line="560" w:lineRule="exact"/>
        <w:ind w:firstLine="643"/>
        <w:textAlignment w:val="auto"/>
        <w:rPr>
          <w:b w:val="0"/>
          <w:bCs/>
          <w:color w:val="auto"/>
        </w:rPr>
      </w:pPr>
      <w:r>
        <w:rPr>
          <w:rFonts w:hint="eastAsia"/>
          <w:b w:val="0"/>
          <w:bCs/>
          <w:color w:val="auto"/>
        </w:rPr>
        <w:t>1、绩效评价原则</w:t>
      </w:r>
    </w:p>
    <w:p w14:paraId="40968A8D">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本次项目绩效评价遵循以下基本原则：</w:t>
      </w:r>
    </w:p>
    <w:p w14:paraId="1FF90B83">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（1）科学公正。绩效评价应当运用科学合理的方法，按照规范的程序，对项目绩效进行客观、公正的反映。</w:t>
      </w:r>
    </w:p>
    <w:p w14:paraId="277431CD">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（2）统筹兼顾。自治区工业和信息化培训中心单位自评由项目组全体成员实施，按照“谁支出、谁自评”的原则，在单位自评的基础上开展部门评价和财政评价方法。</w:t>
      </w:r>
    </w:p>
    <w:p w14:paraId="0EA60F00">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（3）激励约束。绩效评价结果与预算安排、政策调整、改进管理实质性挂钩，体现奖优罚劣和激励相容导向，有效安排、低效要压减、无效问责的机制。</w:t>
      </w:r>
    </w:p>
    <w:p w14:paraId="1EE3EB33">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（4）公开透明。绩效评价结果应依法依规公开，并自觉接受社会监督。</w:t>
      </w:r>
    </w:p>
    <w:p w14:paraId="32F36A3E">
      <w:pPr>
        <w:pStyle w:val="5"/>
        <w:pageBreakBefore w:val="0"/>
        <w:widowControl w:val="0"/>
        <w:kinsoku/>
        <w:wordWrap/>
        <w:overflowPunct/>
        <w:topLinePunct w:val="0"/>
        <w:autoSpaceDE/>
        <w:autoSpaceDN/>
        <w:bidi w:val="0"/>
        <w:adjustRightInd/>
        <w:snapToGrid/>
        <w:spacing w:line="560" w:lineRule="exact"/>
        <w:ind w:firstLine="643"/>
        <w:textAlignment w:val="auto"/>
        <w:rPr>
          <w:b w:val="0"/>
          <w:bCs/>
          <w:color w:val="auto"/>
        </w:rPr>
      </w:pPr>
      <w:r>
        <w:rPr>
          <w:rFonts w:hint="eastAsia"/>
          <w:b w:val="0"/>
          <w:bCs/>
          <w:color w:val="auto"/>
        </w:rPr>
        <w:t>2、评价指标体系</w:t>
      </w:r>
    </w:p>
    <w:p w14:paraId="6D33FA69">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绩效评价框架是开展绩效评价的核心。绩效评价框架包括评价准则、关键评价问题、评价指标、数据来源、数据收集方法等。指标体系建立过程如下：</w:t>
      </w:r>
    </w:p>
    <w:p w14:paraId="594EBA36">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（1）确定评价指标</w:t>
      </w:r>
    </w:p>
    <w:p w14:paraId="39BD2A7F">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自治区工业和信息化培训中心采用层次分析法，建立评价指标体系。绩效评价将指标分为项目决策指标、项目过程指标、项目产出指标、项目效益指标四个维度，最终形成一个由多个相互联系的指标组成的多层次指标体系。</w:t>
      </w:r>
    </w:p>
    <w:p w14:paraId="16014981">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（2）确定权重</w:t>
      </w:r>
    </w:p>
    <w:p w14:paraId="3B1A4C4A">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自治区工业和信息化培训中心确定各个指标相对于项目总体绩效的权重分值。在绩效评价指标体系中，项目决策类权重为20分，项目过程类权重为20分，项目产出类权重为40分，项目效益类权重为20分。</w:t>
      </w:r>
    </w:p>
    <w:p w14:paraId="50D9E206">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（3）确定指标标准值</w:t>
      </w:r>
    </w:p>
    <w:p w14:paraId="7BC4F85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02EEC0B2">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607A4F09">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17E44FBC">
      <w:pPr>
        <w:pStyle w:val="5"/>
        <w:pageBreakBefore w:val="0"/>
        <w:widowControl w:val="0"/>
        <w:kinsoku/>
        <w:wordWrap/>
        <w:overflowPunct/>
        <w:topLinePunct w:val="0"/>
        <w:autoSpaceDE/>
        <w:autoSpaceDN/>
        <w:bidi w:val="0"/>
        <w:adjustRightInd/>
        <w:snapToGrid/>
        <w:spacing w:line="560" w:lineRule="exact"/>
        <w:ind w:firstLine="643"/>
        <w:textAlignment w:val="auto"/>
        <w:rPr>
          <w:rFonts w:hint="eastAsia" w:ascii="Times New Roman" w:hAnsi="Times New Roman" w:eastAsia="仿宋_GB2312" w:cs="Times New Roman"/>
          <w:b w:val="0"/>
          <w:color w:val="auto"/>
          <w:kern w:val="2"/>
          <w:sz w:val="32"/>
          <w:szCs w:val="28"/>
          <w:lang w:val="en-US" w:eastAsia="zh-CN" w:bidi="ar-SA"/>
        </w:rPr>
      </w:pPr>
      <w:r>
        <w:rPr>
          <w:rFonts w:hint="eastAsia" w:ascii="Times New Roman" w:hAnsi="Times New Roman" w:eastAsia="仿宋_GB2312" w:cs="Times New Roman"/>
          <w:b w:val="0"/>
          <w:color w:val="auto"/>
          <w:kern w:val="2"/>
          <w:sz w:val="32"/>
          <w:szCs w:val="28"/>
          <w:lang w:val="en-US" w:eastAsia="zh-CN" w:bidi="ar-SA"/>
        </w:rPr>
        <w:t>3、绩效评价方法</w:t>
      </w:r>
    </w:p>
    <w:p w14:paraId="25FFD658">
      <w:pPr>
        <w:pageBreakBefore w:val="0"/>
        <w:widowControl w:val="0"/>
        <w:kinsoku/>
        <w:wordWrap/>
        <w:overflowPunct/>
        <w:topLinePunct w:val="0"/>
        <w:autoSpaceDE/>
        <w:autoSpaceDN/>
        <w:bidi w:val="0"/>
        <w:adjustRightInd/>
        <w:snapToGrid/>
        <w:spacing w:line="560" w:lineRule="exact"/>
        <w:ind w:firstLine="640"/>
        <w:textAlignment w:val="auto"/>
        <w:rPr>
          <w:rFonts w:hint="eastAsia" w:ascii="Times New Roman" w:hAnsi="Times New Roman" w:eastAsia="仿宋_GB2312" w:cs="Times New Roman"/>
          <w:b w:val="0"/>
          <w:color w:val="auto"/>
          <w:kern w:val="2"/>
          <w:sz w:val="32"/>
          <w:szCs w:val="28"/>
          <w:lang w:val="en-US" w:eastAsia="zh-CN" w:bidi="ar-SA"/>
        </w:rPr>
      </w:pPr>
      <w:r>
        <w:rPr>
          <w:rFonts w:hint="eastAsia" w:ascii="Times New Roman" w:hAnsi="Times New Roman" w:eastAsia="仿宋_GB2312" w:cs="Times New Roman"/>
          <w:b w:val="0"/>
          <w:color w:val="auto"/>
          <w:kern w:val="2"/>
          <w:sz w:val="32"/>
          <w:szCs w:val="28"/>
          <w:lang w:val="en-US" w:eastAsia="zh-CN" w:bidi="ar-SA"/>
        </w:rPr>
        <w:t>本着客观公正和有效性原则，自治区工业和信息化培训中心将绩效评价从项目决策、项目过程、项目产出、项目效益四个维度进行评价。根据项目绩效总目标采用了目标管理法，专款专用，做好专项资金预算，使用计划，标准等，成立部门绩效评价小组，于12月项目完成，预算执行率100%。</w:t>
      </w:r>
    </w:p>
    <w:p w14:paraId="5D9EF406">
      <w:pPr>
        <w:pStyle w:val="5"/>
        <w:pageBreakBefore w:val="0"/>
        <w:widowControl w:val="0"/>
        <w:kinsoku/>
        <w:wordWrap/>
        <w:overflowPunct/>
        <w:topLinePunct w:val="0"/>
        <w:autoSpaceDE/>
        <w:autoSpaceDN/>
        <w:bidi w:val="0"/>
        <w:adjustRightInd/>
        <w:snapToGrid/>
        <w:spacing w:line="560" w:lineRule="exact"/>
        <w:ind w:firstLine="643"/>
        <w:textAlignment w:val="auto"/>
        <w:rPr>
          <w:color w:val="auto"/>
        </w:rPr>
      </w:pPr>
      <w:r>
        <w:rPr>
          <w:rFonts w:hint="eastAsia"/>
          <w:color w:val="auto"/>
        </w:rPr>
        <w:t>4、评价标准</w:t>
      </w:r>
    </w:p>
    <w:p w14:paraId="4DB48A4D">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自治区工业和信息化培训中心主要采用了计划标准、</w:t>
      </w:r>
      <w:r>
        <w:rPr>
          <w:rFonts w:hint="eastAsia"/>
          <w:color w:val="auto"/>
          <w:sz w:val="32"/>
          <w:szCs w:val="28"/>
          <w:lang w:eastAsia="zh-CN"/>
        </w:rPr>
        <w:t>历史</w:t>
      </w:r>
      <w:r>
        <w:rPr>
          <w:rFonts w:hint="eastAsia"/>
          <w:color w:val="auto"/>
          <w:sz w:val="32"/>
          <w:szCs w:val="28"/>
        </w:rPr>
        <w:t>标准两类评价标准，具体情况：预算申报弥补人员经费支出</w:t>
      </w:r>
      <w:r>
        <w:rPr>
          <w:rFonts w:hint="eastAsia"/>
          <w:color w:val="auto"/>
          <w:sz w:val="32"/>
          <w:szCs w:val="28"/>
          <w:lang w:val="en-US" w:eastAsia="zh-CN"/>
        </w:rPr>
        <w:t>83.86</w:t>
      </w:r>
      <w:r>
        <w:rPr>
          <w:rFonts w:hint="eastAsia"/>
          <w:color w:val="auto"/>
          <w:sz w:val="32"/>
          <w:szCs w:val="28"/>
        </w:rPr>
        <w:t>万元，财政预算专户批复人员经费</w:t>
      </w:r>
      <w:r>
        <w:rPr>
          <w:rFonts w:hint="eastAsia"/>
          <w:color w:val="auto"/>
          <w:sz w:val="32"/>
          <w:szCs w:val="28"/>
          <w:lang w:val="en-US" w:eastAsia="zh-CN"/>
        </w:rPr>
        <w:t>83.86</w:t>
      </w:r>
      <w:r>
        <w:rPr>
          <w:rFonts w:hint="eastAsia"/>
          <w:color w:val="auto"/>
          <w:sz w:val="32"/>
          <w:szCs w:val="28"/>
        </w:rPr>
        <w:t>万元。实际执行用于支付弥补人员经费</w:t>
      </w:r>
      <w:r>
        <w:rPr>
          <w:rFonts w:hint="eastAsia"/>
          <w:color w:val="auto"/>
          <w:sz w:val="32"/>
          <w:szCs w:val="28"/>
          <w:lang w:val="en-US" w:eastAsia="zh-CN"/>
        </w:rPr>
        <w:t>82.72</w:t>
      </w:r>
      <w:r>
        <w:rPr>
          <w:rFonts w:hint="eastAsia"/>
          <w:color w:val="auto"/>
          <w:sz w:val="32"/>
          <w:szCs w:val="28"/>
        </w:rPr>
        <w:t>万元，预算执行率</w:t>
      </w:r>
      <w:r>
        <w:rPr>
          <w:rFonts w:hint="eastAsia"/>
          <w:color w:val="auto"/>
          <w:sz w:val="32"/>
          <w:szCs w:val="28"/>
          <w:lang w:val="en-US" w:eastAsia="zh-CN"/>
        </w:rPr>
        <w:t>98.64</w:t>
      </w:r>
      <w:r>
        <w:rPr>
          <w:rFonts w:hint="eastAsia"/>
          <w:color w:val="auto"/>
          <w:sz w:val="32"/>
          <w:szCs w:val="28"/>
        </w:rPr>
        <w:t>%。通过以上计划标准和</w:t>
      </w:r>
      <w:r>
        <w:rPr>
          <w:rFonts w:hint="eastAsia"/>
          <w:color w:val="auto"/>
          <w:sz w:val="32"/>
          <w:szCs w:val="28"/>
          <w:lang w:eastAsia="zh-CN"/>
        </w:rPr>
        <w:t>历史</w:t>
      </w:r>
      <w:r>
        <w:rPr>
          <w:rFonts w:hint="eastAsia"/>
          <w:color w:val="auto"/>
          <w:sz w:val="32"/>
          <w:szCs w:val="28"/>
        </w:rPr>
        <w:t>标准对比绩效指标完成情况一致，项目立项，依据充分，程序规范。所设定的绩效目标依据充分，符合自治区工业和信息化培训中心客观实际需要。</w:t>
      </w:r>
    </w:p>
    <w:p w14:paraId="5015E70A">
      <w:pPr>
        <w:pStyle w:val="4"/>
        <w:pageBreakBefore w:val="0"/>
        <w:widowControl w:val="0"/>
        <w:kinsoku/>
        <w:wordWrap/>
        <w:overflowPunct/>
        <w:topLinePunct w:val="0"/>
        <w:autoSpaceDE/>
        <w:autoSpaceDN/>
        <w:bidi w:val="0"/>
        <w:adjustRightInd/>
        <w:snapToGrid/>
        <w:spacing w:line="560" w:lineRule="exact"/>
        <w:ind w:firstLine="643"/>
        <w:textAlignment w:val="auto"/>
        <w:rPr>
          <w:color w:val="auto"/>
        </w:rPr>
      </w:pPr>
      <w:bookmarkStart w:id="8" w:name="_Toc16024"/>
      <w:r>
        <w:rPr>
          <w:rFonts w:hint="eastAsia"/>
          <w:color w:val="auto"/>
        </w:rPr>
        <w:t>（三）绩效评价工作过程</w:t>
      </w:r>
      <w:bookmarkEnd w:id="8"/>
    </w:p>
    <w:p w14:paraId="7D00401B">
      <w:pPr>
        <w:pageBreakBefore w:val="0"/>
        <w:widowControl w:val="0"/>
        <w:kinsoku/>
        <w:wordWrap/>
        <w:overflowPunct/>
        <w:topLinePunct w:val="0"/>
        <w:autoSpaceDE/>
        <w:autoSpaceDN/>
        <w:bidi w:val="0"/>
        <w:adjustRightInd/>
        <w:snapToGrid/>
        <w:spacing w:line="560" w:lineRule="exact"/>
        <w:ind w:firstLine="643"/>
        <w:textAlignment w:val="auto"/>
        <w:rPr>
          <w:b w:val="0"/>
          <w:bCs w:val="0"/>
          <w:color w:val="auto"/>
          <w:sz w:val="32"/>
          <w:szCs w:val="28"/>
        </w:rPr>
      </w:pPr>
      <w:r>
        <w:rPr>
          <w:rFonts w:hint="eastAsia"/>
          <w:b w:val="0"/>
          <w:bCs w:val="0"/>
          <w:color w:val="auto"/>
          <w:sz w:val="32"/>
          <w:szCs w:val="28"/>
        </w:rPr>
        <w:t>1、前期准备：项目实施过程中，制定明确的项目绩效目标，严格按项目支出绩效及内控制度要求，落实到每个细节，做好专项资金预算，使用计划，标准等。成立部门绩效评价小组，学习评价指标体系和绩效相关文件通知。</w:t>
      </w:r>
    </w:p>
    <w:p w14:paraId="3789581B">
      <w:pPr>
        <w:pageBreakBefore w:val="0"/>
        <w:widowControl w:val="0"/>
        <w:kinsoku/>
        <w:wordWrap/>
        <w:overflowPunct/>
        <w:topLinePunct w:val="0"/>
        <w:autoSpaceDE/>
        <w:autoSpaceDN/>
        <w:bidi w:val="0"/>
        <w:adjustRightInd/>
        <w:snapToGrid/>
        <w:spacing w:line="560" w:lineRule="exact"/>
        <w:ind w:firstLine="643"/>
        <w:textAlignment w:val="auto"/>
        <w:rPr>
          <w:color w:val="auto"/>
          <w:sz w:val="32"/>
          <w:szCs w:val="28"/>
        </w:rPr>
      </w:pPr>
      <w:r>
        <w:rPr>
          <w:rFonts w:hint="eastAsia"/>
          <w:b w:val="0"/>
          <w:bCs w:val="0"/>
          <w:color w:val="auto"/>
          <w:sz w:val="32"/>
          <w:szCs w:val="28"/>
        </w:rPr>
        <w:t>2、组织实施：专项经费拨入自治区工业和信息化培训中心财务账户后，由专项经</w:t>
      </w:r>
      <w:r>
        <w:rPr>
          <w:rFonts w:hint="eastAsia"/>
          <w:color w:val="auto"/>
          <w:sz w:val="32"/>
          <w:szCs w:val="28"/>
        </w:rPr>
        <w:t>费使用部门负责人按照文件要求编制专项资金使用计划，报部门分管主任复核，最后由自治区工业和信息化培训中心主任审查批准后，交财务部门备案实施。专项经费使用部门在使用专项经费时，应合理安排资金计划，专项经费不得超标准超范围使用，不得将专项经费挪作他用。专项经费使用部门在报销专项经费时，财务部门按照资金使用计划审核支出，并对票据来源是否合法，内容是否真实完整，使用是否准确，是否符合预算，审批手续是否齐全进行检查，审核无误后方可报销。人员经费按时按人落实到位。</w:t>
      </w:r>
    </w:p>
    <w:p w14:paraId="31B24C58">
      <w:pPr>
        <w:pageBreakBefore w:val="0"/>
        <w:widowControl w:val="0"/>
        <w:kinsoku/>
        <w:wordWrap/>
        <w:overflowPunct/>
        <w:topLinePunct w:val="0"/>
        <w:autoSpaceDE/>
        <w:autoSpaceDN/>
        <w:bidi w:val="0"/>
        <w:adjustRightInd/>
        <w:snapToGrid/>
        <w:spacing w:line="560" w:lineRule="exact"/>
        <w:ind w:firstLine="643"/>
        <w:textAlignment w:val="auto"/>
        <w:rPr>
          <w:color w:val="auto"/>
          <w:sz w:val="32"/>
          <w:szCs w:val="28"/>
        </w:rPr>
      </w:pPr>
      <w:r>
        <w:rPr>
          <w:rFonts w:hint="eastAsia"/>
          <w:b w:val="0"/>
          <w:bCs w:val="0"/>
          <w:color w:val="auto"/>
          <w:sz w:val="32"/>
          <w:szCs w:val="28"/>
        </w:rPr>
        <w:t>3、分析评价：项</w:t>
      </w:r>
      <w:r>
        <w:rPr>
          <w:rFonts w:hint="eastAsia"/>
          <w:color w:val="auto"/>
          <w:sz w:val="32"/>
          <w:szCs w:val="28"/>
        </w:rPr>
        <w:t>目评价资料来源于业务部门、</w:t>
      </w:r>
      <w:r>
        <w:rPr>
          <w:color w:val="auto"/>
          <w:sz w:val="32"/>
          <w:szCs w:val="28"/>
        </w:rPr>
        <w:t>考试鉴定部门</w:t>
      </w:r>
      <w:r>
        <w:rPr>
          <w:rFonts w:hint="eastAsia"/>
          <w:color w:val="auto"/>
          <w:sz w:val="32"/>
          <w:szCs w:val="28"/>
        </w:rPr>
        <w:t>和全疆</w:t>
      </w:r>
      <w:r>
        <w:rPr>
          <w:color w:val="auto"/>
          <w:sz w:val="32"/>
          <w:szCs w:val="28"/>
        </w:rPr>
        <w:t>中职院校等</w:t>
      </w:r>
      <w:r>
        <w:rPr>
          <w:rFonts w:hint="eastAsia"/>
          <w:color w:val="auto"/>
          <w:sz w:val="32"/>
          <w:szCs w:val="28"/>
        </w:rPr>
        <w:t>相关工作的统计结果，有考务文件、考务</w:t>
      </w:r>
      <w:r>
        <w:rPr>
          <w:color w:val="auto"/>
          <w:sz w:val="32"/>
          <w:szCs w:val="28"/>
        </w:rPr>
        <w:t>通知和考试安排</w:t>
      </w:r>
      <w:r>
        <w:rPr>
          <w:rFonts w:hint="eastAsia"/>
          <w:color w:val="auto"/>
          <w:sz w:val="32"/>
          <w:szCs w:val="28"/>
        </w:rPr>
        <w:t>等完成</w:t>
      </w:r>
      <w:r>
        <w:rPr>
          <w:color w:val="auto"/>
          <w:sz w:val="32"/>
          <w:szCs w:val="28"/>
        </w:rPr>
        <w:t>数量</w:t>
      </w:r>
      <w:r>
        <w:rPr>
          <w:rFonts w:hint="eastAsia"/>
          <w:color w:val="auto"/>
          <w:sz w:val="32"/>
          <w:szCs w:val="28"/>
        </w:rPr>
        <w:t>佐证。按期</w:t>
      </w:r>
      <w:r>
        <w:rPr>
          <w:color w:val="auto"/>
          <w:sz w:val="32"/>
          <w:szCs w:val="28"/>
        </w:rPr>
        <w:t>收缴考试考务费</w:t>
      </w:r>
      <w:r>
        <w:rPr>
          <w:rFonts w:hint="eastAsia"/>
          <w:color w:val="auto"/>
          <w:sz w:val="32"/>
          <w:szCs w:val="28"/>
        </w:rPr>
        <w:t>并</w:t>
      </w:r>
      <w:r>
        <w:rPr>
          <w:color w:val="auto"/>
          <w:sz w:val="32"/>
          <w:szCs w:val="28"/>
        </w:rPr>
        <w:t>上缴财政专户（</w:t>
      </w:r>
      <w:r>
        <w:rPr>
          <w:rFonts w:hint="eastAsia"/>
          <w:color w:val="auto"/>
          <w:sz w:val="32"/>
          <w:szCs w:val="28"/>
        </w:rPr>
        <w:t>教育</w:t>
      </w:r>
      <w:r>
        <w:rPr>
          <w:color w:val="auto"/>
          <w:sz w:val="32"/>
          <w:szCs w:val="28"/>
        </w:rPr>
        <w:t>收费）</w:t>
      </w:r>
      <w:r>
        <w:rPr>
          <w:rFonts w:hint="eastAsia"/>
          <w:color w:val="auto"/>
          <w:sz w:val="32"/>
          <w:szCs w:val="28"/>
        </w:rPr>
        <w:t>，财政</w:t>
      </w:r>
      <w:r>
        <w:rPr>
          <w:color w:val="auto"/>
          <w:sz w:val="32"/>
          <w:szCs w:val="28"/>
        </w:rPr>
        <w:t>批复预算</w:t>
      </w:r>
      <w:r>
        <w:rPr>
          <w:rFonts w:hint="eastAsia"/>
          <w:color w:val="auto"/>
          <w:sz w:val="32"/>
          <w:szCs w:val="28"/>
        </w:rPr>
        <w:t>资金</w:t>
      </w:r>
      <w:r>
        <w:rPr>
          <w:color w:val="auto"/>
          <w:sz w:val="32"/>
          <w:szCs w:val="28"/>
        </w:rPr>
        <w:t>用于</w:t>
      </w:r>
      <w:r>
        <w:rPr>
          <w:rFonts w:hint="eastAsia"/>
          <w:color w:val="auto"/>
          <w:sz w:val="32"/>
          <w:szCs w:val="28"/>
        </w:rPr>
        <w:t>弥补人员经费支出项目，按月执行，全部资金发放和代缴社保部门并落实到位。对评价结果进行整改，根据单位负责人建议，员工反馈及意见，充分运用分析评价指导项目绩效工作。</w:t>
      </w:r>
    </w:p>
    <w:p w14:paraId="2CC4123B">
      <w:pPr>
        <w:spacing w:line="600" w:lineRule="exact"/>
        <w:ind w:firstLine="640" w:firstLineChars="200"/>
        <w:rPr>
          <w:rFonts w:hint="eastAsia" w:ascii="仿宋_GB2312"/>
        </w:rPr>
      </w:pPr>
      <w:r>
        <w:rPr>
          <w:rFonts w:hint="eastAsia" w:ascii="黑体" w:hAnsi="黑体" w:eastAsia="黑体"/>
          <w:sz w:val="32"/>
          <w:szCs w:val="32"/>
        </w:rPr>
        <w:t>三、综合评价情况及评价结论</w:t>
      </w:r>
      <w:r>
        <w:rPr>
          <w:rFonts w:hint="eastAsia" w:eastAsia="黑体"/>
          <w:sz w:val="32"/>
          <w:szCs w:val="32"/>
        </w:rPr>
        <w:t>（附相关评分表）</w:t>
      </w:r>
    </w:p>
    <w:p w14:paraId="629DDADB">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6A7426E9">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1CD2AF1E">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6A7F709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 99分，属于“优”。其中，项目决策类指标权重为20分，得分为 20分，得分率为 100%。项目过程类指标权重为20分，得分为19分，得分率为 95%。项目产出类指标权重为40分，得分为40分，得分率为 100%。项目效益类指标权重为20分，得分为20分，得分率为100%。具体打分情况详见：附件1综合评分表。</w:t>
      </w:r>
    </w:p>
    <w:p w14:paraId="3DD48D70">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0F107527">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6AA6A28">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0525440">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5D2D959">
            <w:pPr>
              <w:jc w:val="center"/>
              <w:rPr>
                <w:b/>
                <w:bCs/>
                <w:color w:val="000000"/>
                <w:sz w:val="22"/>
              </w:rPr>
            </w:pPr>
            <w:r>
              <w:rPr>
                <w:rFonts w:hint="eastAsia"/>
                <w:b/>
                <w:bCs/>
                <w:color w:val="000000"/>
                <w:sz w:val="22"/>
              </w:rPr>
              <w:t>得分</w:t>
            </w:r>
          </w:p>
        </w:tc>
      </w:tr>
      <w:tr w14:paraId="1992558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7F73205">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17B5B1A9">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B11B5C6">
            <w:pPr>
              <w:jc w:val="center"/>
              <w:rPr>
                <w:rFonts w:hint="default" w:eastAsia="仿宋_GB2312"/>
                <w:color w:val="000000"/>
                <w:sz w:val="22"/>
                <w:lang w:val="en-US" w:eastAsia="zh-CN"/>
              </w:rPr>
            </w:pPr>
            <w:r>
              <w:rPr>
                <w:rFonts w:hint="eastAsia"/>
                <w:color w:val="000000"/>
                <w:sz w:val="22"/>
                <w:lang w:val="en-US" w:eastAsia="zh-CN"/>
              </w:rPr>
              <w:t>20</w:t>
            </w:r>
          </w:p>
        </w:tc>
      </w:tr>
      <w:tr w14:paraId="309227F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A6EEA2E">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4403182F">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55E81E2">
            <w:pPr>
              <w:jc w:val="center"/>
              <w:rPr>
                <w:rFonts w:hint="default" w:eastAsia="仿宋_GB2312"/>
                <w:color w:val="000000"/>
                <w:sz w:val="22"/>
                <w:lang w:val="en-US" w:eastAsia="zh-CN"/>
              </w:rPr>
            </w:pPr>
            <w:r>
              <w:rPr>
                <w:rFonts w:hint="eastAsia"/>
                <w:color w:val="000000"/>
                <w:sz w:val="22"/>
                <w:lang w:val="en-US" w:eastAsia="zh-CN"/>
              </w:rPr>
              <w:t>19</w:t>
            </w:r>
          </w:p>
        </w:tc>
      </w:tr>
      <w:tr w14:paraId="14CDF0D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670079C">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217DD049">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10D3E05C">
            <w:pPr>
              <w:jc w:val="center"/>
              <w:rPr>
                <w:rFonts w:hint="default" w:eastAsia="仿宋_GB2312"/>
                <w:color w:val="000000"/>
                <w:sz w:val="22"/>
                <w:lang w:val="en-US" w:eastAsia="zh-CN"/>
              </w:rPr>
            </w:pPr>
            <w:r>
              <w:rPr>
                <w:rFonts w:hint="eastAsia"/>
                <w:color w:val="000000"/>
                <w:sz w:val="22"/>
                <w:lang w:val="en-US" w:eastAsia="zh-CN"/>
              </w:rPr>
              <w:t>40</w:t>
            </w:r>
          </w:p>
        </w:tc>
      </w:tr>
      <w:tr w14:paraId="0869935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377194E">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5CB22408">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ACDB7EF">
            <w:pPr>
              <w:jc w:val="center"/>
              <w:rPr>
                <w:rFonts w:hint="default" w:eastAsia="仿宋_GB2312"/>
                <w:color w:val="000000"/>
                <w:sz w:val="22"/>
                <w:lang w:val="en-US" w:eastAsia="zh-CN"/>
              </w:rPr>
            </w:pPr>
            <w:r>
              <w:rPr>
                <w:rFonts w:hint="eastAsia"/>
                <w:color w:val="000000"/>
                <w:sz w:val="22"/>
                <w:lang w:val="en-US" w:eastAsia="zh-CN"/>
              </w:rPr>
              <w:t>20</w:t>
            </w:r>
          </w:p>
        </w:tc>
      </w:tr>
      <w:tr w14:paraId="5BA829F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7EB5AB6">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2C9D44FC">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2E56FE71">
            <w:pPr>
              <w:jc w:val="center"/>
              <w:rPr>
                <w:rFonts w:hint="default" w:eastAsia="仿宋_GB2312"/>
                <w:b/>
                <w:bCs/>
                <w:color w:val="000000"/>
                <w:sz w:val="22"/>
                <w:lang w:val="en-US" w:eastAsia="zh-CN"/>
              </w:rPr>
            </w:pPr>
            <w:r>
              <w:rPr>
                <w:rFonts w:hint="eastAsia"/>
                <w:b/>
                <w:bCs/>
                <w:color w:val="000000"/>
                <w:sz w:val="22"/>
                <w:lang w:val="en-US" w:eastAsia="zh-CN"/>
              </w:rPr>
              <w:t>99</w:t>
            </w:r>
          </w:p>
        </w:tc>
      </w:tr>
    </w:tbl>
    <w:p w14:paraId="62DEDA10">
      <w:pPr>
        <w:pStyle w:val="3"/>
        <w:pageBreakBefore w:val="0"/>
        <w:widowControl w:val="0"/>
        <w:kinsoku/>
        <w:wordWrap/>
        <w:overflowPunct/>
        <w:topLinePunct w:val="0"/>
        <w:autoSpaceDE/>
        <w:autoSpaceDN/>
        <w:bidi w:val="0"/>
        <w:adjustRightInd/>
        <w:snapToGrid/>
        <w:spacing w:line="560" w:lineRule="exact"/>
        <w:ind w:firstLine="643"/>
        <w:textAlignment w:val="auto"/>
        <w:rPr>
          <w:color w:val="auto"/>
        </w:rPr>
      </w:pPr>
      <w:bookmarkStart w:id="9" w:name="_Toc27139"/>
      <w:bookmarkStart w:id="10" w:name="_Toc10707"/>
      <w:r>
        <w:rPr>
          <w:rFonts w:hint="eastAsia"/>
          <w:color w:val="auto"/>
        </w:rPr>
        <w:t>四、绩效评价指标分析</w:t>
      </w:r>
      <w:bookmarkEnd w:id="9"/>
      <w:bookmarkEnd w:id="10"/>
    </w:p>
    <w:p w14:paraId="58C68073">
      <w:pPr>
        <w:pStyle w:val="4"/>
        <w:pageBreakBefore w:val="0"/>
        <w:widowControl w:val="0"/>
        <w:kinsoku/>
        <w:wordWrap/>
        <w:overflowPunct/>
        <w:topLinePunct w:val="0"/>
        <w:autoSpaceDE/>
        <w:autoSpaceDN/>
        <w:bidi w:val="0"/>
        <w:adjustRightInd/>
        <w:snapToGrid/>
        <w:spacing w:line="560" w:lineRule="exact"/>
        <w:ind w:firstLine="643"/>
        <w:textAlignment w:val="auto"/>
        <w:rPr>
          <w:color w:val="auto"/>
        </w:rPr>
      </w:pPr>
      <w:bookmarkStart w:id="11" w:name="_Toc11963"/>
      <w:bookmarkStart w:id="12" w:name="_Toc24715"/>
      <w:r>
        <w:rPr>
          <w:rFonts w:hint="eastAsia"/>
          <w:color w:val="auto"/>
        </w:rPr>
        <w:t>（一）项目决策情况</w:t>
      </w:r>
      <w:bookmarkEnd w:id="11"/>
      <w:bookmarkEnd w:id="12"/>
    </w:p>
    <w:p w14:paraId="3489CE8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项目决策类指标包括项目立项、绩效目标和资金投入三方面的内容，由6个三级指标构成，权重分值为20分，实际得分20分，得分率为100%。</w:t>
      </w:r>
    </w:p>
    <w:p w14:paraId="19FC2637">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lang w:val="en-US" w:eastAsia="zh-CN"/>
        </w:rPr>
      </w:pPr>
      <w:r>
        <w:rPr>
          <w:rFonts w:hint="eastAsia" w:ascii="仿宋_GB2312" w:hAnsi="仿宋_GB2312" w:eastAsia="仿宋_GB2312" w:cs="仿宋_GB2312"/>
          <w:b/>
          <w:bCs/>
          <w:sz w:val="32"/>
          <w:szCs w:val="32"/>
          <w:lang w:val="en-US" w:eastAsia="zh-CN"/>
        </w:rPr>
        <w:t>1.项目立项</w:t>
      </w:r>
    </w:p>
    <w:p w14:paraId="6E9B759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1DA6548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ACFE57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035ACA9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风险评估、绩效评估、集体决策，保障了程序的规范性。</w:t>
      </w:r>
    </w:p>
    <w:p w14:paraId="42E77A27">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6A22DBC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106F69B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B04FA5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6223194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36DFDF1F">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79BFCBD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08EBC8D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7848B42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710B1350">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10EE8C92">
      <w:pPr>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Arial" w:hAnsi="Arial" w:eastAsia="楷体_GB2312" w:cs="Times New Roman"/>
          <w:b/>
          <w:color w:val="auto"/>
          <w:kern w:val="2"/>
          <w:sz w:val="32"/>
          <w:szCs w:val="24"/>
          <w:lang w:val="en-US" w:eastAsia="zh-CN" w:bidi="ar-SA"/>
        </w:rPr>
      </w:pPr>
      <w:bookmarkStart w:id="13" w:name="_Toc5305"/>
      <w:r>
        <w:rPr>
          <w:rFonts w:hint="eastAsia" w:ascii="Arial" w:hAnsi="Arial" w:eastAsia="楷体_GB2312" w:cs="Times New Roman"/>
          <w:b/>
          <w:color w:val="auto"/>
          <w:kern w:val="2"/>
          <w:sz w:val="32"/>
          <w:szCs w:val="24"/>
          <w:lang w:val="en-US" w:eastAsia="zh-CN" w:bidi="ar-SA"/>
        </w:rPr>
        <w:t>项目过程情况</w:t>
      </w:r>
      <w:bookmarkEnd w:id="13"/>
    </w:p>
    <w:p w14:paraId="43A8FAFD">
      <w:pPr>
        <w:shd w:val="clear"/>
        <w:spacing w:line="600" w:lineRule="exact"/>
        <w:ind w:firstLine="600" w:firstLineChars="200"/>
        <w:outlineLvl w:val="0"/>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三级指标构成，权重分值为20分，实际得分19分，得分率为95%。</w:t>
      </w:r>
    </w:p>
    <w:p w14:paraId="71BC6EAF">
      <w:pPr>
        <w:shd w:val="clear"/>
        <w:spacing w:line="600" w:lineRule="exact"/>
        <w:ind w:firstLine="640" w:firstLineChars="200"/>
        <w:outlineLvl w:val="0"/>
        <w:rPr>
          <w:rFonts w:hint="eastAsia" w:ascii="仿宋_GB2312" w:hAnsi="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r>
        <w:rPr>
          <w:rFonts w:hint="eastAsia" w:ascii="仿宋_GB2312" w:hAnsi="仿宋_GB2312" w:cs="仿宋_GB2312"/>
          <w:sz w:val="32"/>
          <w:szCs w:val="32"/>
          <w:lang w:val="en-US" w:eastAsia="zh-CN"/>
        </w:rPr>
        <w:t>。</w:t>
      </w:r>
    </w:p>
    <w:p w14:paraId="73DF37E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4D153ABD">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28"/>
          <w:highlight w:val="none"/>
        </w:rPr>
      </w:pPr>
      <w:r>
        <w:rPr>
          <w:rFonts w:hint="eastAsia"/>
          <w:color w:val="auto"/>
          <w:sz w:val="32"/>
          <w:szCs w:val="28"/>
          <w:lang w:eastAsia="zh-CN"/>
        </w:rPr>
        <w:t>本项目总投资</w:t>
      </w:r>
      <w:r>
        <w:rPr>
          <w:rFonts w:hint="eastAsia"/>
          <w:color w:val="auto"/>
          <w:sz w:val="32"/>
          <w:szCs w:val="28"/>
        </w:rPr>
        <w:t>83.86万元</w:t>
      </w:r>
      <w:r>
        <w:rPr>
          <w:rFonts w:hint="eastAsia"/>
          <w:color w:val="auto"/>
          <w:sz w:val="32"/>
          <w:szCs w:val="28"/>
          <w:highlight w:val="none"/>
          <w:lang w:eastAsia="zh-CN"/>
        </w:rPr>
        <w:t>，</w:t>
      </w:r>
      <w:r>
        <w:rPr>
          <w:rFonts w:hint="eastAsia" w:ascii="仿宋_GB2312" w:hAnsi="仿宋_GB2312" w:eastAsia="仿宋_GB2312" w:cs="仿宋_GB2312"/>
          <w:sz w:val="32"/>
          <w:szCs w:val="32"/>
          <w:highlight w:val="none"/>
          <w:lang w:val="en-US" w:eastAsia="zh-CN"/>
        </w:rPr>
        <w:t>财政资金及时足额到位</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color w:val="auto"/>
          <w:sz w:val="32"/>
          <w:szCs w:val="28"/>
          <w:highlight w:val="none"/>
        </w:rPr>
        <w:t>。</w:t>
      </w:r>
    </w:p>
    <w:p w14:paraId="02F8F32B">
      <w:pPr>
        <w:numPr>
          <w:ilvl w:val="0"/>
          <w:numId w:val="2"/>
        </w:num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预算执行率</w:t>
      </w:r>
    </w:p>
    <w:p w14:paraId="2CCD04E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82.72</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98.64</w:t>
      </w:r>
      <w:r>
        <w:rPr>
          <w:rFonts w:hint="eastAsia" w:ascii="仿宋_GB2312" w:hAnsi="仿宋_GB2312" w:eastAsia="仿宋_GB2312" w:cs="仿宋_GB2312"/>
          <w:sz w:val="32"/>
          <w:szCs w:val="32"/>
          <w:highlight w:val="none"/>
          <w:lang w:val="en-US" w:eastAsia="zh-CN"/>
        </w:rPr>
        <w:t>%。</w:t>
      </w:r>
    </w:p>
    <w:p w14:paraId="380BB4B7">
      <w:pPr>
        <w:numPr>
          <w:ilvl w:val="0"/>
          <w:numId w:val="2"/>
        </w:numPr>
        <w:shd w:val="clear"/>
        <w:spacing w:line="60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资金使用合规性</w:t>
      </w:r>
    </w:p>
    <w:p w14:paraId="140B1F79">
      <w:pPr>
        <w:numPr>
          <w:ilvl w:val="0"/>
          <w:numId w:val="0"/>
        </w:numPr>
        <w:shd w:val="clear"/>
        <w:spacing w:line="600" w:lineRule="exact"/>
        <w:ind w:firstLine="640" w:firstLineChars="200"/>
        <w:outlineLvl w:val="0"/>
        <w:rPr>
          <w:color w:val="auto"/>
          <w:sz w:val="32"/>
          <w:szCs w:val="28"/>
        </w:rPr>
      </w:pPr>
      <w:r>
        <w:rPr>
          <w:rFonts w:hint="eastAsia"/>
          <w:color w:val="auto"/>
          <w:sz w:val="32"/>
          <w:szCs w:val="28"/>
        </w:rPr>
        <w:t>根据202</w:t>
      </w:r>
      <w:r>
        <w:rPr>
          <w:rFonts w:hint="eastAsia"/>
          <w:color w:val="auto"/>
          <w:sz w:val="32"/>
          <w:szCs w:val="28"/>
          <w:lang w:val="en-US" w:eastAsia="zh-CN"/>
        </w:rPr>
        <w:t>2</w:t>
      </w:r>
      <w:r>
        <w:rPr>
          <w:rFonts w:hint="eastAsia"/>
          <w:color w:val="auto"/>
          <w:sz w:val="32"/>
          <w:szCs w:val="28"/>
        </w:rPr>
        <w:t>年度弥补人员经费的实际支出进行202</w:t>
      </w:r>
      <w:r>
        <w:rPr>
          <w:rFonts w:hint="eastAsia"/>
          <w:color w:val="auto"/>
          <w:sz w:val="32"/>
          <w:szCs w:val="28"/>
          <w:lang w:val="en-US" w:eastAsia="zh-CN"/>
        </w:rPr>
        <w:t>3</w:t>
      </w:r>
      <w:r>
        <w:rPr>
          <w:rFonts w:hint="eastAsia"/>
          <w:color w:val="auto"/>
          <w:sz w:val="32"/>
          <w:szCs w:val="28"/>
        </w:rPr>
        <w:t>年度经费测算，按部门预算要求上报自治区财政、上级主管单位，由自治区财政、上级单位等相关单位部门审核批复额度，不存在截留、挤占、挪用、虚列支出等情况。</w:t>
      </w:r>
    </w:p>
    <w:p w14:paraId="30429BF1">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bCs/>
          <w:color w:val="auto"/>
          <w:sz w:val="32"/>
          <w:szCs w:val="28"/>
        </w:rPr>
      </w:pPr>
      <w:r>
        <w:rPr>
          <w:rFonts w:hint="eastAsia" w:ascii="仿宋_GB2312" w:hAnsi="仿宋_GB2312" w:eastAsia="仿宋_GB2312" w:cs="仿宋_GB2312"/>
          <w:b/>
          <w:bCs/>
          <w:sz w:val="32"/>
          <w:szCs w:val="32"/>
          <w:lang w:val="en-US" w:eastAsia="zh-CN"/>
        </w:rPr>
        <w:t>2.组织实施</w:t>
      </w:r>
    </w:p>
    <w:p w14:paraId="7A5E6229">
      <w:pPr>
        <w:pageBreakBefore w:val="0"/>
        <w:widowControl w:val="0"/>
        <w:kinsoku/>
        <w:wordWrap/>
        <w:overflowPunct/>
        <w:topLinePunct w:val="0"/>
        <w:autoSpaceDE/>
        <w:autoSpaceDN/>
        <w:bidi w:val="0"/>
        <w:adjustRightInd/>
        <w:snapToGrid/>
        <w:spacing w:line="560" w:lineRule="exact"/>
        <w:ind w:firstLine="643"/>
        <w:textAlignment w:val="auto"/>
        <w:rPr>
          <w:color w:val="auto"/>
          <w:sz w:val="32"/>
          <w:szCs w:val="28"/>
        </w:rPr>
      </w:pPr>
      <w:r>
        <w:rPr>
          <w:rFonts w:hint="eastAsia"/>
          <w:b w:val="0"/>
          <w:bCs w:val="0"/>
          <w:color w:val="auto"/>
          <w:sz w:val="32"/>
          <w:szCs w:val="28"/>
          <w:lang w:eastAsia="zh-CN"/>
        </w:rPr>
        <w:t>（</w:t>
      </w:r>
      <w:r>
        <w:rPr>
          <w:rFonts w:hint="eastAsia"/>
          <w:b w:val="0"/>
          <w:bCs w:val="0"/>
          <w:color w:val="auto"/>
          <w:sz w:val="32"/>
          <w:szCs w:val="28"/>
          <w:lang w:val="en-US" w:eastAsia="zh-CN"/>
        </w:rPr>
        <w:t>1</w:t>
      </w:r>
      <w:r>
        <w:rPr>
          <w:rFonts w:hint="eastAsia"/>
          <w:b w:val="0"/>
          <w:bCs w:val="0"/>
          <w:color w:val="auto"/>
          <w:sz w:val="32"/>
          <w:szCs w:val="28"/>
          <w:lang w:eastAsia="zh-CN"/>
        </w:rPr>
        <w:t>）</w:t>
      </w:r>
      <w:r>
        <w:rPr>
          <w:rFonts w:hint="eastAsia"/>
          <w:b w:val="0"/>
          <w:bCs w:val="0"/>
          <w:color w:val="auto"/>
          <w:sz w:val="32"/>
          <w:szCs w:val="28"/>
        </w:rPr>
        <w:t>管理制度健全性：弥补人员</w:t>
      </w:r>
      <w:r>
        <w:rPr>
          <w:rFonts w:hint="eastAsia"/>
          <w:color w:val="auto"/>
          <w:sz w:val="32"/>
          <w:szCs w:val="28"/>
        </w:rPr>
        <w:t>经费支出项目实施过程中，使用的是其他资金财政专户预算资金，设立专项经费分项目核算机制，专款专用。</w:t>
      </w:r>
    </w:p>
    <w:p w14:paraId="49CD1603">
      <w:pPr>
        <w:pageBreakBefore w:val="0"/>
        <w:widowControl w:val="0"/>
        <w:kinsoku/>
        <w:wordWrap/>
        <w:overflowPunct/>
        <w:topLinePunct w:val="0"/>
        <w:autoSpaceDE/>
        <w:autoSpaceDN/>
        <w:bidi w:val="0"/>
        <w:adjustRightInd/>
        <w:snapToGrid/>
        <w:spacing w:line="560" w:lineRule="exact"/>
        <w:ind w:firstLine="643"/>
        <w:textAlignment w:val="auto"/>
        <w:rPr>
          <w:color w:val="auto"/>
          <w:sz w:val="32"/>
          <w:szCs w:val="28"/>
        </w:rPr>
      </w:pPr>
      <w:r>
        <w:rPr>
          <w:rFonts w:hint="eastAsia"/>
          <w:b w:val="0"/>
          <w:bCs w:val="0"/>
          <w:color w:val="auto"/>
          <w:sz w:val="32"/>
          <w:szCs w:val="28"/>
          <w:lang w:eastAsia="zh-CN"/>
        </w:rPr>
        <w:t>（</w:t>
      </w:r>
      <w:r>
        <w:rPr>
          <w:rFonts w:hint="eastAsia"/>
          <w:b w:val="0"/>
          <w:bCs w:val="0"/>
          <w:color w:val="auto"/>
          <w:sz w:val="32"/>
          <w:szCs w:val="28"/>
          <w:lang w:val="en-US" w:eastAsia="zh-CN"/>
        </w:rPr>
        <w:t>2</w:t>
      </w:r>
      <w:r>
        <w:rPr>
          <w:rFonts w:hint="eastAsia"/>
          <w:b w:val="0"/>
          <w:bCs w:val="0"/>
          <w:color w:val="auto"/>
          <w:sz w:val="32"/>
          <w:szCs w:val="28"/>
          <w:lang w:eastAsia="zh-CN"/>
        </w:rPr>
        <w:t>）</w:t>
      </w:r>
      <w:r>
        <w:rPr>
          <w:rFonts w:hint="eastAsia"/>
          <w:b w:val="0"/>
          <w:bCs w:val="0"/>
          <w:color w:val="auto"/>
          <w:sz w:val="32"/>
          <w:szCs w:val="28"/>
        </w:rPr>
        <w:t>制度执行有效性：</w:t>
      </w:r>
      <w:r>
        <w:rPr>
          <w:rFonts w:hint="eastAsia"/>
          <w:b w:val="0"/>
          <w:bCs w:val="0"/>
          <w:color w:val="auto"/>
          <w:sz w:val="32"/>
          <w:szCs w:val="28"/>
          <w:highlight w:val="none"/>
        </w:rPr>
        <w:t>本项目设</w:t>
      </w:r>
      <w:r>
        <w:rPr>
          <w:rFonts w:hint="eastAsia"/>
          <w:color w:val="auto"/>
          <w:sz w:val="32"/>
          <w:szCs w:val="28"/>
          <w:highlight w:val="none"/>
        </w:rPr>
        <w:t>置主要用途为支付</w:t>
      </w:r>
      <w:r>
        <w:rPr>
          <w:rFonts w:hint="eastAsia"/>
          <w:bCs/>
          <w:color w:val="auto"/>
          <w:sz w:val="32"/>
          <w:highlight w:val="none"/>
        </w:rPr>
        <w:t>长期聘用人员7人的经费支出</w:t>
      </w:r>
      <w:r>
        <w:rPr>
          <w:rFonts w:hint="eastAsia"/>
          <w:bCs/>
          <w:color w:val="auto"/>
          <w:sz w:val="32"/>
          <w:highlight w:val="none"/>
          <w:lang w:eastAsia="zh-CN"/>
        </w:rPr>
        <w:t>，</w:t>
      </w:r>
      <w:r>
        <w:rPr>
          <w:rFonts w:hint="eastAsia"/>
          <w:color w:val="auto"/>
          <w:sz w:val="32"/>
          <w:szCs w:val="28"/>
        </w:rPr>
        <w:t>做到足月足额缴纳、人员经费方面，严格绩效管理，履行单位内部审核，足月足额发放人员经费。在资金执行过程中，合理安排资金计划，专项经费不得超标准超范围使用，不得将专项经费挪作他用。</w:t>
      </w:r>
    </w:p>
    <w:p w14:paraId="3F7A4860">
      <w:pPr>
        <w:pStyle w:val="4"/>
        <w:pageBreakBefore w:val="0"/>
        <w:widowControl w:val="0"/>
        <w:kinsoku/>
        <w:wordWrap/>
        <w:overflowPunct/>
        <w:topLinePunct w:val="0"/>
        <w:autoSpaceDE/>
        <w:autoSpaceDN/>
        <w:bidi w:val="0"/>
        <w:adjustRightInd/>
        <w:snapToGrid/>
        <w:spacing w:line="560" w:lineRule="exact"/>
        <w:ind w:firstLine="643"/>
        <w:textAlignment w:val="auto"/>
        <w:rPr>
          <w:color w:val="auto"/>
        </w:rPr>
      </w:pPr>
      <w:bookmarkStart w:id="14" w:name="_Toc21709"/>
      <w:bookmarkStart w:id="15" w:name="_Toc24972"/>
      <w:r>
        <w:rPr>
          <w:rFonts w:hint="eastAsia"/>
          <w:color w:val="auto"/>
        </w:rPr>
        <w:t>（三）项目产出情况</w:t>
      </w:r>
      <w:bookmarkEnd w:id="14"/>
      <w:bookmarkEnd w:id="15"/>
    </w:p>
    <w:p w14:paraId="3100E91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%。具体产出指标完成情况如下：</w:t>
      </w:r>
    </w:p>
    <w:p w14:paraId="1836D26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5998BEA7">
      <w:pPr>
        <w:shd w:val="clear"/>
        <w:spacing w:line="600" w:lineRule="exact"/>
        <w:ind w:firstLine="640" w:firstLineChars="200"/>
        <w:outlineLvl w:val="0"/>
        <w:rPr>
          <w:color w:val="auto"/>
          <w:sz w:val="32"/>
          <w:szCs w:val="28"/>
        </w:rPr>
      </w:pPr>
      <w:r>
        <w:rPr>
          <w:rFonts w:hint="eastAsia"/>
          <w:color w:val="auto"/>
          <w:sz w:val="32"/>
          <w:szCs w:val="28"/>
          <w:lang w:eastAsia="zh-CN"/>
        </w:rPr>
        <w:t>聘用</w:t>
      </w:r>
      <w:r>
        <w:rPr>
          <w:rFonts w:hint="eastAsia"/>
          <w:color w:val="auto"/>
          <w:sz w:val="32"/>
          <w:szCs w:val="28"/>
        </w:rPr>
        <w:t>人员数量，指标值</w:t>
      </w:r>
      <w:r>
        <w:rPr>
          <w:rFonts w:hint="eastAsia"/>
          <w:color w:val="auto"/>
          <w:sz w:val="32"/>
          <w:szCs w:val="28"/>
          <w:lang w:val="en-US" w:eastAsia="zh-CN"/>
        </w:rPr>
        <w:t>：&lt;=7</w:t>
      </w:r>
      <w:r>
        <w:rPr>
          <w:rFonts w:hint="eastAsia"/>
          <w:color w:val="auto"/>
          <w:sz w:val="32"/>
          <w:szCs w:val="28"/>
        </w:rPr>
        <w:t>人，实际完成值</w:t>
      </w:r>
      <w:r>
        <w:rPr>
          <w:rFonts w:hint="eastAsia"/>
          <w:color w:val="auto"/>
          <w:sz w:val="32"/>
          <w:szCs w:val="28"/>
          <w:lang w:eastAsia="zh-CN"/>
        </w:rPr>
        <w:t>：</w:t>
      </w:r>
      <w:r>
        <w:rPr>
          <w:rFonts w:hint="eastAsia"/>
          <w:color w:val="auto"/>
          <w:sz w:val="32"/>
          <w:szCs w:val="28"/>
          <w:lang w:val="en-US" w:eastAsia="zh-CN"/>
        </w:rPr>
        <w:t>=7</w:t>
      </w:r>
      <w:r>
        <w:rPr>
          <w:rFonts w:hint="eastAsia"/>
          <w:color w:val="auto"/>
          <w:sz w:val="32"/>
          <w:szCs w:val="28"/>
        </w:rPr>
        <w:t>人，</w:t>
      </w:r>
      <w:r>
        <w:rPr>
          <w:rFonts w:hint="eastAsia"/>
          <w:color w:val="auto"/>
          <w:sz w:val="32"/>
          <w:szCs w:val="28"/>
          <w:lang w:eastAsia="zh-CN"/>
        </w:rPr>
        <w:t>指标</w:t>
      </w:r>
      <w:r>
        <w:rPr>
          <w:rFonts w:hint="eastAsia"/>
          <w:color w:val="auto"/>
          <w:sz w:val="32"/>
          <w:szCs w:val="28"/>
        </w:rPr>
        <w:t>完成率100%，无偏差。</w:t>
      </w:r>
    </w:p>
    <w:p w14:paraId="3C3DE42F">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69019F01">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lang w:eastAsia="zh-CN"/>
        </w:rPr>
        <w:t>绩效考核通过率</w:t>
      </w:r>
      <w:r>
        <w:rPr>
          <w:rFonts w:hint="eastAsia"/>
          <w:color w:val="auto"/>
          <w:sz w:val="32"/>
          <w:szCs w:val="28"/>
        </w:rPr>
        <w:t>，指标值</w:t>
      </w:r>
      <w:r>
        <w:rPr>
          <w:rFonts w:hint="eastAsia"/>
          <w:color w:val="auto"/>
          <w:sz w:val="32"/>
          <w:szCs w:val="28"/>
          <w:lang w:val="en-US" w:eastAsia="zh-CN"/>
        </w:rPr>
        <w:t>：=100%</w:t>
      </w:r>
      <w:r>
        <w:rPr>
          <w:rFonts w:hint="eastAsia"/>
          <w:color w:val="auto"/>
          <w:sz w:val="32"/>
          <w:szCs w:val="28"/>
        </w:rPr>
        <w:t>，实际完成值</w:t>
      </w:r>
      <w:r>
        <w:rPr>
          <w:rFonts w:hint="eastAsia"/>
          <w:color w:val="auto"/>
          <w:sz w:val="32"/>
          <w:szCs w:val="28"/>
          <w:lang w:eastAsia="zh-CN"/>
        </w:rPr>
        <w:t>：</w:t>
      </w:r>
      <w:r>
        <w:rPr>
          <w:rFonts w:hint="eastAsia"/>
          <w:color w:val="auto"/>
          <w:sz w:val="32"/>
          <w:szCs w:val="28"/>
          <w:lang w:val="en-US" w:eastAsia="zh-CN"/>
        </w:rPr>
        <w:t>=</w:t>
      </w:r>
      <w:r>
        <w:rPr>
          <w:rFonts w:hint="eastAsia"/>
          <w:color w:val="auto"/>
          <w:sz w:val="32"/>
          <w:szCs w:val="28"/>
        </w:rPr>
        <w:t>100%，</w:t>
      </w:r>
      <w:r>
        <w:rPr>
          <w:rFonts w:hint="eastAsia"/>
          <w:color w:val="auto"/>
          <w:sz w:val="32"/>
          <w:szCs w:val="28"/>
          <w:lang w:eastAsia="zh-CN"/>
        </w:rPr>
        <w:t>指标</w:t>
      </w:r>
      <w:r>
        <w:rPr>
          <w:rFonts w:hint="eastAsia"/>
          <w:color w:val="auto"/>
          <w:sz w:val="32"/>
          <w:szCs w:val="28"/>
        </w:rPr>
        <w:t>完成率100%，无偏差。</w:t>
      </w:r>
    </w:p>
    <w:p w14:paraId="4DA96F20">
      <w:pPr>
        <w:shd w:val="clear"/>
        <w:spacing w:line="600" w:lineRule="exact"/>
        <w:ind w:firstLine="640" w:firstLineChars="200"/>
        <w:outlineLvl w:val="0"/>
        <w:rPr>
          <w:rFonts w:hint="eastAsia"/>
          <w:color w:val="auto"/>
          <w:sz w:val="32"/>
          <w:szCs w:val="28"/>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05753BD7">
      <w:pPr>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color w:val="auto"/>
          <w:sz w:val="32"/>
          <w:szCs w:val="28"/>
          <w:lang w:eastAsia="zh-CN"/>
        </w:rPr>
      </w:pPr>
      <w:r>
        <w:rPr>
          <w:rFonts w:hint="eastAsia"/>
          <w:color w:val="auto"/>
          <w:sz w:val="32"/>
          <w:szCs w:val="28"/>
          <w:lang w:eastAsia="zh-CN"/>
        </w:rPr>
        <w:t>指标</w:t>
      </w:r>
      <w:r>
        <w:rPr>
          <w:rFonts w:hint="eastAsia"/>
          <w:color w:val="auto"/>
          <w:sz w:val="32"/>
          <w:szCs w:val="28"/>
          <w:lang w:val="en-US" w:eastAsia="zh-CN"/>
        </w:rPr>
        <w:t>1：</w:t>
      </w:r>
      <w:r>
        <w:rPr>
          <w:rFonts w:hint="eastAsia"/>
          <w:color w:val="auto"/>
          <w:sz w:val="32"/>
          <w:szCs w:val="28"/>
          <w:lang w:eastAsia="zh-CN"/>
        </w:rPr>
        <w:t>经费支出及时率</w:t>
      </w:r>
      <w:r>
        <w:rPr>
          <w:rFonts w:hint="eastAsia"/>
          <w:color w:val="auto"/>
          <w:sz w:val="32"/>
          <w:szCs w:val="28"/>
        </w:rPr>
        <w:t>，</w:t>
      </w:r>
      <w:r>
        <w:rPr>
          <w:rFonts w:hint="eastAsia"/>
          <w:color w:val="auto"/>
          <w:sz w:val="32"/>
          <w:szCs w:val="28"/>
          <w:lang w:eastAsia="zh-CN"/>
        </w:rPr>
        <w:t>指标值：</w:t>
      </w:r>
      <w:r>
        <w:rPr>
          <w:rFonts w:hint="eastAsia"/>
          <w:color w:val="auto"/>
          <w:sz w:val="32"/>
          <w:szCs w:val="28"/>
          <w:lang w:val="en-US" w:eastAsia="zh-CN"/>
        </w:rPr>
        <w:t>=100%</w:t>
      </w:r>
      <w:r>
        <w:rPr>
          <w:rFonts w:hint="eastAsia"/>
          <w:color w:val="auto"/>
          <w:sz w:val="32"/>
          <w:szCs w:val="28"/>
        </w:rPr>
        <w:t>，实际完成值</w:t>
      </w:r>
      <w:r>
        <w:rPr>
          <w:rFonts w:hint="eastAsia"/>
          <w:color w:val="auto"/>
          <w:sz w:val="32"/>
          <w:szCs w:val="28"/>
          <w:lang w:eastAsia="zh-CN"/>
        </w:rPr>
        <w:t>：</w:t>
      </w:r>
      <w:r>
        <w:rPr>
          <w:rFonts w:hint="eastAsia"/>
          <w:color w:val="auto"/>
          <w:sz w:val="32"/>
          <w:szCs w:val="28"/>
          <w:lang w:val="en-US" w:eastAsia="zh-CN"/>
        </w:rPr>
        <w:t>=</w:t>
      </w:r>
      <w:r>
        <w:rPr>
          <w:rFonts w:hint="eastAsia"/>
          <w:color w:val="auto"/>
          <w:sz w:val="32"/>
          <w:szCs w:val="28"/>
        </w:rPr>
        <w:t>100%，</w:t>
      </w:r>
      <w:r>
        <w:rPr>
          <w:rFonts w:hint="eastAsia"/>
          <w:color w:val="auto"/>
          <w:sz w:val="32"/>
          <w:szCs w:val="28"/>
          <w:lang w:eastAsia="zh-CN"/>
        </w:rPr>
        <w:t>指标</w:t>
      </w:r>
      <w:r>
        <w:rPr>
          <w:rFonts w:hint="eastAsia"/>
          <w:color w:val="auto"/>
          <w:sz w:val="32"/>
          <w:szCs w:val="28"/>
        </w:rPr>
        <w:t>完成率100%，无偏差</w:t>
      </w:r>
      <w:r>
        <w:rPr>
          <w:rFonts w:hint="eastAsia"/>
          <w:color w:val="auto"/>
          <w:sz w:val="32"/>
          <w:szCs w:val="28"/>
          <w:lang w:eastAsia="zh-CN"/>
        </w:rPr>
        <w:t>。</w:t>
      </w:r>
    </w:p>
    <w:p w14:paraId="73E7AFAD">
      <w:pPr>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color w:val="auto"/>
          <w:sz w:val="32"/>
          <w:szCs w:val="28"/>
          <w:lang w:eastAsia="zh-CN"/>
        </w:rPr>
      </w:pPr>
      <w:r>
        <w:rPr>
          <w:rFonts w:hint="eastAsia"/>
          <w:color w:val="auto"/>
          <w:sz w:val="32"/>
          <w:szCs w:val="28"/>
          <w:lang w:eastAsia="zh-CN"/>
        </w:rPr>
        <w:t>指标</w:t>
      </w:r>
      <w:r>
        <w:rPr>
          <w:rFonts w:hint="eastAsia"/>
          <w:color w:val="auto"/>
          <w:sz w:val="32"/>
          <w:szCs w:val="28"/>
          <w:lang w:val="en-US" w:eastAsia="zh-CN"/>
        </w:rPr>
        <w:t>2：</w:t>
      </w:r>
      <w:r>
        <w:rPr>
          <w:rFonts w:hint="eastAsia"/>
          <w:color w:val="auto"/>
          <w:sz w:val="32"/>
          <w:szCs w:val="28"/>
          <w:lang w:eastAsia="zh-CN"/>
        </w:rPr>
        <w:t>资金拨付及时率，指标值：</w:t>
      </w:r>
      <w:r>
        <w:rPr>
          <w:rFonts w:hint="eastAsia"/>
          <w:color w:val="auto"/>
          <w:sz w:val="32"/>
          <w:szCs w:val="28"/>
          <w:lang w:val="en-US" w:eastAsia="zh-CN"/>
        </w:rPr>
        <w:t>=100%</w:t>
      </w:r>
      <w:r>
        <w:rPr>
          <w:rFonts w:hint="eastAsia"/>
          <w:color w:val="auto"/>
          <w:sz w:val="32"/>
          <w:szCs w:val="28"/>
        </w:rPr>
        <w:t>，实际完成值</w:t>
      </w:r>
      <w:r>
        <w:rPr>
          <w:rFonts w:hint="eastAsia"/>
          <w:color w:val="auto"/>
          <w:sz w:val="32"/>
          <w:szCs w:val="28"/>
          <w:lang w:eastAsia="zh-CN"/>
        </w:rPr>
        <w:t>：</w:t>
      </w:r>
      <w:r>
        <w:rPr>
          <w:rFonts w:hint="eastAsia"/>
          <w:color w:val="auto"/>
          <w:sz w:val="32"/>
          <w:szCs w:val="28"/>
          <w:lang w:val="en-US" w:eastAsia="zh-CN"/>
        </w:rPr>
        <w:t>=</w:t>
      </w:r>
      <w:r>
        <w:rPr>
          <w:rFonts w:hint="eastAsia"/>
          <w:color w:val="auto"/>
          <w:sz w:val="32"/>
          <w:szCs w:val="28"/>
        </w:rPr>
        <w:t>100%，</w:t>
      </w:r>
      <w:r>
        <w:rPr>
          <w:rFonts w:hint="eastAsia"/>
          <w:color w:val="auto"/>
          <w:sz w:val="32"/>
          <w:szCs w:val="28"/>
          <w:lang w:eastAsia="zh-CN"/>
        </w:rPr>
        <w:t>指标</w:t>
      </w:r>
      <w:r>
        <w:rPr>
          <w:rFonts w:hint="eastAsia"/>
          <w:color w:val="auto"/>
          <w:sz w:val="32"/>
          <w:szCs w:val="28"/>
        </w:rPr>
        <w:t>完成率100%，无偏差</w:t>
      </w:r>
      <w:r>
        <w:rPr>
          <w:rFonts w:hint="eastAsia"/>
          <w:color w:val="auto"/>
          <w:sz w:val="32"/>
          <w:szCs w:val="28"/>
          <w:lang w:eastAsia="zh-CN"/>
        </w:rPr>
        <w:t>。</w:t>
      </w:r>
    </w:p>
    <w:p w14:paraId="40C3DF75">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5F8F2890">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lang w:eastAsia="zh-CN"/>
        </w:rPr>
        <w:t>人均运转经费</w:t>
      </w:r>
      <w:r>
        <w:rPr>
          <w:rFonts w:hint="eastAsia"/>
          <w:color w:val="auto"/>
          <w:sz w:val="32"/>
          <w:szCs w:val="28"/>
        </w:rPr>
        <w:t>，指标值</w:t>
      </w:r>
      <w:r>
        <w:rPr>
          <w:rFonts w:hint="eastAsia"/>
          <w:color w:val="auto"/>
          <w:sz w:val="32"/>
          <w:szCs w:val="28"/>
          <w:lang w:val="en-US" w:eastAsia="zh-CN"/>
        </w:rPr>
        <w:t>：&lt;=11.98</w:t>
      </w:r>
      <w:r>
        <w:rPr>
          <w:rFonts w:hint="eastAsia"/>
          <w:color w:val="auto"/>
          <w:sz w:val="32"/>
          <w:szCs w:val="28"/>
        </w:rPr>
        <w:t>万元，实际完成值</w:t>
      </w:r>
      <w:r>
        <w:rPr>
          <w:rFonts w:hint="eastAsia"/>
          <w:color w:val="auto"/>
          <w:sz w:val="32"/>
          <w:szCs w:val="28"/>
          <w:lang w:eastAsia="zh-CN"/>
        </w:rPr>
        <w:t>：</w:t>
      </w:r>
      <w:r>
        <w:rPr>
          <w:rFonts w:hint="eastAsia"/>
          <w:color w:val="auto"/>
          <w:sz w:val="32"/>
          <w:szCs w:val="28"/>
          <w:lang w:val="en-US" w:eastAsia="zh-CN"/>
        </w:rPr>
        <w:t>=11.81</w:t>
      </w:r>
      <w:r>
        <w:rPr>
          <w:rFonts w:hint="eastAsia"/>
          <w:color w:val="auto"/>
          <w:sz w:val="32"/>
          <w:szCs w:val="28"/>
        </w:rPr>
        <w:t>万元，</w:t>
      </w:r>
      <w:r>
        <w:rPr>
          <w:rFonts w:hint="eastAsia"/>
          <w:color w:val="auto"/>
          <w:sz w:val="32"/>
          <w:szCs w:val="28"/>
          <w:lang w:eastAsia="zh-CN"/>
        </w:rPr>
        <w:t>指标</w:t>
      </w:r>
      <w:r>
        <w:rPr>
          <w:rFonts w:hint="eastAsia"/>
          <w:color w:val="auto"/>
          <w:sz w:val="32"/>
          <w:szCs w:val="28"/>
        </w:rPr>
        <w:t>完成率</w:t>
      </w:r>
      <w:r>
        <w:rPr>
          <w:rFonts w:hint="eastAsia"/>
          <w:color w:val="auto"/>
          <w:sz w:val="32"/>
          <w:szCs w:val="28"/>
          <w:lang w:val="en-US" w:eastAsia="zh-CN"/>
        </w:rPr>
        <w:t>98.85</w:t>
      </w:r>
      <w:r>
        <w:rPr>
          <w:rFonts w:hint="eastAsia"/>
          <w:color w:val="auto"/>
          <w:sz w:val="32"/>
          <w:szCs w:val="28"/>
        </w:rPr>
        <w:t>%</w:t>
      </w:r>
      <w:r>
        <w:rPr>
          <w:rFonts w:hint="eastAsia"/>
          <w:color w:val="auto"/>
          <w:sz w:val="32"/>
          <w:szCs w:val="28"/>
          <w:lang w:eastAsia="zh-CN"/>
        </w:rPr>
        <w:t>。偏差</w:t>
      </w:r>
      <w:r>
        <w:rPr>
          <w:rFonts w:hint="eastAsia"/>
          <w:color w:val="auto"/>
          <w:sz w:val="32"/>
          <w:szCs w:val="28"/>
          <w:lang w:val="en-US" w:eastAsia="zh-CN"/>
        </w:rPr>
        <w:t>原因：根据社保管理制度，2023年调整社保缴纳比例，节俭了相关人员经费支出</w:t>
      </w:r>
      <w:r>
        <w:rPr>
          <w:rFonts w:hint="eastAsia"/>
          <w:color w:val="auto"/>
          <w:sz w:val="32"/>
          <w:szCs w:val="28"/>
        </w:rPr>
        <w:t>。</w:t>
      </w:r>
    </w:p>
    <w:p w14:paraId="79830707">
      <w:pPr>
        <w:pStyle w:val="4"/>
        <w:pageBreakBefore w:val="0"/>
        <w:widowControl w:val="0"/>
        <w:kinsoku/>
        <w:wordWrap/>
        <w:overflowPunct/>
        <w:topLinePunct w:val="0"/>
        <w:autoSpaceDE/>
        <w:autoSpaceDN/>
        <w:bidi w:val="0"/>
        <w:adjustRightInd/>
        <w:snapToGrid/>
        <w:spacing w:line="560" w:lineRule="exact"/>
        <w:ind w:firstLine="643"/>
        <w:textAlignment w:val="auto"/>
        <w:rPr>
          <w:color w:val="auto"/>
        </w:rPr>
      </w:pPr>
      <w:bookmarkStart w:id="16" w:name="_Toc7017"/>
      <w:r>
        <w:rPr>
          <w:rFonts w:hint="eastAsia"/>
          <w:color w:val="auto"/>
        </w:rPr>
        <w:t>（四）</w:t>
      </w:r>
      <w:r>
        <w:rPr>
          <w:rFonts w:hint="eastAsia"/>
          <w:color w:val="auto"/>
          <w:lang w:eastAsia="zh-CN"/>
        </w:rPr>
        <w:t>项目</w:t>
      </w:r>
      <w:r>
        <w:rPr>
          <w:rFonts w:hint="eastAsia"/>
          <w:color w:val="auto"/>
        </w:rPr>
        <w:t>效益情况</w:t>
      </w:r>
      <w:bookmarkEnd w:id="16"/>
    </w:p>
    <w:p w14:paraId="51D578A8">
      <w:pPr>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个三级指标构成，权重分为20分，实际得分</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lang w:val="en-US" w:eastAsia="zh-CN"/>
        </w:rPr>
        <w:t>分，得分率为</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lang w:val="en-US" w:eastAsia="zh-CN"/>
        </w:rPr>
        <w:t>%。具体效益指标及满意度指标完成情况如下：</w:t>
      </w:r>
    </w:p>
    <w:p w14:paraId="4EA39A9A">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val="en-US" w:eastAsia="zh-CN"/>
        </w:rPr>
      </w:pPr>
      <w:r>
        <w:rPr>
          <w:rFonts w:hint="eastAsia"/>
          <w:color w:val="auto"/>
          <w:sz w:val="32"/>
          <w:szCs w:val="28"/>
          <w:lang w:val="en-US" w:eastAsia="zh-CN"/>
        </w:rPr>
        <w:t>1.实施效益</w:t>
      </w:r>
    </w:p>
    <w:p w14:paraId="1C9EB374">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rPr>
      </w:pPr>
      <w:r>
        <w:rPr>
          <w:rFonts w:hint="eastAsia"/>
          <w:color w:val="auto"/>
          <w:sz w:val="32"/>
          <w:szCs w:val="28"/>
          <w:lang w:val="en-US" w:eastAsia="zh-CN"/>
        </w:rPr>
        <w:t>①</w:t>
      </w:r>
      <w:r>
        <w:rPr>
          <w:rFonts w:hint="eastAsia"/>
          <w:color w:val="auto"/>
          <w:sz w:val="32"/>
          <w:szCs w:val="28"/>
        </w:rPr>
        <w:t>经济效益指标：</w:t>
      </w:r>
    </w:p>
    <w:p w14:paraId="4DB73C3D">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val="en-US" w:eastAsia="zh-CN"/>
        </w:rPr>
      </w:pPr>
      <w:r>
        <w:rPr>
          <w:rFonts w:hint="eastAsia"/>
          <w:color w:val="auto"/>
          <w:sz w:val="32"/>
          <w:szCs w:val="28"/>
          <w:lang w:eastAsia="zh-CN"/>
        </w:rPr>
        <w:t>我培训中心本年度未安排经济效益指标。</w:t>
      </w:r>
    </w:p>
    <w:p w14:paraId="62421B35">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eastAsia="zh-CN"/>
        </w:rPr>
      </w:pPr>
      <w:r>
        <w:rPr>
          <w:rFonts w:hint="eastAsia"/>
          <w:color w:val="auto"/>
          <w:sz w:val="32"/>
          <w:szCs w:val="28"/>
          <w:lang w:val="en-US" w:eastAsia="zh-CN"/>
        </w:rPr>
        <w:t>②</w:t>
      </w:r>
      <w:r>
        <w:rPr>
          <w:rFonts w:hint="eastAsia"/>
          <w:color w:val="auto"/>
          <w:sz w:val="32"/>
          <w:szCs w:val="28"/>
        </w:rPr>
        <w:t>社会效益指标</w:t>
      </w:r>
      <w:r>
        <w:rPr>
          <w:rFonts w:hint="eastAsia"/>
          <w:color w:val="auto"/>
          <w:sz w:val="32"/>
          <w:szCs w:val="28"/>
          <w:lang w:eastAsia="zh-CN"/>
        </w:rPr>
        <w:t>：</w:t>
      </w:r>
    </w:p>
    <w:p w14:paraId="7412C880">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rPr>
      </w:pPr>
      <w:r>
        <w:rPr>
          <w:rFonts w:hint="eastAsia"/>
          <w:color w:val="auto"/>
          <w:sz w:val="32"/>
          <w:szCs w:val="28"/>
        </w:rPr>
        <w:t>指标值</w:t>
      </w:r>
      <w:r>
        <w:rPr>
          <w:rFonts w:hint="eastAsia"/>
          <w:color w:val="auto"/>
          <w:sz w:val="32"/>
          <w:szCs w:val="28"/>
          <w:lang w:val="en-US" w:eastAsia="zh-CN"/>
        </w:rPr>
        <w:t>为</w:t>
      </w:r>
      <w:r>
        <w:rPr>
          <w:rFonts w:hint="eastAsia"/>
          <w:color w:val="auto"/>
          <w:sz w:val="32"/>
          <w:szCs w:val="28"/>
        </w:rPr>
        <w:t>有效保障各项培训、考试业务开展，实际完成值</w:t>
      </w:r>
      <w:r>
        <w:rPr>
          <w:rFonts w:hint="eastAsia"/>
          <w:color w:val="auto"/>
          <w:sz w:val="32"/>
          <w:szCs w:val="28"/>
          <w:lang w:eastAsia="zh-CN"/>
        </w:rPr>
        <w:t>有效保障</w:t>
      </w:r>
      <w:r>
        <w:rPr>
          <w:rFonts w:hint="eastAsia"/>
          <w:color w:val="auto"/>
          <w:sz w:val="32"/>
          <w:szCs w:val="28"/>
        </w:rPr>
        <w:t>各项业务正常开展，</w:t>
      </w:r>
      <w:r>
        <w:rPr>
          <w:rFonts w:hint="eastAsia"/>
          <w:color w:val="auto"/>
          <w:sz w:val="32"/>
          <w:szCs w:val="28"/>
          <w:lang w:eastAsia="zh-CN"/>
        </w:rPr>
        <w:t>指标</w:t>
      </w:r>
      <w:r>
        <w:rPr>
          <w:rFonts w:hint="eastAsia"/>
          <w:color w:val="auto"/>
          <w:sz w:val="32"/>
          <w:szCs w:val="28"/>
        </w:rPr>
        <w:t>完成率100%，无偏差。</w:t>
      </w:r>
    </w:p>
    <w:p w14:paraId="1162A773">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val="en-US" w:eastAsia="zh-CN"/>
        </w:rPr>
      </w:pPr>
      <w:r>
        <w:rPr>
          <w:rFonts w:hint="eastAsia"/>
          <w:color w:val="auto"/>
          <w:sz w:val="32"/>
          <w:szCs w:val="28"/>
          <w:lang w:val="en-US" w:eastAsia="zh-CN"/>
        </w:rPr>
        <w:t>③生态效益指标：</w:t>
      </w:r>
    </w:p>
    <w:p w14:paraId="3707C9C2">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val="en-US" w:eastAsia="zh-CN"/>
        </w:rPr>
      </w:pPr>
      <w:r>
        <w:rPr>
          <w:rFonts w:hint="eastAsia"/>
          <w:color w:val="auto"/>
          <w:sz w:val="32"/>
          <w:szCs w:val="28"/>
          <w:lang w:eastAsia="zh-CN"/>
        </w:rPr>
        <w:t>我培训中心本年度未安排生态效益指标。</w:t>
      </w:r>
    </w:p>
    <w:p w14:paraId="10E7DD63">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val="en-US" w:eastAsia="zh-CN"/>
        </w:rPr>
      </w:pPr>
      <w:r>
        <w:rPr>
          <w:rFonts w:hint="eastAsia"/>
          <w:color w:val="auto"/>
          <w:sz w:val="32"/>
          <w:szCs w:val="28"/>
          <w:lang w:val="en-US" w:eastAsia="zh-CN"/>
        </w:rPr>
        <w:t>④可持续影响指标：</w:t>
      </w:r>
    </w:p>
    <w:p w14:paraId="07164E34">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val="en-US" w:eastAsia="zh-CN"/>
        </w:rPr>
      </w:pPr>
      <w:r>
        <w:rPr>
          <w:rFonts w:hint="eastAsia"/>
          <w:color w:val="auto"/>
          <w:sz w:val="32"/>
          <w:szCs w:val="28"/>
          <w:lang w:eastAsia="zh-CN"/>
        </w:rPr>
        <w:t>我培训中心本年度未安排可持续影响指标。</w:t>
      </w:r>
    </w:p>
    <w:p w14:paraId="5D80F5BD">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val="en-US" w:eastAsia="zh-CN"/>
        </w:rPr>
      </w:pPr>
      <w:r>
        <w:rPr>
          <w:rFonts w:hint="eastAsia"/>
          <w:color w:val="auto"/>
          <w:sz w:val="32"/>
          <w:szCs w:val="28"/>
          <w:lang w:val="en-US" w:eastAsia="zh-CN"/>
        </w:rPr>
        <w:t>2.满意度</w:t>
      </w:r>
    </w:p>
    <w:p w14:paraId="3F86C6AE">
      <w:pPr>
        <w:pageBreakBefore w:val="0"/>
        <w:widowControl w:val="0"/>
        <w:kinsoku/>
        <w:wordWrap/>
        <w:overflowPunct/>
        <w:topLinePunct w:val="0"/>
        <w:autoSpaceDE/>
        <w:autoSpaceDN/>
        <w:bidi w:val="0"/>
        <w:adjustRightInd/>
        <w:snapToGrid/>
        <w:spacing w:line="560" w:lineRule="exact"/>
        <w:ind w:firstLine="643"/>
        <w:textAlignment w:val="auto"/>
        <w:rPr>
          <w:color w:val="auto"/>
          <w:sz w:val="32"/>
          <w:szCs w:val="28"/>
        </w:rPr>
      </w:pPr>
      <w:r>
        <w:rPr>
          <w:rFonts w:hint="eastAsia" w:ascii="仿宋_GB2312" w:hAnsi="仿宋_GB2312" w:eastAsia="仿宋_GB2312" w:cs="仿宋_GB2312"/>
          <w:sz w:val="32"/>
          <w:szCs w:val="32"/>
          <w:highlight w:val="none"/>
          <w:lang w:val="en-US" w:eastAsia="zh-CN"/>
        </w:rPr>
        <w:t>人</w:t>
      </w:r>
      <w:r>
        <w:rPr>
          <w:rFonts w:hint="eastAsia"/>
          <w:color w:val="auto"/>
          <w:sz w:val="32"/>
          <w:szCs w:val="28"/>
        </w:rPr>
        <w:t>员满意度指标，指标值</w:t>
      </w:r>
      <w:r>
        <w:rPr>
          <w:rFonts w:hint="eastAsia"/>
          <w:color w:val="auto"/>
          <w:sz w:val="32"/>
          <w:szCs w:val="28"/>
          <w:lang w:val="en-US" w:eastAsia="zh-CN"/>
        </w:rPr>
        <w:t>：</w:t>
      </w:r>
      <w:r>
        <w:rPr>
          <w:rFonts w:hint="eastAsia"/>
          <w:color w:val="auto"/>
          <w:sz w:val="32"/>
          <w:szCs w:val="28"/>
        </w:rPr>
        <w:t>&gt;=9</w:t>
      </w:r>
      <w:r>
        <w:rPr>
          <w:rFonts w:hint="eastAsia"/>
          <w:color w:val="auto"/>
          <w:sz w:val="32"/>
          <w:szCs w:val="28"/>
          <w:lang w:val="en-US" w:eastAsia="zh-CN"/>
        </w:rPr>
        <w:t>5</w:t>
      </w:r>
      <w:r>
        <w:rPr>
          <w:rFonts w:hint="eastAsia"/>
          <w:color w:val="auto"/>
          <w:sz w:val="32"/>
          <w:szCs w:val="28"/>
        </w:rPr>
        <w:t>%，实际完成值</w:t>
      </w:r>
      <w:r>
        <w:rPr>
          <w:rFonts w:hint="eastAsia"/>
          <w:color w:val="auto"/>
          <w:sz w:val="32"/>
          <w:szCs w:val="28"/>
          <w:lang w:eastAsia="zh-CN"/>
        </w:rPr>
        <w:t>：</w:t>
      </w:r>
      <w:r>
        <w:rPr>
          <w:rFonts w:hint="eastAsia"/>
          <w:color w:val="auto"/>
          <w:sz w:val="32"/>
          <w:szCs w:val="28"/>
          <w:lang w:val="en-US" w:eastAsia="zh-CN"/>
        </w:rPr>
        <w:t>=</w:t>
      </w:r>
      <w:r>
        <w:rPr>
          <w:rFonts w:hint="eastAsia"/>
          <w:color w:val="auto"/>
          <w:sz w:val="32"/>
          <w:szCs w:val="28"/>
        </w:rPr>
        <w:t>9</w:t>
      </w:r>
      <w:r>
        <w:rPr>
          <w:rFonts w:hint="eastAsia"/>
          <w:color w:val="auto"/>
          <w:sz w:val="32"/>
          <w:szCs w:val="28"/>
          <w:lang w:val="en-US" w:eastAsia="zh-CN"/>
        </w:rPr>
        <w:t>5</w:t>
      </w:r>
      <w:r>
        <w:rPr>
          <w:rFonts w:hint="eastAsia"/>
          <w:color w:val="auto"/>
          <w:sz w:val="32"/>
          <w:szCs w:val="28"/>
        </w:rPr>
        <w:t>%，</w:t>
      </w:r>
      <w:r>
        <w:rPr>
          <w:rFonts w:hint="eastAsia"/>
          <w:color w:val="auto"/>
          <w:sz w:val="32"/>
          <w:szCs w:val="28"/>
          <w:lang w:eastAsia="zh-CN"/>
        </w:rPr>
        <w:t>指标</w:t>
      </w:r>
      <w:r>
        <w:rPr>
          <w:rFonts w:hint="eastAsia"/>
          <w:color w:val="auto"/>
          <w:sz w:val="32"/>
          <w:szCs w:val="28"/>
        </w:rPr>
        <w:t>完成率100%，无偏差。</w:t>
      </w:r>
    </w:p>
    <w:p w14:paraId="7997B34F">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05C83DA2">
      <w:pPr>
        <w:pageBreakBefore w:val="0"/>
        <w:widowControl w:val="0"/>
        <w:kinsoku/>
        <w:wordWrap/>
        <w:overflowPunct/>
        <w:topLinePunct w:val="0"/>
        <w:autoSpaceDE/>
        <w:autoSpaceDN/>
        <w:bidi w:val="0"/>
        <w:adjustRightInd/>
        <w:snapToGrid/>
        <w:spacing w:line="560" w:lineRule="exact"/>
        <w:ind w:firstLine="643"/>
        <w:textAlignment w:val="auto"/>
        <w:rPr>
          <w:rFonts w:hint="eastAsia"/>
          <w:color w:val="auto"/>
          <w:sz w:val="32"/>
          <w:szCs w:val="28"/>
          <w:lang w:val="en-US" w:eastAsia="zh-CN"/>
        </w:rPr>
      </w:pPr>
      <w:r>
        <w:rPr>
          <w:rFonts w:hint="eastAsia"/>
          <w:color w:val="auto"/>
          <w:sz w:val="32"/>
          <w:szCs w:val="28"/>
          <w:lang w:val="en-US" w:eastAsia="zh-CN"/>
        </w:rPr>
        <w:t>弥补人员经费支出</w:t>
      </w:r>
      <w:r>
        <w:rPr>
          <w:rFonts w:hint="eastAsia"/>
          <w:color w:val="auto"/>
          <w:sz w:val="32"/>
          <w:szCs w:val="28"/>
        </w:rPr>
        <w:t>项目年初预算</w:t>
      </w:r>
      <w:r>
        <w:rPr>
          <w:rFonts w:hint="eastAsia"/>
          <w:color w:val="auto"/>
          <w:sz w:val="32"/>
          <w:szCs w:val="28"/>
          <w:lang w:val="en-US" w:eastAsia="zh-CN"/>
        </w:rPr>
        <w:t>83.63</w:t>
      </w:r>
      <w:r>
        <w:rPr>
          <w:rFonts w:hint="eastAsia"/>
          <w:color w:val="auto"/>
          <w:sz w:val="32"/>
          <w:szCs w:val="28"/>
        </w:rPr>
        <w:t>万元，全年预算</w:t>
      </w:r>
      <w:r>
        <w:rPr>
          <w:rFonts w:hint="eastAsia"/>
          <w:color w:val="auto"/>
          <w:sz w:val="32"/>
          <w:szCs w:val="28"/>
          <w:lang w:val="en-US" w:eastAsia="zh-CN"/>
        </w:rPr>
        <w:t>83.63</w:t>
      </w:r>
      <w:r>
        <w:rPr>
          <w:rFonts w:hint="eastAsia"/>
          <w:color w:val="auto"/>
          <w:sz w:val="32"/>
          <w:szCs w:val="28"/>
        </w:rPr>
        <w:t>万元，实际支出</w:t>
      </w:r>
      <w:r>
        <w:rPr>
          <w:rFonts w:hint="eastAsia"/>
          <w:color w:val="auto"/>
          <w:sz w:val="32"/>
          <w:szCs w:val="28"/>
          <w:lang w:val="en-US" w:eastAsia="zh-CN"/>
        </w:rPr>
        <w:t>82.72</w:t>
      </w:r>
      <w:r>
        <w:rPr>
          <w:rFonts w:hint="eastAsia"/>
          <w:color w:val="auto"/>
          <w:sz w:val="32"/>
          <w:szCs w:val="28"/>
        </w:rPr>
        <w:t>万元，预算执行率为</w:t>
      </w:r>
      <w:r>
        <w:rPr>
          <w:rFonts w:hint="eastAsia"/>
          <w:color w:val="auto"/>
          <w:sz w:val="32"/>
          <w:szCs w:val="28"/>
          <w:lang w:val="en-US" w:eastAsia="zh-CN"/>
        </w:rPr>
        <w:t>98.64</w:t>
      </w:r>
      <w:r>
        <w:rPr>
          <w:rFonts w:hint="eastAsia"/>
          <w:color w:val="auto"/>
          <w:sz w:val="32"/>
          <w:szCs w:val="28"/>
        </w:rPr>
        <w:t>%，项目绩效指标总体完成率为</w:t>
      </w:r>
      <w:r>
        <w:rPr>
          <w:rFonts w:hint="eastAsia"/>
          <w:color w:val="auto"/>
          <w:sz w:val="32"/>
          <w:szCs w:val="28"/>
          <w:lang w:val="en-US" w:eastAsia="zh-CN"/>
        </w:rPr>
        <w:t>99.80</w:t>
      </w:r>
      <w:r>
        <w:rPr>
          <w:rFonts w:hint="eastAsia"/>
          <w:color w:val="auto"/>
          <w:sz w:val="32"/>
          <w:szCs w:val="28"/>
        </w:rPr>
        <w:t>%，</w:t>
      </w:r>
      <w:r>
        <w:rPr>
          <w:rFonts w:hint="eastAsia"/>
          <w:color w:val="auto"/>
          <w:sz w:val="32"/>
          <w:szCs w:val="28"/>
          <w:lang w:eastAsia="zh-Hans"/>
        </w:rPr>
        <w:t>总体</w:t>
      </w:r>
      <w:r>
        <w:rPr>
          <w:rFonts w:hint="eastAsia"/>
          <w:color w:val="auto"/>
          <w:sz w:val="32"/>
          <w:szCs w:val="28"/>
        </w:rPr>
        <w:t>偏差率为</w:t>
      </w:r>
      <w:r>
        <w:rPr>
          <w:rFonts w:hint="eastAsia"/>
          <w:color w:val="auto"/>
          <w:sz w:val="32"/>
          <w:szCs w:val="28"/>
          <w:lang w:val="en-US" w:eastAsia="zh-CN"/>
        </w:rPr>
        <w:t>-1.16</w:t>
      </w:r>
      <w:r>
        <w:rPr>
          <w:rFonts w:hint="eastAsia"/>
          <w:color w:val="auto"/>
          <w:sz w:val="32"/>
          <w:szCs w:val="28"/>
        </w:rPr>
        <w:t>%,</w:t>
      </w:r>
      <w:r>
        <w:rPr>
          <w:rFonts w:hint="eastAsia"/>
          <w:color w:val="auto"/>
          <w:sz w:val="32"/>
          <w:szCs w:val="28"/>
          <w:lang w:eastAsia="zh-Hans"/>
        </w:rPr>
        <w:t>偏差</w:t>
      </w:r>
      <w:r>
        <w:rPr>
          <w:rFonts w:hint="eastAsia"/>
          <w:color w:val="auto"/>
          <w:sz w:val="32"/>
          <w:szCs w:val="28"/>
        </w:rPr>
        <w:t>原因</w:t>
      </w:r>
      <w:r>
        <w:rPr>
          <w:rFonts w:hint="eastAsia"/>
          <w:color w:val="auto"/>
          <w:sz w:val="32"/>
          <w:szCs w:val="28"/>
          <w:lang w:val="en-US" w:eastAsia="zh-CN"/>
        </w:rPr>
        <w:t>根据社保管理制度，2023年调整社保缴纳比例，节俭了相关人员经费支出。</w:t>
      </w:r>
    </w:p>
    <w:p w14:paraId="754282EC">
      <w:pPr>
        <w:numPr>
          <w:ilvl w:val="0"/>
          <w:numId w:val="0"/>
        </w:num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主要经验及做法、存在的问题及原因分析</w:t>
      </w:r>
    </w:p>
    <w:p w14:paraId="59497A14">
      <w:pPr>
        <w:pStyle w:val="4"/>
        <w:pageBreakBefore w:val="0"/>
        <w:widowControl w:val="0"/>
        <w:kinsoku/>
        <w:wordWrap/>
        <w:overflowPunct/>
        <w:topLinePunct w:val="0"/>
        <w:autoSpaceDE/>
        <w:autoSpaceDN/>
        <w:bidi w:val="0"/>
        <w:adjustRightInd/>
        <w:snapToGrid/>
        <w:spacing w:line="560" w:lineRule="exact"/>
        <w:ind w:firstLine="643"/>
        <w:textAlignment w:val="auto"/>
        <w:rPr>
          <w:color w:val="auto"/>
        </w:rPr>
      </w:pPr>
      <w:bookmarkStart w:id="17" w:name="_Toc18474"/>
      <w:bookmarkStart w:id="18" w:name="_Toc18573"/>
      <w:r>
        <w:rPr>
          <w:rFonts w:hint="eastAsia"/>
          <w:color w:val="auto"/>
        </w:rPr>
        <w:t>（一）主要经验及做法</w:t>
      </w:r>
      <w:bookmarkEnd w:id="17"/>
      <w:bookmarkEnd w:id="18"/>
    </w:p>
    <w:p w14:paraId="58FD89C0">
      <w:pPr>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32"/>
        </w:rPr>
      </w:pPr>
      <w:r>
        <w:rPr>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14:paraId="75113651">
      <w:pPr>
        <w:pageBreakBefore w:val="0"/>
        <w:widowControl w:val="0"/>
        <w:kinsoku/>
        <w:wordWrap/>
        <w:overflowPunct/>
        <w:topLinePunct w:val="0"/>
        <w:autoSpaceDE/>
        <w:autoSpaceDN/>
        <w:bidi w:val="0"/>
        <w:adjustRightInd/>
        <w:snapToGrid/>
        <w:spacing w:line="560" w:lineRule="exact"/>
        <w:ind w:firstLine="640"/>
        <w:textAlignment w:val="auto"/>
        <w:rPr>
          <w:color w:val="auto"/>
          <w:sz w:val="32"/>
        </w:rPr>
      </w:pPr>
      <w:r>
        <w:rPr>
          <w:color w:val="auto"/>
          <w:sz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CCF6A86">
      <w:pPr>
        <w:pageBreakBefore w:val="0"/>
        <w:widowControl w:val="0"/>
        <w:kinsoku/>
        <w:wordWrap/>
        <w:overflowPunct/>
        <w:topLinePunct w:val="0"/>
        <w:autoSpaceDE/>
        <w:autoSpaceDN/>
        <w:bidi w:val="0"/>
        <w:adjustRightInd/>
        <w:snapToGrid/>
        <w:spacing w:line="560" w:lineRule="exact"/>
        <w:ind w:firstLine="640"/>
        <w:textAlignment w:val="auto"/>
        <w:rPr>
          <w:color w:val="auto"/>
          <w:sz w:val="32"/>
        </w:rPr>
      </w:pPr>
      <w:r>
        <w:rPr>
          <w:rFonts w:hint="eastAsia"/>
          <w:color w:val="auto"/>
          <w:sz w:val="32"/>
        </w:rPr>
        <w:t>保障长期稳定开展自治区工业和信息化培训中心各项业务，稳定人员队伍，同时也保障各项业务顺利开展。弥补人员在自治区工业和信息培训中心工作时间较长，各项业务熟悉，对以后的业务拓展和提高也奠定一定的基础。</w:t>
      </w:r>
    </w:p>
    <w:p w14:paraId="7368591C">
      <w:pPr>
        <w:pStyle w:val="4"/>
        <w:pageBreakBefore w:val="0"/>
        <w:widowControl w:val="0"/>
        <w:kinsoku/>
        <w:wordWrap/>
        <w:overflowPunct/>
        <w:topLinePunct w:val="0"/>
        <w:autoSpaceDE/>
        <w:autoSpaceDN/>
        <w:bidi w:val="0"/>
        <w:adjustRightInd/>
        <w:snapToGrid/>
        <w:spacing w:line="560" w:lineRule="exact"/>
        <w:ind w:firstLine="643"/>
        <w:textAlignment w:val="auto"/>
        <w:rPr>
          <w:color w:val="auto"/>
        </w:rPr>
      </w:pPr>
      <w:bookmarkStart w:id="19" w:name="_Toc26592"/>
      <w:bookmarkStart w:id="20" w:name="_Toc12765"/>
      <w:r>
        <w:rPr>
          <w:rFonts w:hint="eastAsia"/>
          <w:color w:val="auto"/>
        </w:rPr>
        <w:t>（二）存在的问题及原因分析</w:t>
      </w:r>
      <w:bookmarkEnd w:id="19"/>
      <w:bookmarkEnd w:id="20"/>
    </w:p>
    <w:p w14:paraId="53515D77">
      <w:pPr>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28"/>
          <w14:textFill>
            <w14:solidFill>
              <w14:schemeClr w14:val="tx1"/>
            </w14:solidFill>
          </w14:textFill>
        </w:rPr>
      </w:pPr>
      <w:r>
        <w:rPr>
          <w:rFonts w:hint="eastAsia"/>
          <w:color w:val="000000" w:themeColor="text1"/>
          <w:sz w:val="32"/>
          <w:szCs w:val="28"/>
          <w14:textFill>
            <w14:solidFill>
              <w14:schemeClr w14:val="tx1"/>
            </w14:solidFill>
          </w14:textFill>
        </w:rPr>
        <w:t>1、存在预算整体支出绩效目标与产出的数量指标、质量指标缺乏对应性，关联性和可操作性不强。</w:t>
      </w:r>
    </w:p>
    <w:p w14:paraId="158706B7">
      <w:pPr>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28"/>
          <w14:textFill>
            <w14:solidFill>
              <w14:schemeClr w14:val="tx1"/>
            </w14:solidFill>
          </w14:textFill>
        </w:rPr>
      </w:pPr>
      <w:r>
        <w:rPr>
          <w:rFonts w:hint="eastAsia"/>
          <w:color w:val="000000" w:themeColor="text1"/>
          <w:sz w:val="32"/>
          <w:szCs w:val="28"/>
          <w14:textFill>
            <w14:solidFill>
              <w14:schemeClr w14:val="tx1"/>
            </w14:solidFill>
          </w14:textFill>
        </w:rPr>
        <w:t>2、存在对项目绩效目标的设定和各项指标的理解、认识不到位，导致项目绩效目标不够明确、不够细化、不够量化、缺乏可衡量性和可实现性。</w:t>
      </w:r>
    </w:p>
    <w:p w14:paraId="2E148385">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eastAsiaTheme="majorEastAsia"/>
          <w:color w:val="000000" w:themeColor="text1"/>
          <w:lang w:val="en-US" w:eastAsia="zh-CN"/>
          <w14:textFill>
            <w14:solidFill>
              <w14:schemeClr w14:val="tx1"/>
            </w14:solidFill>
          </w14:textFill>
        </w:rPr>
      </w:pPr>
      <w:r>
        <w:rPr>
          <w:rFonts w:hint="eastAsia"/>
          <w:color w:val="000000" w:themeColor="text1"/>
          <w:sz w:val="32"/>
          <w:szCs w:val="28"/>
          <w14:textFill>
            <w14:solidFill>
              <w14:schemeClr w14:val="tx1"/>
            </w14:solidFill>
          </w14:textFill>
        </w:rPr>
        <w:t>3、预算编制和执行存在差异，部分项目未按预算批复的明细项目使用，不仅损害了预算的严肃性，而且给预算绩效评价带来困难。</w:t>
      </w:r>
    </w:p>
    <w:p w14:paraId="5CFA85C3">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黑体" w:hAnsi="黑体" w:eastAsia="黑体"/>
          <w:sz w:val="32"/>
          <w:szCs w:val="32"/>
        </w:rPr>
      </w:pPr>
      <w:r>
        <w:rPr>
          <w:rFonts w:hint="eastAsia" w:ascii="黑体" w:hAnsi="黑体" w:eastAsia="黑体"/>
          <w:sz w:val="32"/>
          <w:szCs w:val="32"/>
          <w:lang w:eastAsia="zh-CN"/>
        </w:rPr>
        <w:t>七</w:t>
      </w:r>
      <w:r>
        <w:rPr>
          <w:rFonts w:hint="eastAsia" w:ascii="黑体" w:hAnsi="黑体" w:eastAsia="黑体"/>
          <w:sz w:val="32"/>
          <w:szCs w:val="32"/>
        </w:rPr>
        <w:t>、有关建议</w:t>
      </w:r>
    </w:p>
    <w:p w14:paraId="069E5CC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auto"/>
          <w:sz w:val="32"/>
          <w:szCs w:val="28"/>
        </w:rPr>
      </w:pPr>
      <w:r>
        <w:rPr>
          <w:rFonts w:hint="eastAsia"/>
          <w:color w:val="auto"/>
          <w:sz w:val="32"/>
          <w:szCs w:val="28"/>
        </w:rPr>
        <w:t>弥补人员经费支出是长期的项目，后续根据项目资金的管理办法和人员管理办法，依照执行。</w:t>
      </w:r>
    </w:p>
    <w:p w14:paraId="112A21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color w:val="auto"/>
          <w:sz w:val="32"/>
          <w:szCs w:val="28"/>
        </w:rPr>
        <w:t>专项业务费为考试考务</w:t>
      </w:r>
      <w:r>
        <w:rPr>
          <w:color w:val="auto"/>
          <w:sz w:val="32"/>
          <w:szCs w:val="28"/>
        </w:rPr>
        <w:t>业务上缴财政专户（</w:t>
      </w:r>
      <w:r>
        <w:rPr>
          <w:rFonts w:hint="eastAsia"/>
          <w:color w:val="auto"/>
          <w:sz w:val="32"/>
          <w:szCs w:val="28"/>
        </w:rPr>
        <w:t>教育</w:t>
      </w:r>
      <w:r>
        <w:rPr>
          <w:color w:val="auto"/>
          <w:sz w:val="32"/>
          <w:szCs w:val="28"/>
        </w:rPr>
        <w:t>收费）</w:t>
      </w:r>
      <w:r>
        <w:rPr>
          <w:rFonts w:hint="eastAsia"/>
          <w:color w:val="auto"/>
          <w:sz w:val="32"/>
          <w:szCs w:val="28"/>
        </w:rPr>
        <w:t>的预算资金，跟当前年度考试考务</w:t>
      </w:r>
      <w:r>
        <w:rPr>
          <w:color w:val="auto"/>
          <w:sz w:val="32"/>
          <w:szCs w:val="28"/>
        </w:rPr>
        <w:t>收费</w:t>
      </w:r>
      <w:r>
        <w:rPr>
          <w:rFonts w:hint="eastAsia"/>
          <w:color w:val="auto"/>
          <w:sz w:val="32"/>
          <w:szCs w:val="28"/>
        </w:rPr>
        <w:t>收缴进度息息相关，后期自治区工业和信息化培训中心将提高考试考务</w:t>
      </w:r>
      <w:r>
        <w:rPr>
          <w:color w:val="auto"/>
          <w:sz w:val="32"/>
          <w:szCs w:val="28"/>
        </w:rPr>
        <w:t>业务</w:t>
      </w:r>
      <w:r>
        <w:rPr>
          <w:rFonts w:hint="eastAsia"/>
          <w:color w:val="auto"/>
          <w:sz w:val="32"/>
          <w:szCs w:val="28"/>
        </w:rPr>
        <w:t>收缴力度，提前谋划，高效组织，确保考务费应收尽收。</w:t>
      </w:r>
    </w:p>
    <w:p w14:paraId="01A10718">
      <w:pPr>
        <w:numPr>
          <w:ilvl w:val="0"/>
          <w:numId w:val="0"/>
        </w:numPr>
        <w:spacing w:line="600" w:lineRule="exact"/>
        <w:ind w:leftChars="200"/>
        <w:rPr>
          <w:rFonts w:hint="eastAsia" w:ascii="黑体" w:hAnsi="黑体" w:eastAsia="黑体"/>
          <w:sz w:val="32"/>
          <w:szCs w:val="32"/>
        </w:rPr>
      </w:pPr>
      <w:r>
        <w:rPr>
          <w:rFonts w:hint="eastAsia" w:ascii="黑体" w:hAnsi="黑体" w:eastAsia="黑体"/>
          <w:sz w:val="32"/>
          <w:szCs w:val="32"/>
          <w:lang w:eastAsia="zh-CN"/>
        </w:rPr>
        <w:t>八、</w:t>
      </w:r>
      <w:r>
        <w:rPr>
          <w:rFonts w:hint="eastAsia" w:ascii="黑体" w:hAnsi="黑体" w:eastAsia="黑体"/>
          <w:sz w:val="32"/>
          <w:szCs w:val="32"/>
        </w:rPr>
        <w:t>其他需要说明的问题</w:t>
      </w:r>
    </w:p>
    <w:p w14:paraId="15E4D6D3">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14:paraId="20D7B047">
      <w:pPr>
        <w:rPr>
          <w:rFonts w:hint="eastAsia"/>
          <w:lang w:val="en-US" w:eastAsia="zh-CN"/>
        </w:rPr>
      </w:pPr>
    </w:p>
    <w:p w14:paraId="0C3FED80">
      <w:pPr>
        <w:rPr>
          <w:rFonts w:hint="eastAsia"/>
          <w:lang w:val="en-US" w:eastAsia="zh-CN"/>
        </w:rPr>
      </w:pPr>
    </w:p>
    <w:p w14:paraId="584FC14B">
      <w:pPr>
        <w:pStyle w:val="2"/>
        <w:rPr>
          <w:rFonts w:hint="eastAsia"/>
          <w:lang w:val="en-US" w:eastAsia="zh-CN"/>
        </w:rPr>
      </w:pPr>
    </w:p>
    <w:p w14:paraId="1792E32A">
      <w:pPr>
        <w:pStyle w:val="3"/>
        <w:ind w:firstLine="0" w:firstLineChars="0"/>
        <w:rPr>
          <w:color w:val="auto"/>
        </w:rPr>
      </w:pPr>
      <w:bookmarkStart w:id="21" w:name="_Toc1426"/>
      <w:bookmarkStart w:id="22" w:name="_Toc10459"/>
      <w:bookmarkStart w:id="23" w:name="_Toc2300"/>
      <w:bookmarkStart w:id="24" w:name="_Toc11976"/>
      <w:bookmarkStart w:id="25" w:name="_Toc24488"/>
      <w:bookmarkStart w:id="28" w:name="_GoBack"/>
      <w:bookmarkEnd w:id="28"/>
      <w:r>
        <w:rPr>
          <w:color w:val="auto"/>
        </w:rPr>
        <w:t>附件1</w:t>
      </w:r>
      <w:bookmarkEnd w:id="21"/>
      <w:bookmarkEnd w:id="22"/>
      <w:bookmarkEnd w:id="23"/>
      <w:bookmarkEnd w:id="24"/>
      <w:bookmarkEnd w:id="25"/>
    </w:p>
    <w:p w14:paraId="4121DE9A">
      <w:pPr>
        <w:pStyle w:val="16"/>
        <w:ind w:firstLine="562"/>
        <w:jc w:val="center"/>
        <w:rPr>
          <w:sz w:val="28"/>
          <w:szCs w:val="40"/>
        </w:rPr>
      </w:pPr>
      <w:bookmarkStart w:id="26" w:name="_Toc30064_WPSOffice_Level1"/>
      <w:bookmarkStart w:id="27" w:name="_Toc26499_WPSOffice_Level2"/>
      <w:r>
        <w:rPr>
          <w:rFonts w:hint="eastAsia"/>
          <w:b/>
          <w:bCs/>
          <w:sz w:val="28"/>
          <w:szCs w:val="40"/>
          <w:lang w:val="en-US" w:eastAsia="zh-CN"/>
        </w:rPr>
        <w:t>弥补人员经费支出</w:t>
      </w:r>
      <w:r>
        <w:rPr>
          <w:rFonts w:hint="eastAsia"/>
          <w:b/>
          <w:bCs/>
          <w:sz w:val="28"/>
          <w:szCs w:val="40"/>
        </w:rPr>
        <w:t>项目绩效评价指标体系及综合评分表</w:t>
      </w:r>
      <w:bookmarkEnd w:id="26"/>
      <w:bookmarkEnd w:id="27"/>
    </w:p>
    <w:p w14:paraId="55F2320B"/>
    <w:tbl>
      <w:tblPr>
        <w:tblStyle w:val="13"/>
        <w:tblW w:w="4997"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86"/>
        <w:gridCol w:w="1040"/>
        <w:gridCol w:w="1002"/>
        <w:gridCol w:w="1942"/>
        <w:gridCol w:w="2868"/>
        <w:gridCol w:w="618"/>
        <w:gridCol w:w="599"/>
      </w:tblGrid>
      <w:tr w14:paraId="083F20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692" w:hRule="atLeast"/>
          <w:tblHeader/>
          <w:jc w:val="center"/>
        </w:trPr>
        <w:tc>
          <w:tcPr>
            <w:tcW w:w="544" w:type="pct"/>
            <w:shd w:val="clear" w:color="auto" w:fill="FFFFFF"/>
            <w:vAlign w:val="center"/>
          </w:tcPr>
          <w:p w14:paraId="7C6E5549">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一级指标</w:t>
            </w:r>
          </w:p>
        </w:tc>
        <w:tc>
          <w:tcPr>
            <w:tcW w:w="574" w:type="pct"/>
            <w:shd w:val="clear" w:color="auto" w:fill="FFFFFF"/>
            <w:vAlign w:val="center"/>
          </w:tcPr>
          <w:p w14:paraId="1F3640A7">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二级指标</w:t>
            </w:r>
          </w:p>
        </w:tc>
        <w:tc>
          <w:tcPr>
            <w:tcW w:w="553" w:type="pct"/>
            <w:shd w:val="clear" w:color="auto" w:fill="FFFFFF"/>
            <w:vAlign w:val="center"/>
          </w:tcPr>
          <w:p w14:paraId="2F1DA801">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三级指标</w:t>
            </w:r>
          </w:p>
        </w:tc>
        <w:tc>
          <w:tcPr>
            <w:tcW w:w="1072" w:type="pct"/>
            <w:shd w:val="clear" w:color="auto" w:fill="FFFFFF"/>
            <w:vAlign w:val="center"/>
          </w:tcPr>
          <w:p w14:paraId="05EDB22F">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指标解释</w:t>
            </w:r>
          </w:p>
        </w:tc>
        <w:tc>
          <w:tcPr>
            <w:tcW w:w="1583" w:type="pct"/>
            <w:shd w:val="clear" w:color="auto" w:fill="FFFFFF"/>
            <w:vAlign w:val="center"/>
          </w:tcPr>
          <w:p w14:paraId="62582044">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指标说明</w:t>
            </w:r>
          </w:p>
        </w:tc>
        <w:tc>
          <w:tcPr>
            <w:tcW w:w="341" w:type="pct"/>
            <w:shd w:val="clear" w:color="auto" w:fill="FFFFFF"/>
            <w:vAlign w:val="center"/>
          </w:tcPr>
          <w:p w14:paraId="768DCF59">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权重</w:t>
            </w:r>
          </w:p>
        </w:tc>
        <w:tc>
          <w:tcPr>
            <w:tcW w:w="330" w:type="pct"/>
            <w:shd w:val="clear" w:color="auto" w:fill="FFFFFF"/>
            <w:vAlign w:val="center"/>
          </w:tcPr>
          <w:p w14:paraId="2A75DCE2">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得分</w:t>
            </w:r>
          </w:p>
        </w:tc>
      </w:tr>
      <w:tr w14:paraId="712433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544" w:type="pct"/>
            <w:vMerge w:val="restart"/>
            <w:shd w:val="clear" w:color="auto" w:fill="FFFFFF"/>
            <w:vAlign w:val="center"/>
          </w:tcPr>
          <w:p w14:paraId="3604FF26">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决策　</w:t>
            </w:r>
          </w:p>
          <w:p w14:paraId="2B3662B9">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p w14:paraId="3E41156D">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574" w:type="pct"/>
            <w:vMerge w:val="restart"/>
            <w:shd w:val="clear" w:color="auto" w:fill="FFFFFF"/>
            <w:vAlign w:val="center"/>
          </w:tcPr>
          <w:p w14:paraId="1CEF75A6">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项目立项　</w:t>
            </w:r>
          </w:p>
        </w:tc>
        <w:tc>
          <w:tcPr>
            <w:tcW w:w="553" w:type="pct"/>
            <w:shd w:val="clear" w:color="auto" w:fill="FFFFFF"/>
            <w:vAlign w:val="center"/>
          </w:tcPr>
          <w:p w14:paraId="32F65A3E">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立项依据</w:t>
            </w:r>
          </w:p>
          <w:p w14:paraId="7AB72666">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充分性</w:t>
            </w:r>
          </w:p>
        </w:tc>
        <w:tc>
          <w:tcPr>
            <w:tcW w:w="1072" w:type="pct"/>
            <w:shd w:val="clear" w:color="auto" w:fill="FFFFFF"/>
            <w:vAlign w:val="center"/>
          </w:tcPr>
          <w:p w14:paraId="541E8F33">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项目立项是否符合法律法规、相关政策、发展规划以及部门职责，用以反映和考核项目立项依据情况。</w:t>
            </w:r>
          </w:p>
        </w:tc>
        <w:tc>
          <w:tcPr>
            <w:tcW w:w="1583" w:type="pct"/>
            <w:shd w:val="clear" w:color="auto" w:fill="FFFFFF"/>
            <w:vAlign w:val="center"/>
          </w:tcPr>
          <w:p w14:paraId="2C8B5AE3">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评价要点：</w:t>
            </w:r>
          </w:p>
          <w:p w14:paraId="19150A72">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①项目立项是否符合国家法律法规、国民经济发展规划和相关政策；</w:t>
            </w:r>
          </w:p>
          <w:p w14:paraId="42731608">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②项目立项是否符合行业发展规划和政策要求；</w:t>
            </w:r>
          </w:p>
          <w:p w14:paraId="4B617D06">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③项目立项是否与部门职责范围相符，属于部门履职所需；</w:t>
            </w:r>
          </w:p>
          <w:p w14:paraId="001C90DC">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④项目是否属于公共财政支持范围，是否符合中央、地方事权支出责任划分原则；</w:t>
            </w:r>
          </w:p>
          <w:p w14:paraId="543B2CB1">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⑤项目是否与相关部门同类项目或部门内部相关项目重复。</w:t>
            </w:r>
          </w:p>
        </w:tc>
        <w:tc>
          <w:tcPr>
            <w:tcW w:w="341" w:type="pct"/>
            <w:shd w:val="clear" w:color="auto" w:fill="FFFFFF"/>
            <w:vAlign w:val="center"/>
          </w:tcPr>
          <w:p w14:paraId="38194BC5">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330" w:type="pct"/>
            <w:shd w:val="clear" w:color="auto" w:fill="FFFFFF"/>
            <w:vAlign w:val="center"/>
          </w:tcPr>
          <w:p w14:paraId="5C9CF20D">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14:paraId="75888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44" w:type="pct"/>
            <w:vMerge w:val="continue"/>
            <w:shd w:val="clear" w:color="auto" w:fill="FFFFFF"/>
            <w:vAlign w:val="center"/>
          </w:tcPr>
          <w:p w14:paraId="7398E604">
            <w:pPr>
              <w:spacing w:line="0" w:lineRule="atLeast"/>
              <w:ind w:firstLine="0" w:firstLineChars="0"/>
              <w:jc w:val="center"/>
              <w:rPr>
                <w:rFonts w:ascii="宋体" w:hAnsi="宋体" w:eastAsia="宋体" w:cs="宋体"/>
                <w:color w:val="auto"/>
                <w:kern w:val="0"/>
                <w:sz w:val="18"/>
                <w:szCs w:val="18"/>
              </w:rPr>
            </w:pPr>
          </w:p>
        </w:tc>
        <w:tc>
          <w:tcPr>
            <w:tcW w:w="574" w:type="pct"/>
            <w:vMerge w:val="continue"/>
            <w:shd w:val="clear" w:color="auto" w:fill="FFFFFF"/>
            <w:vAlign w:val="center"/>
          </w:tcPr>
          <w:p w14:paraId="06CF3861">
            <w:pPr>
              <w:widowControl/>
              <w:spacing w:line="0" w:lineRule="atLeast"/>
              <w:ind w:firstLine="0" w:firstLineChars="0"/>
              <w:jc w:val="center"/>
              <w:rPr>
                <w:rFonts w:ascii="宋体" w:hAnsi="宋体" w:eastAsia="宋体" w:cs="宋体"/>
                <w:color w:val="auto"/>
                <w:kern w:val="0"/>
                <w:sz w:val="18"/>
                <w:szCs w:val="18"/>
              </w:rPr>
            </w:pPr>
          </w:p>
        </w:tc>
        <w:tc>
          <w:tcPr>
            <w:tcW w:w="553" w:type="pct"/>
            <w:shd w:val="clear" w:color="auto" w:fill="FFFFFF"/>
            <w:vAlign w:val="center"/>
          </w:tcPr>
          <w:p w14:paraId="2DE34FA4">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立项程序</w:t>
            </w:r>
          </w:p>
          <w:p w14:paraId="7452EFAE">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规范性</w:t>
            </w:r>
          </w:p>
        </w:tc>
        <w:tc>
          <w:tcPr>
            <w:tcW w:w="1072" w:type="pct"/>
            <w:shd w:val="clear" w:color="auto" w:fill="FFFFFF"/>
            <w:vAlign w:val="center"/>
          </w:tcPr>
          <w:p w14:paraId="6529BF86">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项目申请、设立过程是否符合相关要求，用以反映和考核项目立项的规范情况。</w:t>
            </w:r>
          </w:p>
        </w:tc>
        <w:tc>
          <w:tcPr>
            <w:tcW w:w="1583" w:type="pct"/>
            <w:shd w:val="clear" w:color="auto" w:fill="FFFFFF"/>
            <w:vAlign w:val="center"/>
          </w:tcPr>
          <w:p w14:paraId="0360A369">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评价要点：</w:t>
            </w:r>
          </w:p>
          <w:p w14:paraId="3D94FF25">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①项目是否按照规定的程序申请设立；</w:t>
            </w:r>
          </w:p>
          <w:p w14:paraId="46AB3C78">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②审批文件、材料是否符合相关要求；</w:t>
            </w:r>
          </w:p>
          <w:p w14:paraId="0551C71C">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③事前是否已经过必要的可行性研究、专家论证、风险评估、绩效评估、集体决策。</w:t>
            </w:r>
          </w:p>
        </w:tc>
        <w:tc>
          <w:tcPr>
            <w:tcW w:w="341" w:type="pct"/>
            <w:shd w:val="clear" w:color="auto" w:fill="FFFFFF"/>
            <w:vAlign w:val="center"/>
          </w:tcPr>
          <w:p w14:paraId="3CA0881F">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330" w:type="pct"/>
            <w:shd w:val="clear" w:color="auto" w:fill="FFFFFF"/>
            <w:vAlign w:val="center"/>
          </w:tcPr>
          <w:p w14:paraId="2B9BC377">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14:paraId="6CD93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44" w:type="pct"/>
            <w:vMerge w:val="continue"/>
            <w:shd w:val="clear" w:color="auto" w:fill="FFFFFF"/>
            <w:vAlign w:val="center"/>
          </w:tcPr>
          <w:p w14:paraId="07EE6FBA">
            <w:pPr>
              <w:spacing w:line="0" w:lineRule="atLeast"/>
              <w:ind w:firstLine="0" w:firstLineChars="0"/>
              <w:jc w:val="center"/>
              <w:rPr>
                <w:rFonts w:ascii="宋体" w:hAnsi="宋体" w:eastAsia="宋体" w:cs="宋体"/>
                <w:color w:val="auto"/>
                <w:kern w:val="0"/>
                <w:sz w:val="18"/>
                <w:szCs w:val="18"/>
              </w:rPr>
            </w:pPr>
          </w:p>
        </w:tc>
        <w:tc>
          <w:tcPr>
            <w:tcW w:w="574" w:type="pct"/>
            <w:shd w:val="clear" w:color="auto" w:fill="FFFFFF"/>
            <w:vAlign w:val="center"/>
          </w:tcPr>
          <w:p w14:paraId="6DA3E677">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绩效目标　</w:t>
            </w:r>
          </w:p>
        </w:tc>
        <w:tc>
          <w:tcPr>
            <w:tcW w:w="553" w:type="pct"/>
            <w:shd w:val="clear" w:color="auto" w:fill="FFFFFF"/>
            <w:vAlign w:val="center"/>
          </w:tcPr>
          <w:p w14:paraId="02A8BB1E">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绩效目标</w:t>
            </w:r>
          </w:p>
          <w:p w14:paraId="60621D35">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合理性</w:t>
            </w:r>
          </w:p>
        </w:tc>
        <w:tc>
          <w:tcPr>
            <w:tcW w:w="1072" w:type="pct"/>
            <w:shd w:val="clear" w:color="000000" w:fill="FFFFFF"/>
            <w:vAlign w:val="center"/>
          </w:tcPr>
          <w:p w14:paraId="2F73D7D5">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项目所设定的绩效目标是否依据充分，是否符合客观实际，用以反映和考核项目绩效目标与项目实施的相符情况。</w:t>
            </w:r>
          </w:p>
        </w:tc>
        <w:tc>
          <w:tcPr>
            <w:tcW w:w="1583" w:type="pct"/>
            <w:shd w:val="clear" w:color="000000" w:fill="FFFFFF"/>
            <w:vAlign w:val="center"/>
          </w:tcPr>
          <w:p w14:paraId="6499E4D8">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评价要点：</w:t>
            </w:r>
          </w:p>
          <w:p w14:paraId="1E4C77AC">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（如未设定预算绩效目标，也可考核其他工作任务目标）</w:t>
            </w:r>
          </w:p>
          <w:p w14:paraId="08D899F4">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①项目是否有绩效目标；</w:t>
            </w:r>
          </w:p>
          <w:p w14:paraId="5C0F7AEA">
            <w:pPr>
              <w:widowControl/>
              <w:spacing w:line="0" w:lineRule="atLeast"/>
              <w:ind w:firstLine="0" w:firstLineChars="0"/>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②项目绩效目标与实际工作内容是否具有相关性；</w:t>
            </w:r>
          </w:p>
          <w:p w14:paraId="0E00D9F8">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③项目预期产出效益和效果是否符合正常的业绩水平；</w:t>
            </w:r>
          </w:p>
          <w:p w14:paraId="069E89C7">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④是否与预算确定的项目投资额或资金量相匹配。</w:t>
            </w:r>
          </w:p>
        </w:tc>
        <w:tc>
          <w:tcPr>
            <w:tcW w:w="341" w:type="pct"/>
            <w:shd w:val="clear" w:color="000000" w:fill="FFFFFF"/>
            <w:vAlign w:val="center"/>
          </w:tcPr>
          <w:p w14:paraId="7323B93E">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000000" w:fill="FFFFFF"/>
            <w:vAlign w:val="center"/>
          </w:tcPr>
          <w:p w14:paraId="61A9D438">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14:paraId="55C94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544" w:type="pct"/>
            <w:vMerge w:val="restart"/>
            <w:shd w:val="clear" w:color="auto" w:fill="FFFFFF"/>
            <w:vAlign w:val="center"/>
          </w:tcPr>
          <w:p w14:paraId="499C2A91">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决策　</w:t>
            </w:r>
          </w:p>
        </w:tc>
        <w:tc>
          <w:tcPr>
            <w:tcW w:w="574" w:type="pct"/>
            <w:shd w:val="clear" w:color="auto" w:fill="FFFFFF"/>
            <w:vAlign w:val="center"/>
          </w:tcPr>
          <w:p w14:paraId="1D42DF7E">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绩效目标</w:t>
            </w:r>
          </w:p>
        </w:tc>
        <w:tc>
          <w:tcPr>
            <w:tcW w:w="553" w:type="pct"/>
            <w:shd w:val="clear" w:color="auto" w:fill="FFFFFF"/>
            <w:vAlign w:val="center"/>
          </w:tcPr>
          <w:p w14:paraId="23D9BC3D">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绩效指标</w:t>
            </w:r>
          </w:p>
          <w:p w14:paraId="4166A582">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明确性</w:t>
            </w:r>
          </w:p>
        </w:tc>
        <w:tc>
          <w:tcPr>
            <w:tcW w:w="1072" w:type="pct"/>
            <w:shd w:val="clear" w:color="000000" w:fill="FFFFFF"/>
            <w:vAlign w:val="center"/>
          </w:tcPr>
          <w:p w14:paraId="4F5CC98E">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依据绩效目标设定的绩效指标是否清晰、细化、可衡量等，用以反映和考核项目绩效目标的明细化情况。</w:t>
            </w:r>
          </w:p>
        </w:tc>
        <w:tc>
          <w:tcPr>
            <w:tcW w:w="1583" w:type="pct"/>
            <w:shd w:val="clear" w:color="000000" w:fill="FFFFFF"/>
            <w:vAlign w:val="center"/>
          </w:tcPr>
          <w:p w14:paraId="22108A4D">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评价要点：</w:t>
            </w:r>
          </w:p>
          <w:p w14:paraId="12B9D819">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①是否将项目绩效目标细化分解为具体的绩效指标；</w:t>
            </w:r>
          </w:p>
          <w:p w14:paraId="0D8897D3">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②是否通过清晰、可衡量的指标值予以体现；</w:t>
            </w:r>
          </w:p>
          <w:p w14:paraId="5D21A782">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③是否与项目目标任务数或计划数相对应。</w:t>
            </w:r>
          </w:p>
          <w:p w14:paraId="52EAE58A">
            <w:pPr>
              <w:pStyle w:val="2"/>
              <w:rPr>
                <w:rFonts w:hint="eastAsia"/>
                <w:lang w:eastAsia="zh-CN"/>
              </w:rPr>
            </w:pPr>
          </w:p>
        </w:tc>
        <w:tc>
          <w:tcPr>
            <w:tcW w:w="341" w:type="pct"/>
            <w:shd w:val="clear" w:color="000000" w:fill="FFFFFF"/>
            <w:vAlign w:val="center"/>
          </w:tcPr>
          <w:p w14:paraId="165B8394">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330" w:type="pct"/>
            <w:shd w:val="clear" w:color="000000" w:fill="FFFFFF"/>
            <w:vAlign w:val="center"/>
          </w:tcPr>
          <w:p w14:paraId="125D0F6C">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14:paraId="642EB7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544" w:type="pct"/>
            <w:vMerge w:val="continue"/>
            <w:shd w:val="clear" w:color="auto" w:fill="FFFFFF"/>
            <w:vAlign w:val="center"/>
          </w:tcPr>
          <w:p w14:paraId="2C95CF02">
            <w:pPr>
              <w:spacing w:line="0" w:lineRule="atLeast"/>
              <w:ind w:firstLine="0" w:firstLineChars="0"/>
              <w:jc w:val="center"/>
              <w:rPr>
                <w:rFonts w:ascii="宋体" w:hAnsi="宋体" w:eastAsia="宋体" w:cs="宋体"/>
                <w:color w:val="auto"/>
                <w:kern w:val="0"/>
                <w:sz w:val="18"/>
                <w:szCs w:val="18"/>
              </w:rPr>
            </w:pPr>
          </w:p>
        </w:tc>
        <w:tc>
          <w:tcPr>
            <w:tcW w:w="574" w:type="pct"/>
            <w:vMerge w:val="restart"/>
            <w:shd w:val="clear" w:color="auto" w:fill="FFFFFF"/>
            <w:vAlign w:val="center"/>
          </w:tcPr>
          <w:p w14:paraId="2CA8FC09">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资金投入</w:t>
            </w:r>
          </w:p>
          <w:p w14:paraId="31859BD9">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553" w:type="pct"/>
            <w:shd w:val="clear" w:color="auto" w:fill="FFFFFF"/>
            <w:vAlign w:val="center"/>
          </w:tcPr>
          <w:p w14:paraId="6371E8D2">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预算编制</w:t>
            </w:r>
          </w:p>
          <w:p w14:paraId="6E681683">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科学性</w:t>
            </w:r>
          </w:p>
        </w:tc>
        <w:tc>
          <w:tcPr>
            <w:tcW w:w="1072" w:type="pct"/>
            <w:shd w:val="clear" w:color="auto" w:fill="FFFFFF"/>
            <w:vAlign w:val="center"/>
          </w:tcPr>
          <w:p w14:paraId="01D8F977">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项目预算编制是否经过科学论证、有明确标准，资金额度与年度目标是否相适应，用以反映和考核项目预算编制的科学性、合理性情况。</w:t>
            </w:r>
          </w:p>
        </w:tc>
        <w:tc>
          <w:tcPr>
            <w:tcW w:w="1583" w:type="pct"/>
            <w:shd w:val="clear" w:color="auto" w:fill="FFFFFF"/>
            <w:vAlign w:val="center"/>
          </w:tcPr>
          <w:p w14:paraId="261189D0">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评价要点：</w:t>
            </w:r>
          </w:p>
          <w:p w14:paraId="740783B6">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①预算编制是否经过科学论证；</w:t>
            </w:r>
          </w:p>
          <w:p w14:paraId="3C84ECDB">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②预算内容与项目内容是否匹配；</w:t>
            </w:r>
          </w:p>
          <w:p w14:paraId="4E653444">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③预算额度测算依据是否充分，是否按照标准编制；</w:t>
            </w:r>
          </w:p>
          <w:p w14:paraId="6790BC07">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④预算确定的项目投资额或资金量是否与工作任务相匹配。</w:t>
            </w:r>
          </w:p>
        </w:tc>
        <w:tc>
          <w:tcPr>
            <w:tcW w:w="341" w:type="pct"/>
            <w:shd w:val="clear" w:color="auto" w:fill="FFFFFF"/>
            <w:vAlign w:val="center"/>
          </w:tcPr>
          <w:p w14:paraId="6EFC5056">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auto" w:fill="FFFFFF"/>
            <w:vAlign w:val="center"/>
          </w:tcPr>
          <w:p w14:paraId="0B768A1F">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14:paraId="4F8649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544" w:type="pct"/>
            <w:vMerge w:val="continue"/>
            <w:shd w:val="clear" w:color="auto" w:fill="FFFFFF"/>
            <w:vAlign w:val="center"/>
          </w:tcPr>
          <w:p w14:paraId="6D9AB029">
            <w:pPr>
              <w:widowControl/>
              <w:spacing w:line="0" w:lineRule="atLeast"/>
              <w:ind w:firstLine="0" w:firstLineChars="0"/>
              <w:jc w:val="center"/>
              <w:rPr>
                <w:rFonts w:ascii="宋体" w:hAnsi="宋体" w:eastAsia="宋体" w:cs="宋体"/>
                <w:color w:val="auto"/>
                <w:kern w:val="0"/>
                <w:sz w:val="18"/>
                <w:szCs w:val="18"/>
              </w:rPr>
            </w:pPr>
          </w:p>
        </w:tc>
        <w:tc>
          <w:tcPr>
            <w:tcW w:w="574" w:type="pct"/>
            <w:vMerge w:val="continue"/>
            <w:shd w:val="clear" w:color="auto" w:fill="FFFFFF"/>
            <w:vAlign w:val="center"/>
          </w:tcPr>
          <w:p w14:paraId="55FAFB49">
            <w:pPr>
              <w:widowControl/>
              <w:spacing w:line="0" w:lineRule="atLeast"/>
              <w:ind w:firstLine="0" w:firstLineChars="0"/>
              <w:jc w:val="center"/>
              <w:rPr>
                <w:rFonts w:ascii="宋体" w:hAnsi="宋体" w:eastAsia="宋体" w:cs="宋体"/>
                <w:color w:val="auto"/>
                <w:kern w:val="0"/>
                <w:sz w:val="18"/>
                <w:szCs w:val="18"/>
              </w:rPr>
            </w:pPr>
          </w:p>
        </w:tc>
        <w:tc>
          <w:tcPr>
            <w:tcW w:w="553" w:type="pct"/>
            <w:shd w:val="clear" w:color="auto" w:fill="FFFFFF"/>
            <w:vAlign w:val="center"/>
          </w:tcPr>
          <w:p w14:paraId="2DE50457">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资金分配</w:t>
            </w:r>
          </w:p>
          <w:p w14:paraId="7E25B780">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合理性</w:t>
            </w:r>
          </w:p>
        </w:tc>
        <w:tc>
          <w:tcPr>
            <w:tcW w:w="1072" w:type="pct"/>
            <w:shd w:val="clear" w:color="auto" w:fill="FFFFFF"/>
            <w:vAlign w:val="center"/>
          </w:tcPr>
          <w:p w14:paraId="6C28B5A3">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项目预算资金分配是否有测算依据，与补助单位或地方实际是否相适应，用以反映和考核项目预算资金分配的科学性、合理性情况。</w:t>
            </w:r>
          </w:p>
        </w:tc>
        <w:tc>
          <w:tcPr>
            <w:tcW w:w="1583" w:type="pct"/>
            <w:shd w:val="clear" w:color="auto" w:fill="FFFFFF"/>
            <w:vAlign w:val="center"/>
          </w:tcPr>
          <w:p w14:paraId="7C453E52">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评价要点：</w:t>
            </w:r>
          </w:p>
          <w:p w14:paraId="343D39ED">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①预算资金分配依据是否充分；</w:t>
            </w:r>
          </w:p>
          <w:p w14:paraId="7DFE6960">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②资金分配额度是否合理，与项目单位或地方实际是否相适应。</w:t>
            </w:r>
          </w:p>
        </w:tc>
        <w:tc>
          <w:tcPr>
            <w:tcW w:w="341" w:type="pct"/>
            <w:shd w:val="clear" w:color="auto" w:fill="FFFFFF"/>
            <w:vAlign w:val="center"/>
          </w:tcPr>
          <w:p w14:paraId="2BD123F0">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330" w:type="pct"/>
            <w:shd w:val="clear" w:color="auto" w:fill="FFFFFF"/>
            <w:vAlign w:val="center"/>
          </w:tcPr>
          <w:p w14:paraId="698FA0AD">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14:paraId="23B35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544" w:type="pct"/>
            <w:vMerge w:val="restart"/>
            <w:shd w:val="clear" w:color="auto" w:fill="FFFFFF"/>
            <w:vAlign w:val="center"/>
          </w:tcPr>
          <w:p w14:paraId="78787C48">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过程</w:t>
            </w:r>
          </w:p>
        </w:tc>
        <w:tc>
          <w:tcPr>
            <w:tcW w:w="574" w:type="pct"/>
            <w:vMerge w:val="restart"/>
            <w:shd w:val="clear" w:color="auto" w:fill="FFFFFF"/>
            <w:vAlign w:val="center"/>
          </w:tcPr>
          <w:p w14:paraId="69500B6C">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资金管理</w:t>
            </w:r>
          </w:p>
        </w:tc>
        <w:tc>
          <w:tcPr>
            <w:tcW w:w="553" w:type="pct"/>
            <w:shd w:val="clear" w:color="auto" w:fill="FFFFFF"/>
            <w:vAlign w:val="center"/>
          </w:tcPr>
          <w:p w14:paraId="1DB4A2F1">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资金到位率</w:t>
            </w:r>
          </w:p>
        </w:tc>
        <w:tc>
          <w:tcPr>
            <w:tcW w:w="1072" w:type="pct"/>
            <w:shd w:val="clear" w:color="000000" w:fill="FFFFFF"/>
            <w:vAlign w:val="center"/>
          </w:tcPr>
          <w:p w14:paraId="4D037D85">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实际到位资金与预算资金的比率，用以反映和考核资金落实情况对项目实施的总体保障程度。</w:t>
            </w:r>
          </w:p>
        </w:tc>
        <w:tc>
          <w:tcPr>
            <w:tcW w:w="1583" w:type="pct"/>
            <w:shd w:val="clear" w:color="000000" w:fill="FFFFFF"/>
            <w:vAlign w:val="center"/>
          </w:tcPr>
          <w:p w14:paraId="6E92FC25">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资金到位率=（实际到位资金/预算资金）×100%。</w:t>
            </w:r>
          </w:p>
          <w:p w14:paraId="68DACB8F">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实际到位资金：一定时期（本年度或项目期）内落实到具体项目的资金。</w:t>
            </w:r>
          </w:p>
          <w:p w14:paraId="3DF36BB0">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预算资金：一定时期（本年度或项目期）内预算安排到具体项目的资金。</w:t>
            </w:r>
          </w:p>
        </w:tc>
        <w:tc>
          <w:tcPr>
            <w:tcW w:w="341" w:type="pct"/>
            <w:shd w:val="clear" w:color="000000" w:fill="FFFFFF"/>
            <w:vAlign w:val="center"/>
          </w:tcPr>
          <w:p w14:paraId="2F1C4141">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000000" w:fill="FFFFFF"/>
            <w:vAlign w:val="center"/>
          </w:tcPr>
          <w:p w14:paraId="008F3112">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14:paraId="1DB6A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544" w:type="pct"/>
            <w:vMerge w:val="continue"/>
            <w:shd w:val="clear" w:color="auto" w:fill="FFFFFF"/>
            <w:vAlign w:val="center"/>
          </w:tcPr>
          <w:p w14:paraId="184202E4">
            <w:pPr>
              <w:spacing w:line="0" w:lineRule="atLeast"/>
              <w:ind w:firstLine="0" w:firstLineChars="0"/>
              <w:jc w:val="center"/>
              <w:rPr>
                <w:rFonts w:ascii="宋体" w:hAnsi="宋体" w:eastAsia="宋体" w:cs="宋体"/>
                <w:color w:val="auto"/>
                <w:kern w:val="0"/>
                <w:sz w:val="18"/>
                <w:szCs w:val="18"/>
              </w:rPr>
            </w:pPr>
          </w:p>
        </w:tc>
        <w:tc>
          <w:tcPr>
            <w:tcW w:w="574" w:type="pct"/>
            <w:vMerge w:val="continue"/>
            <w:shd w:val="clear" w:color="auto" w:fill="FFFFFF"/>
            <w:vAlign w:val="center"/>
          </w:tcPr>
          <w:p w14:paraId="02609CB2">
            <w:pPr>
              <w:spacing w:line="0" w:lineRule="atLeast"/>
              <w:ind w:firstLine="0" w:firstLineChars="0"/>
              <w:jc w:val="center"/>
              <w:rPr>
                <w:rFonts w:ascii="宋体" w:hAnsi="宋体" w:eastAsia="宋体" w:cs="宋体"/>
                <w:color w:val="auto"/>
                <w:kern w:val="0"/>
                <w:sz w:val="18"/>
                <w:szCs w:val="18"/>
              </w:rPr>
            </w:pPr>
          </w:p>
        </w:tc>
        <w:tc>
          <w:tcPr>
            <w:tcW w:w="553" w:type="pct"/>
            <w:shd w:val="clear" w:color="auto" w:fill="FFFFFF"/>
            <w:vAlign w:val="center"/>
          </w:tcPr>
          <w:p w14:paraId="08470F9E">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预算执行率</w:t>
            </w:r>
          </w:p>
        </w:tc>
        <w:tc>
          <w:tcPr>
            <w:tcW w:w="1072" w:type="pct"/>
            <w:shd w:val="clear" w:color="auto" w:fill="FFFFFF"/>
            <w:vAlign w:val="center"/>
          </w:tcPr>
          <w:p w14:paraId="2245B59D">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项目预算资金是否按照计划执行，用以反映或考核项目预算执行情况。</w:t>
            </w:r>
          </w:p>
        </w:tc>
        <w:tc>
          <w:tcPr>
            <w:tcW w:w="1583" w:type="pct"/>
            <w:shd w:val="clear" w:color="auto" w:fill="FFFFFF"/>
            <w:vAlign w:val="center"/>
          </w:tcPr>
          <w:p w14:paraId="54216ADB">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预算执行率=（实际支出资金/实际到位资金）×100%。</w:t>
            </w:r>
          </w:p>
          <w:p w14:paraId="75D715A2">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实际支出资金：一定时期（本年度或项目期）内项目实际拨付的资金。</w:t>
            </w:r>
          </w:p>
        </w:tc>
        <w:tc>
          <w:tcPr>
            <w:tcW w:w="341" w:type="pct"/>
            <w:shd w:val="clear" w:color="auto" w:fill="FFFFFF"/>
            <w:vAlign w:val="center"/>
          </w:tcPr>
          <w:p w14:paraId="2593D89C">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auto" w:fill="FFFFFF"/>
            <w:vAlign w:val="center"/>
          </w:tcPr>
          <w:p w14:paraId="7E2D8716">
            <w:pPr>
              <w:widowControl/>
              <w:spacing w:line="0" w:lineRule="atLeast"/>
              <w:ind w:firstLine="0" w:firstLineChars="0"/>
              <w:jc w:val="center"/>
              <w:rPr>
                <w:rFonts w:hint="eastAsia" w:ascii="宋体" w:hAnsi="宋体" w:eastAsia="宋体" w:cs="宋体"/>
                <w:b/>
                <w:bCs/>
                <w:color w:val="auto"/>
                <w:kern w:val="0"/>
                <w:sz w:val="18"/>
                <w:szCs w:val="18"/>
                <w:lang w:eastAsia="zh-CN"/>
              </w:rPr>
            </w:pPr>
            <w:r>
              <w:rPr>
                <w:rFonts w:hint="eastAsia" w:ascii="宋体" w:hAnsi="宋体" w:eastAsia="宋体" w:cs="宋体"/>
                <w:b/>
                <w:bCs/>
                <w:color w:val="auto"/>
                <w:kern w:val="0"/>
                <w:sz w:val="18"/>
                <w:szCs w:val="18"/>
                <w:lang w:val="en-US" w:eastAsia="zh-CN"/>
              </w:rPr>
              <w:t>3</w:t>
            </w:r>
          </w:p>
        </w:tc>
      </w:tr>
      <w:tr w14:paraId="4989C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44" w:type="pct"/>
            <w:vMerge w:val="restart"/>
            <w:shd w:val="clear" w:color="auto" w:fill="FFFFFF"/>
            <w:vAlign w:val="center"/>
          </w:tcPr>
          <w:p w14:paraId="34A5E3BD">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p w14:paraId="2EC73E00">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过程　</w:t>
            </w:r>
          </w:p>
        </w:tc>
        <w:tc>
          <w:tcPr>
            <w:tcW w:w="574" w:type="pct"/>
            <w:shd w:val="clear" w:color="auto" w:fill="FFFFFF"/>
            <w:vAlign w:val="center"/>
          </w:tcPr>
          <w:p w14:paraId="3D934D96">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资金管理</w:t>
            </w:r>
          </w:p>
        </w:tc>
        <w:tc>
          <w:tcPr>
            <w:tcW w:w="553" w:type="pct"/>
            <w:shd w:val="clear" w:color="auto" w:fill="FFFFFF"/>
            <w:vAlign w:val="center"/>
          </w:tcPr>
          <w:p w14:paraId="1AF84E45">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资金使用</w:t>
            </w:r>
          </w:p>
          <w:p w14:paraId="67106BAD">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合规性</w:t>
            </w:r>
          </w:p>
        </w:tc>
        <w:tc>
          <w:tcPr>
            <w:tcW w:w="1072" w:type="pct"/>
            <w:shd w:val="clear" w:color="000000" w:fill="FFFFFF"/>
            <w:vAlign w:val="center"/>
          </w:tcPr>
          <w:p w14:paraId="78BC35E3">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项目资金使用是否符合相关的财务管理制度规定，用以反映和考核项目资金的规范运行情况。</w:t>
            </w:r>
          </w:p>
        </w:tc>
        <w:tc>
          <w:tcPr>
            <w:tcW w:w="1583" w:type="pct"/>
            <w:shd w:val="clear" w:color="000000" w:fill="FFFFFF"/>
            <w:vAlign w:val="center"/>
          </w:tcPr>
          <w:p w14:paraId="346998D9">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评价要点：</w:t>
            </w:r>
          </w:p>
          <w:p w14:paraId="34EC69AD">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①是否符合国家财经法规和财务管理制度以及有关专项资金管理办法的规定；</w:t>
            </w:r>
          </w:p>
          <w:p w14:paraId="32EA574D">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②资金的拨付是否有完整的审批程序和手续；</w:t>
            </w:r>
          </w:p>
          <w:p w14:paraId="0196B692">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③是否符合项目预算批复或合同规定的用途；</w:t>
            </w:r>
          </w:p>
          <w:p w14:paraId="2A0A2E30">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④是否存在截留、挤占、挪用、虚列支出等情况。</w:t>
            </w:r>
          </w:p>
        </w:tc>
        <w:tc>
          <w:tcPr>
            <w:tcW w:w="341" w:type="pct"/>
            <w:shd w:val="clear" w:color="000000" w:fill="FFFFFF"/>
            <w:vAlign w:val="center"/>
          </w:tcPr>
          <w:p w14:paraId="704DC072">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000000" w:fill="FFFFFF"/>
            <w:vAlign w:val="center"/>
          </w:tcPr>
          <w:p w14:paraId="31FE73E7">
            <w:pPr>
              <w:widowControl/>
              <w:spacing w:line="0" w:lineRule="atLeast"/>
              <w:ind w:firstLine="0" w:firstLineChars="0"/>
              <w:jc w:val="center"/>
              <w:rPr>
                <w:rFonts w:hint="eastAsia" w:ascii="宋体" w:hAnsi="宋体" w:eastAsia="宋体" w:cs="宋体"/>
                <w:b/>
                <w:bCs/>
                <w:color w:val="auto"/>
                <w:kern w:val="0"/>
                <w:sz w:val="18"/>
                <w:szCs w:val="18"/>
                <w:lang w:eastAsia="zh-CN"/>
              </w:rPr>
            </w:pPr>
            <w:r>
              <w:rPr>
                <w:rFonts w:hint="eastAsia" w:ascii="宋体" w:hAnsi="宋体" w:eastAsia="宋体" w:cs="宋体"/>
                <w:b/>
                <w:bCs/>
                <w:color w:val="auto"/>
                <w:kern w:val="0"/>
                <w:sz w:val="18"/>
                <w:szCs w:val="18"/>
                <w:lang w:val="en-US" w:eastAsia="zh-CN"/>
              </w:rPr>
              <w:t>4</w:t>
            </w:r>
          </w:p>
        </w:tc>
      </w:tr>
      <w:tr w14:paraId="2F0A5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44" w:type="pct"/>
            <w:vMerge w:val="continue"/>
            <w:shd w:val="clear" w:color="auto" w:fill="FFFFFF"/>
            <w:vAlign w:val="center"/>
          </w:tcPr>
          <w:p w14:paraId="3FC25BDB">
            <w:pPr>
              <w:spacing w:line="0" w:lineRule="atLeast"/>
              <w:ind w:firstLine="0" w:firstLineChars="0"/>
              <w:jc w:val="center"/>
              <w:rPr>
                <w:rFonts w:ascii="宋体" w:hAnsi="宋体" w:eastAsia="宋体" w:cs="宋体"/>
                <w:color w:val="auto"/>
                <w:kern w:val="0"/>
                <w:sz w:val="18"/>
                <w:szCs w:val="18"/>
              </w:rPr>
            </w:pPr>
          </w:p>
        </w:tc>
        <w:tc>
          <w:tcPr>
            <w:tcW w:w="574" w:type="pct"/>
            <w:vMerge w:val="restart"/>
            <w:shd w:val="clear" w:color="auto" w:fill="FFFFFF"/>
            <w:vAlign w:val="center"/>
          </w:tcPr>
          <w:p w14:paraId="1E79B5A9">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组织实施</w:t>
            </w:r>
          </w:p>
          <w:p w14:paraId="17AAF595">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553" w:type="pct"/>
            <w:shd w:val="clear" w:color="auto" w:fill="FFFFFF"/>
            <w:vAlign w:val="center"/>
          </w:tcPr>
          <w:p w14:paraId="241F7050">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管理制度</w:t>
            </w:r>
          </w:p>
          <w:p w14:paraId="3EF7AA5B">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健全性</w:t>
            </w:r>
          </w:p>
        </w:tc>
        <w:tc>
          <w:tcPr>
            <w:tcW w:w="1072" w:type="pct"/>
            <w:shd w:val="clear" w:color="000000" w:fill="FFFFFF"/>
            <w:vAlign w:val="center"/>
          </w:tcPr>
          <w:p w14:paraId="6559732A">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项目实施单位的财务和业务管理制度是否健全，用以反映和考核财务和业务管理制度对项目顺利实施的保障情况。</w:t>
            </w:r>
          </w:p>
        </w:tc>
        <w:tc>
          <w:tcPr>
            <w:tcW w:w="1583" w:type="pct"/>
            <w:shd w:val="clear" w:color="000000" w:fill="FFFFFF"/>
            <w:vAlign w:val="center"/>
          </w:tcPr>
          <w:p w14:paraId="4EAF2458">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评价要点：</w:t>
            </w:r>
          </w:p>
          <w:p w14:paraId="1BA26FB0">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①是否已制定或具有相应的财务和业务管理制度；</w:t>
            </w:r>
          </w:p>
          <w:p w14:paraId="7FC4CC44">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②财务和业务管理制度是否合法、合规、完整。</w:t>
            </w:r>
          </w:p>
        </w:tc>
        <w:tc>
          <w:tcPr>
            <w:tcW w:w="341" w:type="pct"/>
            <w:shd w:val="clear" w:color="000000" w:fill="FFFFFF"/>
            <w:vAlign w:val="center"/>
          </w:tcPr>
          <w:p w14:paraId="74E11BA4">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000000" w:fill="FFFFFF"/>
            <w:vAlign w:val="center"/>
          </w:tcPr>
          <w:p w14:paraId="05214543">
            <w:pPr>
              <w:widowControl/>
              <w:spacing w:line="0" w:lineRule="atLeast"/>
              <w:ind w:firstLine="0" w:firstLineChars="0"/>
              <w:jc w:val="center"/>
              <w:rPr>
                <w:rFonts w:hint="eastAsia" w:ascii="宋体" w:hAnsi="宋体" w:eastAsia="宋体" w:cs="宋体"/>
                <w:b/>
                <w:bCs/>
                <w:color w:val="auto"/>
                <w:kern w:val="0"/>
                <w:sz w:val="18"/>
                <w:szCs w:val="18"/>
                <w:lang w:eastAsia="zh-CN"/>
              </w:rPr>
            </w:pPr>
            <w:r>
              <w:rPr>
                <w:rFonts w:hint="eastAsia" w:ascii="宋体" w:hAnsi="宋体" w:eastAsia="宋体" w:cs="宋体"/>
                <w:b/>
                <w:bCs/>
                <w:color w:val="auto"/>
                <w:kern w:val="0"/>
                <w:sz w:val="18"/>
                <w:szCs w:val="18"/>
                <w:lang w:val="en-US" w:eastAsia="zh-CN"/>
              </w:rPr>
              <w:t>4</w:t>
            </w:r>
          </w:p>
        </w:tc>
      </w:tr>
      <w:tr w14:paraId="020A2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44" w:type="pct"/>
            <w:vMerge w:val="continue"/>
            <w:shd w:val="clear" w:color="auto" w:fill="FFFFFF"/>
            <w:vAlign w:val="center"/>
          </w:tcPr>
          <w:p w14:paraId="54CD3FC4">
            <w:pPr>
              <w:widowControl/>
              <w:spacing w:line="0" w:lineRule="atLeast"/>
              <w:ind w:firstLine="0" w:firstLineChars="0"/>
              <w:jc w:val="center"/>
              <w:rPr>
                <w:rFonts w:ascii="宋体" w:hAnsi="宋体" w:eastAsia="宋体" w:cs="宋体"/>
                <w:color w:val="auto"/>
                <w:kern w:val="0"/>
                <w:sz w:val="18"/>
                <w:szCs w:val="18"/>
              </w:rPr>
            </w:pPr>
          </w:p>
        </w:tc>
        <w:tc>
          <w:tcPr>
            <w:tcW w:w="574" w:type="pct"/>
            <w:vMerge w:val="continue"/>
            <w:shd w:val="clear" w:color="auto" w:fill="FFFFFF"/>
            <w:vAlign w:val="center"/>
          </w:tcPr>
          <w:p w14:paraId="19B01C91">
            <w:pPr>
              <w:widowControl/>
              <w:spacing w:line="0" w:lineRule="atLeast"/>
              <w:ind w:firstLine="0" w:firstLineChars="0"/>
              <w:jc w:val="center"/>
              <w:rPr>
                <w:rFonts w:ascii="宋体" w:hAnsi="宋体" w:eastAsia="宋体" w:cs="宋体"/>
                <w:color w:val="auto"/>
                <w:kern w:val="0"/>
                <w:sz w:val="18"/>
                <w:szCs w:val="18"/>
              </w:rPr>
            </w:pPr>
          </w:p>
        </w:tc>
        <w:tc>
          <w:tcPr>
            <w:tcW w:w="553" w:type="pct"/>
            <w:shd w:val="clear" w:color="auto" w:fill="FFFFFF"/>
            <w:vAlign w:val="center"/>
          </w:tcPr>
          <w:p w14:paraId="103EEDBB">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制度执行</w:t>
            </w:r>
          </w:p>
          <w:p w14:paraId="40A0AC3E">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有效性</w:t>
            </w:r>
          </w:p>
        </w:tc>
        <w:tc>
          <w:tcPr>
            <w:tcW w:w="1072" w:type="pct"/>
            <w:shd w:val="clear" w:color="000000" w:fill="FFFFFF"/>
            <w:vAlign w:val="center"/>
          </w:tcPr>
          <w:p w14:paraId="5EFA49BA">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项目实施是否符合相关管理规定，用以反映和考核相关管理制度的有效执行情况。</w:t>
            </w:r>
          </w:p>
        </w:tc>
        <w:tc>
          <w:tcPr>
            <w:tcW w:w="1583" w:type="pct"/>
            <w:shd w:val="clear" w:color="000000" w:fill="FFFFFF"/>
            <w:vAlign w:val="center"/>
          </w:tcPr>
          <w:p w14:paraId="7C37A49D">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评价要点：</w:t>
            </w:r>
          </w:p>
          <w:p w14:paraId="2CCF1C54">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①是否遵守相关法律法规和相关管理规定；</w:t>
            </w:r>
          </w:p>
          <w:p w14:paraId="116ADD10">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②项目调整及支出调整手续是否完备；</w:t>
            </w:r>
          </w:p>
          <w:p w14:paraId="6CBB550E">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③项目合同书、验收报告、技术鉴定等资料是否齐全并及时归档；</w:t>
            </w:r>
          </w:p>
          <w:p w14:paraId="26E73E34">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④项目实施的人员条件、场地设备、信息支撑等是否落实到位。</w:t>
            </w:r>
          </w:p>
        </w:tc>
        <w:tc>
          <w:tcPr>
            <w:tcW w:w="341" w:type="pct"/>
            <w:shd w:val="clear" w:color="000000" w:fill="FFFFFF"/>
            <w:vAlign w:val="center"/>
          </w:tcPr>
          <w:p w14:paraId="24CEF186">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000000" w:fill="FFFFFF"/>
            <w:vAlign w:val="center"/>
          </w:tcPr>
          <w:p w14:paraId="3764341D">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14:paraId="52343F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544" w:type="pct"/>
            <w:shd w:val="clear" w:color="auto" w:fill="FFFFFF"/>
            <w:vAlign w:val="center"/>
          </w:tcPr>
          <w:p w14:paraId="76C9A409">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w:t>
            </w:r>
          </w:p>
        </w:tc>
        <w:tc>
          <w:tcPr>
            <w:tcW w:w="574" w:type="pct"/>
            <w:shd w:val="clear" w:color="auto" w:fill="FFFFFF"/>
            <w:vAlign w:val="center"/>
          </w:tcPr>
          <w:p w14:paraId="2ED15768">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产出数量</w:t>
            </w:r>
          </w:p>
        </w:tc>
        <w:tc>
          <w:tcPr>
            <w:tcW w:w="553" w:type="pct"/>
            <w:shd w:val="clear" w:color="auto" w:fill="FFFFFF"/>
            <w:vAlign w:val="center"/>
          </w:tcPr>
          <w:p w14:paraId="67F6193C">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实际完成率</w:t>
            </w:r>
          </w:p>
        </w:tc>
        <w:tc>
          <w:tcPr>
            <w:tcW w:w="1072" w:type="pct"/>
            <w:shd w:val="clear" w:color="000000" w:fill="FFFFFF"/>
            <w:vAlign w:val="center"/>
          </w:tcPr>
          <w:p w14:paraId="0E9C799B">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项目实施的实际产出数与计划产出数的比率，用以反映和考核项目产出数量目标的实现程度。</w:t>
            </w:r>
          </w:p>
        </w:tc>
        <w:tc>
          <w:tcPr>
            <w:tcW w:w="1583" w:type="pct"/>
            <w:shd w:val="clear" w:color="000000" w:fill="FFFFFF"/>
            <w:vAlign w:val="center"/>
          </w:tcPr>
          <w:p w14:paraId="58269ECD">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实际完成率=（实际产出数/计划产出数）×100%。</w:t>
            </w:r>
          </w:p>
          <w:p w14:paraId="32700AAB">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实际产出数：一定时期（本年度或项目期）内项目实际产出的产品或提供的服务数量。</w:t>
            </w:r>
          </w:p>
          <w:p w14:paraId="01E49784">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计划产出数：项目绩效目标确定的在一定时期（本年度或项目期）内计划产出的产品或提供的服务数量。</w:t>
            </w:r>
          </w:p>
        </w:tc>
        <w:tc>
          <w:tcPr>
            <w:tcW w:w="341" w:type="pct"/>
            <w:shd w:val="clear" w:color="000000" w:fill="FFFFFF"/>
            <w:vAlign w:val="center"/>
          </w:tcPr>
          <w:p w14:paraId="6F975BAE">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330" w:type="pct"/>
            <w:shd w:val="clear" w:color="000000" w:fill="FFFFFF"/>
            <w:vAlign w:val="center"/>
          </w:tcPr>
          <w:p w14:paraId="5C5F234C">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14:paraId="050CBE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544" w:type="pct"/>
            <w:vMerge w:val="restart"/>
            <w:shd w:val="clear" w:color="auto" w:fill="FFFFFF"/>
            <w:vAlign w:val="center"/>
          </w:tcPr>
          <w:p w14:paraId="4B3248F8">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w:t>
            </w:r>
          </w:p>
        </w:tc>
        <w:tc>
          <w:tcPr>
            <w:tcW w:w="574" w:type="pct"/>
            <w:shd w:val="clear" w:color="auto" w:fill="FFFFFF"/>
            <w:vAlign w:val="center"/>
          </w:tcPr>
          <w:p w14:paraId="7DCF6861">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产出质量</w:t>
            </w:r>
          </w:p>
        </w:tc>
        <w:tc>
          <w:tcPr>
            <w:tcW w:w="553" w:type="pct"/>
            <w:shd w:val="clear" w:color="auto" w:fill="FFFFFF"/>
            <w:vAlign w:val="center"/>
          </w:tcPr>
          <w:p w14:paraId="1B568450">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质量达标率</w:t>
            </w:r>
          </w:p>
        </w:tc>
        <w:tc>
          <w:tcPr>
            <w:tcW w:w="1072" w:type="pct"/>
            <w:shd w:val="clear" w:color="000000" w:fill="FFFFFF"/>
            <w:vAlign w:val="center"/>
          </w:tcPr>
          <w:p w14:paraId="0FCB5424">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项目完成的质量达标产出数与实际产出数的比率，用以反映和考核项目产出质量目标的实现程度。</w:t>
            </w:r>
          </w:p>
        </w:tc>
        <w:tc>
          <w:tcPr>
            <w:tcW w:w="1583" w:type="pct"/>
            <w:shd w:val="clear" w:color="000000" w:fill="FFFFFF"/>
            <w:vAlign w:val="center"/>
          </w:tcPr>
          <w:p w14:paraId="267C8D68">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质量达标率=（质量达标产出数/实际产出数）×100%。</w:t>
            </w:r>
          </w:p>
          <w:p w14:paraId="271D671D">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41" w:type="pct"/>
            <w:shd w:val="clear" w:color="000000" w:fill="FFFFFF"/>
            <w:vAlign w:val="center"/>
          </w:tcPr>
          <w:p w14:paraId="28F2ED8E">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330" w:type="pct"/>
            <w:shd w:val="clear" w:color="000000" w:fill="FFFFFF"/>
            <w:vAlign w:val="center"/>
          </w:tcPr>
          <w:p w14:paraId="7F016AF0">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14:paraId="6EEE7A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544" w:type="pct"/>
            <w:vMerge w:val="continue"/>
            <w:shd w:val="clear" w:color="auto" w:fill="FFFFFF"/>
            <w:vAlign w:val="center"/>
          </w:tcPr>
          <w:p w14:paraId="660C9605">
            <w:pPr>
              <w:spacing w:line="0" w:lineRule="atLeast"/>
              <w:ind w:firstLine="0" w:firstLineChars="0"/>
              <w:jc w:val="center"/>
              <w:rPr>
                <w:rFonts w:ascii="宋体" w:hAnsi="宋体" w:eastAsia="宋体" w:cs="宋体"/>
                <w:color w:val="auto"/>
                <w:kern w:val="0"/>
                <w:sz w:val="18"/>
                <w:szCs w:val="18"/>
              </w:rPr>
            </w:pPr>
          </w:p>
        </w:tc>
        <w:tc>
          <w:tcPr>
            <w:tcW w:w="574" w:type="pct"/>
            <w:shd w:val="clear" w:color="auto" w:fill="FFFFFF"/>
            <w:vAlign w:val="center"/>
          </w:tcPr>
          <w:p w14:paraId="17ECBD22">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产出时效</w:t>
            </w:r>
          </w:p>
        </w:tc>
        <w:tc>
          <w:tcPr>
            <w:tcW w:w="553" w:type="pct"/>
            <w:shd w:val="clear" w:color="auto" w:fill="FFFFFF"/>
            <w:vAlign w:val="center"/>
          </w:tcPr>
          <w:p w14:paraId="7B6D56F1">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完成及时性</w:t>
            </w:r>
          </w:p>
        </w:tc>
        <w:tc>
          <w:tcPr>
            <w:tcW w:w="1072" w:type="pct"/>
            <w:shd w:val="clear" w:color="000000" w:fill="FFFFFF"/>
            <w:vAlign w:val="center"/>
          </w:tcPr>
          <w:p w14:paraId="7A526717">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项目实际完成时间与计划完成时间的比较，用以反映和考核项目产出时效目标的实现程度。</w:t>
            </w:r>
          </w:p>
        </w:tc>
        <w:tc>
          <w:tcPr>
            <w:tcW w:w="1583" w:type="pct"/>
            <w:shd w:val="clear" w:color="000000" w:fill="FFFFFF"/>
            <w:vAlign w:val="center"/>
          </w:tcPr>
          <w:p w14:paraId="0308202A">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实际完成时间：项目实施单位完成该项目实际所耗用的时间。</w:t>
            </w:r>
          </w:p>
          <w:p w14:paraId="28B97628">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计划完成时间：按照项目实施计划或相关规定完成该项目所需的时间。</w:t>
            </w:r>
          </w:p>
        </w:tc>
        <w:tc>
          <w:tcPr>
            <w:tcW w:w="341" w:type="pct"/>
            <w:shd w:val="clear" w:color="000000" w:fill="FFFFFF"/>
            <w:vAlign w:val="center"/>
          </w:tcPr>
          <w:p w14:paraId="363DB734">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330" w:type="pct"/>
            <w:shd w:val="clear" w:color="000000" w:fill="FFFFFF"/>
            <w:vAlign w:val="center"/>
          </w:tcPr>
          <w:p w14:paraId="442ED3F2">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14:paraId="7FEE0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44" w:type="pct"/>
            <w:vMerge w:val="continue"/>
            <w:shd w:val="clear" w:color="auto" w:fill="FFFFFF"/>
            <w:vAlign w:val="center"/>
          </w:tcPr>
          <w:p w14:paraId="5303DE9C">
            <w:pPr>
              <w:widowControl/>
              <w:spacing w:line="0" w:lineRule="atLeast"/>
              <w:ind w:firstLine="0" w:firstLineChars="0"/>
              <w:jc w:val="center"/>
              <w:rPr>
                <w:rFonts w:ascii="宋体" w:hAnsi="宋体" w:eastAsia="宋体" w:cs="宋体"/>
                <w:color w:val="auto"/>
                <w:kern w:val="0"/>
                <w:sz w:val="18"/>
                <w:szCs w:val="18"/>
              </w:rPr>
            </w:pPr>
          </w:p>
        </w:tc>
        <w:tc>
          <w:tcPr>
            <w:tcW w:w="574" w:type="pct"/>
            <w:shd w:val="clear" w:color="auto" w:fill="FFFFFF"/>
            <w:vAlign w:val="center"/>
          </w:tcPr>
          <w:p w14:paraId="5A8627D5">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产出成本</w:t>
            </w:r>
          </w:p>
        </w:tc>
        <w:tc>
          <w:tcPr>
            <w:tcW w:w="553" w:type="pct"/>
            <w:shd w:val="clear" w:color="auto" w:fill="FFFFFF"/>
            <w:vAlign w:val="center"/>
          </w:tcPr>
          <w:p w14:paraId="220F1301">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成本节约率</w:t>
            </w:r>
          </w:p>
        </w:tc>
        <w:tc>
          <w:tcPr>
            <w:tcW w:w="1072" w:type="pct"/>
            <w:shd w:val="clear" w:color="000000" w:fill="FFFFFF"/>
            <w:vAlign w:val="center"/>
          </w:tcPr>
          <w:p w14:paraId="174EAE26">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完成项目计划工作目标的实际节约成本与计划成本的比率，用以反映和考核项目的成本节约程度。</w:t>
            </w:r>
          </w:p>
        </w:tc>
        <w:tc>
          <w:tcPr>
            <w:tcW w:w="1583" w:type="pct"/>
            <w:shd w:val="clear" w:color="000000" w:fill="FFFFFF"/>
            <w:vAlign w:val="center"/>
          </w:tcPr>
          <w:p w14:paraId="11B904CC">
            <w:pPr>
              <w:widowControl/>
              <w:spacing w:line="0" w:lineRule="atLeast"/>
              <w:ind w:firstLine="0" w:firstLineChars="0"/>
              <w:rPr>
                <w:rFonts w:hint="eastAsia" w:ascii="宋体" w:hAnsi="宋体" w:eastAsia="宋体" w:cs="宋体"/>
                <w:color w:val="auto"/>
                <w:kern w:val="0"/>
                <w:sz w:val="18"/>
                <w:szCs w:val="18"/>
                <w:lang w:eastAsia="zh-CN"/>
              </w:rPr>
            </w:pPr>
          </w:p>
          <w:p w14:paraId="42E4FE69">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成本节约率=[（计划成本-实际成本）/计划成本]×100%。</w:t>
            </w:r>
          </w:p>
          <w:p w14:paraId="41C46142">
            <w:pPr>
              <w:widowControl/>
              <w:spacing w:line="0" w:lineRule="atLeast"/>
              <w:ind w:firstLine="0" w:firstLineChars="0"/>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实际成本：项目实施单位如期、保质、保量完成既定工作目标实际所耗费的支出。</w:t>
            </w:r>
          </w:p>
          <w:p w14:paraId="1FD7615D">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计划成本：项目实施单位为完成工作目标计划安排的支出，一般以项目预算为参考。</w:t>
            </w:r>
          </w:p>
        </w:tc>
        <w:tc>
          <w:tcPr>
            <w:tcW w:w="341" w:type="pct"/>
            <w:shd w:val="clear" w:color="000000" w:fill="FFFFFF"/>
            <w:vAlign w:val="center"/>
          </w:tcPr>
          <w:p w14:paraId="18F87E2A">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330" w:type="pct"/>
            <w:shd w:val="clear" w:color="000000" w:fill="FFFFFF"/>
            <w:vAlign w:val="center"/>
          </w:tcPr>
          <w:p w14:paraId="282580A3">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14:paraId="6E4645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544" w:type="pct"/>
            <w:vMerge w:val="restart"/>
            <w:shd w:val="clear" w:color="auto" w:fill="FFFFFF"/>
            <w:vAlign w:val="center"/>
          </w:tcPr>
          <w:p w14:paraId="548BF11B">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效益　</w:t>
            </w:r>
          </w:p>
        </w:tc>
        <w:tc>
          <w:tcPr>
            <w:tcW w:w="574" w:type="pct"/>
            <w:vMerge w:val="restart"/>
            <w:shd w:val="clear" w:color="auto" w:fill="FFFFFF"/>
            <w:vAlign w:val="center"/>
          </w:tcPr>
          <w:p w14:paraId="4B5017FC">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项目效益　</w:t>
            </w:r>
          </w:p>
        </w:tc>
        <w:tc>
          <w:tcPr>
            <w:tcW w:w="553" w:type="pct"/>
            <w:shd w:val="clear" w:color="auto" w:fill="FFFFFF"/>
            <w:vAlign w:val="center"/>
          </w:tcPr>
          <w:p w14:paraId="77119F72">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实施效益</w:t>
            </w:r>
          </w:p>
        </w:tc>
        <w:tc>
          <w:tcPr>
            <w:tcW w:w="1072" w:type="pct"/>
            <w:shd w:val="clear" w:color="auto" w:fill="FFFFFF"/>
            <w:vAlign w:val="center"/>
          </w:tcPr>
          <w:p w14:paraId="5ED84780">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项目实施所产生的效益。</w:t>
            </w:r>
          </w:p>
        </w:tc>
        <w:tc>
          <w:tcPr>
            <w:tcW w:w="1583" w:type="pct"/>
            <w:shd w:val="clear" w:color="auto" w:fill="FFFFFF"/>
            <w:vAlign w:val="center"/>
          </w:tcPr>
          <w:p w14:paraId="223A8F23">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项目实施所产生的社会效益、经济效益、生态效益、可持续影响等。可根据项目实际情况有选择地设置和细化。</w:t>
            </w:r>
          </w:p>
        </w:tc>
        <w:tc>
          <w:tcPr>
            <w:tcW w:w="341" w:type="pct"/>
            <w:shd w:val="clear" w:color="auto" w:fill="FFFFFF"/>
            <w:vAlign w:val="center"/>
          </w:tcPr>
          <w:p w14:paraId="7DCB768F">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15</w:t>
            </w:r>
          </w:p>
        </w:tc>
        <w:tc>
          <w:tcPr>
            <w:tcW w:w="330" w:type="pct"/>
            <w:shd w:val="clear" w:color="auto" w:fill="FFFFFF"/>
            <w:vAlign w:val="center"/>
          </w:tcPr>
          <w:p w14:paraId="0B04412F">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15</w:t>
            </w:r>
          </w:p>
        </w:tc>
      </w:tr>
      <w:tr w14:paraId="02C8E9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02" w:hRule="atLeast"/>
          <w:jc w:val="center"/>
        </w:trPr>
        <w:tc>
          <w:tcPr>
            <w:tcW w:w="544" w:type="pct"/>
            <w:vMerge w:val="continue"/>
            <w:shd w:val="clear" w:color="auto" w:fill="FFFFFF"/>
            <w:vAlign w:val="center"/>
          </w:tcPr>
          <w:p w14:paraId="0E72946B">
            <w:pPr>
              <w:widowControl/>
              <w:spacing w:line="0" w:lineRule="atLeast"/>
              <w:ind w:firstLine="0" w:firstLineChars="0"/>
              <w:jc w:val="center"/>
              <w:rPr>
                <w:rFonts w:ascii="宋体" w:hAnsi="宋体" w:eastAsia="宋体" w:cs="宋体"/>
                <w:color w:val="auto"/>
                <w:kern w:val="0"/>
                <w:sz w:val="18"/>
                <w:szCs w:val="18"/>
              </w:rPr>
            </w:pPr>
          </w:p>
        </w:tc>
        <w:tc>
          <w:tcPr>
            <w:tcW w:w="574" w:type="pct"/>
            <w:vMerge w:val="continue"/>
            <w:shd w:val="clear" w:color="auto" w:fill="FFFFFF"/>
            <w:vAlign w:val="center"/>
          </w:tcPr>
          <w:p w14:paraId="6E5561B9">
            <w:pPr>
              <w:widowControl/>
              <w:spacing w:line="0" w:lineRule="atLeast"/>
              <w:ind w:firstLine="0" w:firstLineChars="0"/>
              <w:jc w:val="center"/>
              <w:rPr>
                <w:rFonts w:ascii="宋体" w:hAnsi="宋体" w:eastAsia="宋体" w:cs="宋体"/>
                <w:color w:val="auto"/>
                <w:kern w:val="0"/>
                <w:sz w:val="18"/>
                <w:szCs w:val="18"/>
              </w:rPr>
            </w:pPr>
          </w:p>
        </w:tc>
        <w:tc>
          <w:tcPr>
            <w:tcW w:w="553" w:type="pct"/>
            <w:shd w:val="clear" w:color="auto" w:fill="FFFFFF"/>
            <w:vAlign w:val="center"/>
          </w:tcPr>
          <w:p w14:paraId="6B2CC00A">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满意度</w:t>
            </w:r>
          </w:p>
        </w:tc>
        <w:tc>
          <w:tcPr>
            <w:tcW w:w="1072" w:type="pct"/>
            <w:shd w:val="clear" w:color="000000" w:fill="FFFFFF"/>
            <w:vAlign w:val="center"/>
          </w:tcPr>
          <w:p w14:paraId="794883F3">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社会公众或服务对象对项目实施效果的满意程度。</w:t>
            </w:r>
          </w:p>
        </w:tc>
        <w:tc>
          <w:tcPr>
            <w:tcW w:w="1583" w:type="pct"/>
            <w:shd w:val="clear" w:color="000000" w:fill="FFFFFF"/>
            <w:vAlign w:val="center"/>
          </w:tcPr>
          <w:p w14:paraId="3C6E2CD8">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社会公众或服务对象是指因该项目实施而受到影响的部门（单位）、群体或个人。一般采取社会调查的方式。</w:t>
            </w:r>
          </w:p>
        </w:tc>
        <w:tc>
          <w:tcPr>
            <w:tcW w:w="341" w:type="pct"/>
            <w:shd w:val="clear" w:color="000000" w:fill="FFFFFF"/>
            <w:vAlign w:val="center"/>
          </w:tcPr>
          <w:p w14:paraId="5744893B">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5</w:t>
            </w:r>
          </w:p>
        </w:tc>
        <w:tc>
          <w:tcPr>
            <w:tcW w:w="330" w:type="pct"/>
            <w:shd w:val="clear" w:color="000000" w:fill="FFFFFF"/>
            <w:vAlign w:val="center"/>
          </w:tcPr>
          <w:p w14:paraId="5748C5DA">
            <w:pPr>
              <w:widowControl/>
              <w:spacing w:line="0" w:lineRule="atLeast"/>
              <w:ind w:firstLine="0" w:firstLineChars="0"/>
              <w:jc w:val="center"/>
              <w:rPr>
                <w:rFonts w:hint="eastAsia" w:ascii="宋体" w:hAnsi="宋体" w:eastAsia="宋体" w:cs="宋体"/>
                <w:b/>
                <w:bCs/>
                <w:color w:val="auto"/>
                <w:kern w:val="0"/>
                <w:sz w:val="18"/>
                <w:szCs w:val="18"/>
                <w:lang w:eastAsia="zh-CN"/>
              </w:rPr>
            </w:pPr>
            <w:r>
              <w:rPr>
                <w:rFonts w:hint="eastAsia" w:ascii="宋体" w:hAnsi="宋体" w:eastAsia="宋体" w:cs="宋体"/>
                <w:b/>
                <w:bCs/>
                <w:color w:val="auto"/>
                <w:kern w:val="0"/>
                <w:sz w:val="18"/>
                <w:szCs w:val="18"/>
                <w:lang w:val="en-US" w:eastAsia="zh-CN"/>
              </w:rPr>
              <w:t>5</w:t>
            </w:r>
          </w:p>
        </w:tc>
      </w:tr>
    </w:tbl>
    <w:p w14:paraId="57FFDB76">
      <w:pPr>
        <w:rPr>
          <w:rFonts w:hint="eastAsia"/>
        </w:rPr>
      </w:pPr>
    </w:p>
    <w:sectPr>
      <w:footerReference r:id="rId4" w:type="default"/>
      <w:pgSz w:w="11906" w:h="16838"/>
      <w:pgMar w:top="1928" w:right="1531" w:bottom="1701" w:left="1531" w:header="737" w:footer="851" w:gutter="0"/>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DCF26B6-FE57-4F91-979D-60C5FA73D419}"/>
  </w:font>
  <w:font w:name="黑体">
    <w:panose1 w:val="02010609060101010101"/>
    <w:charset w:val="86"/>
    <w:family w:val="auto"/>
    <w:pitch w:val="default"/>
    <w:sig w:usb0="800002BF" w:usb1="38CF7CFA" w:usb2="00000016" w:usb3="00000000" w:csb0="00040001" w:csb1="00000000"/>
    <w:embedRegular r:id="rId2" w:fontKey="{F54EB0BC-0EDE-4284-BCF3-C6F2B9D39F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BEC71880-6FF5-46A4-BC4A-F0B9C7428F71}"/>
  </w:font>
  <w:font w:name="楷体_GB2312">
    <w:panose1 w:val="02010609030101010101"/>
    <w:charset w:val="86"/>
    <w:family w:val="modern"/>
    <w:pitch w:val="default"/>
    <w:sig w:usb0="00000001" w:usb1="080E0000" w:usb2="00000000" w:usb3="00000000" w:csb0="00040000" w:csb1="00000000"/>
    <w:embedRegular r:id="rId4" w:fontKey="{0E734577-EA57-4AEE-AF98-E56C04A7405D}"/>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5" w:fontKey="{07BF87FE-D9BD-4222-9CDB-AEF5AC8A98C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1506B">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8D20C0">
                          <w:pPr>
                            <w:pStyle w:val="8"/>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8D20C0">
                    <w:pPr>
                      <w:pStyle w:val="8"/>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FB3D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F37428">
                          <w:pPr>
                            <w:pStyle w:val="8"/>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FF37428">
                    <w:pPr>
                      <w:pStyle w:val="8"/>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391D74"/>
    <w:multiLevelType w:val="singleLevel"/>
    <w:tmpl w:val="23391D74"/>
    <w:lvl w:ilvl="0" w:tentative="0">
      <w:start w:val="2"/>
      <w:numFmt w:val="decimal"/>
      <w:suff w:val="nothing"/>
      <w:lvlText w:val="（%1）"/>
      <w:lvlJc w:val="left"/>
    </w:lvl>
  </w:abstractNum>
  <w:abstractNum w:abstractNumId="1">
    <w:nsid w:val="4F0907CF"/>
    <w:multiLevelType w:val="singleLevel"/>
    <w:tmpl w:val="4F0907C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0DB4FEE"/>
    <w:rsid w:val="017007B0"/>
    <w:rsid w:val="017E06CC"/>
    <w:rsid w:val="018E1B51"/>
    <w:rsid w:val="033D6620"/>
    <w:rsid w:val="06CC22E2"/>
    <w:rsid w:val="06FD4082"/>
    <w:rsid w:val="07586575"/>
    <w:rsid w:val="07FB3D4E"/>
    <w:rsid w:val="08AC25CB"/>
    <w:rsid w:val="09597CDB"/>
    <w:rsid w:val="0A5C520F"/>
    <w:rsid w:val="0BB605AA"/>
    <w:rsid w:val="0D8369DD"/>
    <w:rsid w:val="0EF01C3C"/>
    <w:rsid w:val="0F19203C"/>
    <w:rsid w:val="11A47CEC"/>
    <w:rsid w:val="1A851C65"/>
    <w:rsid w:val="1AAE61FB"/>
    <w:rsid w:val="1C2E183C"/>
    <w:rsid w:val="1C4732B1"/>
    <w:rsid w:val="1F0B55D3"/>
    <w:rsid w:val="23134DCF"/>
    <w:rsid w:val="253D1355"/>
    <w:rsid w:val="27A34281"/>
    <w:rsid w:val="297D25E0"/>
    <w:rsid w:val="2DD26D86"/>
    <w:rsid w:val="2E3A1A0A"/>
    <w:rsid w:val="2F201A43"/>
    <w:rsid w:val="324E2BC7"/>
    <w:rsid w:val="334D1E05"/>
    <w:rsid w:val="33DB567E"/>
    <w:rsid w:val="35D30259"/>
    <w:rsid w:val="365D2EB5"/>
    <w:rsid w:val="395B4F73"/>
    <w:rsid w:val="3E5778FE"/>
    <w:rsid w:val="40A435AC"/>
    <w:rsid w:val="433E238F"/>
    <w:rsid w:val="45EC0627"/>
    <w:rsid w:val="4C1A0CC2"/>
    <w:rsid w:val="4C8C3872"/>
    <w:rsid w:val="4CA27CCA"/>
    <w:rsid w:val="4F980780"/>
    <w:rsid w:val="523E5A96"/>
    <w:rsid w:val="53624389"/>
    <w:rsid w:val="545A3F6F"/>
    <w:rsid w:val="5495453C"/>
    <w:rsid w:val="55FB3CC4"/>
    <w:rsid w:val="56AF6ADB"/>
    <w:rsid w:val="570D31BA"/>
    <w:rsid w:val="63EC0C56"/>
    <w:rsid w:val="65F268F6"/>
    <w:rsid w:val="696C44D6"/>
    <w:rsid w:val="6AC954A6"/>
    <w:rsid w:val="6ACD6A78"/>
    <w:rsid w:val="6E930520"/>
    <w:rsid w:val="72A65E85"/>
    <w:rsid w:val="759F2263"/>
    <w:rsid w:val="78B47B29"/>
    <w:rsid w:val="7BE41C3E"/>
    <w:rsid w:val="7C255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autoRedefine/>
    <w:qFormat/>
    <w:uiPriority w:val="0"/>
    <w:pPr>
      <w:keepNext/>
      <w:keepLines/>
      <w:outlineLvl w:val="0"/>
    </w:pPr>
    <w:rPr>
      <w:rFonts w:eastAsia="黑体"/>
      <w:b/>
      <w:kern w:val="44"/>
      <w:sz w:val="32"/>
    </w:rPr>
  </w:style>
  <w:style w:type="paragraph" w:styleId="4">
    <w:name w:val="heading 2"/>
    <w:basedOn w:val="1"/>
    <w:next w:val="1"/>
    <w:autoRedefine/>
    <w:unhideWhenUsed/>
    <w:qFormat/>
    <w:uiPriority w:val="0"/>
    <w:pPr>
      <w:keepNext/>
      <w:keepLines/>
      <w:outlineLvl w:val="1"/>
    </w:pPr>
    <w:rPr>
      <w:rFonts w:ascii="Arial" w:hAnsi="Arial" w:eastAsia="楷体_GB2312"/>
      <w:b/>
      <w:sz w:val="32"/>
    </w:rPr>
  </w:style>
  <w:style w:type="paragraph" w:styleId="5">
    <w:name w:val="heading 3"/>
    <w:basedOn w:val="1"/>
    <w:next w:val="1"/>
    <w:autoRedefine/>
    <w:unhideWhenUsed/>
    <w:qFormat/>
    <w:uiPriority w:val="0"/>
    <w:pPr>
      <w:keepNext/>
      <w:keepLines/>
      <w:spacing w:line="560" w:lineRule="exact"/>
      <w:outlineLvl w:val="2"/>
    </w:pPr>
    <w:rPr>
      <w:b/>
      <w:sz w:val="32"/>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line="600" w:lineRule="exact"/>
      <w:ind w:firstLine="1044" w:firstLineChars="200"/>
      <w:jc w:val="center"/>
      <w:outlineLvl w:val="0"/>
    </w:pPr>
    <w:rPr>
      <w:rFonts w:cs="Times New Roman" w:asciiTheme="majorHAnsi" w:hAnsiTheme="majorHAnsi" w:eastAsiaTheme="majorEastAsia"/>
      <w:b/>
      <w:bCs/>
      <w:kern w:val="28"/>
      <w:sz w:val="32"/>
      <w:szCs w:val="32"/>
      <w:lang w:val="en-US" w:eastAsia="zh-CN" w:bidi="ar-SA"/>
    </w:rPr>
  </w:style>
  <w:style w:type="paragraph" w:styleId="6">
    <w:name w:val="annotation text"/>
    <w:basedOn w:val="1"/>
    <w:autoRedefine/>
    <w:qFormat/>
    <w:uiPriority w:val="0"/>
    <w:pPr>
      <w:jc w:val="left"/>
    </w:pPr>
  </w:style>
  <w:style w:type="paragraph" w:styleId="7">
    <w:name w:val="Body Text Indent"/>
    <w:basedOn w:val="1"/>
    <w:autoRedefine/>
    <w:qFormat/>
    <w:uiPriority w:val="0"/>
    <w:pPr>
      <w:spacing w:after="120"/>
      <w:ind w:left="420" w:leftChars="200"/>
    </w:pPr>
    <w:rPr>
      <w:rFonts w:ascii="Calibri" w:hAnsi="Calibri"/>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0"/>
  </w:style>
  <w:style w:type="paragraph" w:styleId="11">
    <w:name w:val="toc 2"/>
    <w:basedOn w:val="1"/>
    <w:next w:val="1"/>
    <w:autoRedefine/>
    <w:qFormat/>
    <w:uiPriority w:val="0"/>
    <w:pPr>
      <w:ind w:left="420" w:leftChars="200"/>
    </w:pPr>
  </w:style>
  <w:style w:type="paragraph" w:styleId="12">
    <w:name w:val="Body Text First Indent 2"/>
    <w:basedOn w:val="7"/>
    <w:autoRedefine/>
    <w:qFormat/>
    <w:uiPriority w:val="0"/>
    <w:pPr>
      <w:ind w:firstLine="420" w:firstLineChars="200"/>
    </w:pPr>
  </w:style>
  <w:style w:type="character" w:styleId="15">
    <w:name w:val="Strong"/>
    <w:basedOn w:val="14"/>
    <w:autoRedefine/>
    <w:qFormat/>
    <w:uiPriority w:val="0"/>
    <w:rPr>
      <w:b/>
      <w:bCs/>
    </w:rPr>
  </w:style>
  <w:style w:type="paragraph" w:customStyle="1" w:styleId="16">
    <w:name w:val="闻政-正文段落文字"/>
    <w:basedOn w:val="1"/>
    <w:autoRedefine/>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9597</Words>
  <Characters>10017</Characters>
  <Lines>0</Lines>
  <Paragraphs>0</Paragraphs>
  <TotalTime>182</TotalTime>
  <ScaleCrop>false</ScaleCrop>
  <LinksUpToDate>false</LinksUpToDate>
  <CharactersWithSpaces>10043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岁月无痕</cp:lastModifiedBy>
  <cp:lastPrinted>2024-03-04T11:32:00Z</cp:lastPrinted>
  <dcterms:modified xsi:type="dcterms:W3CDTF">2024-08-19T12:19:45Z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4CBA51F098A84EE1BF0E059B495C134A</vt:lpwstr>
  </property>
</Properties>
</file>