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Times New Roman" w:hAnsi="Times New Roman" w:eastAsia="方正小标宋_GBK" w:cs="Times New Roman"/>
          <w:color w:val="0000FF"/>
          <w:kern w:val="0"/>
          <w:sz w:val="48"/>
          <w:szCs w:val="48"/>
        </w:rPr>
      </w:pPr>
    </w:p>
    <w:p>
      <w:pPr>
        <w:spacing w:line="540" w:lineRule="exact"/>
        <w:jc w:val="center"/>
        <w:rPr>
          <w:rFonts w:hint="eastAsia" w:eastAsia="方正小标宋_GBK"/>
          <w:kern w:val="0"/>
          <w:sz w:val="48"/>
          <w:szCs w:val="48"/>
        </w:rPr>
      </w:pPr>
    </w:p>
    <w:p>
      <w:pPr>
        <w:spacing w:line="540" w:lineRule="exact"/>
        <w:jc w:val="center"/>
        <w:rPr>
          <w:rFonts w:eastAsia="方正小标宋_GBK"/>
          <w:b/>
          <w:bCs/>
          <w:kern w:val="0"/>
          <w:sz w:val="48"/>
          <w:szCs w:val="48"/>
        </w:rPr>
      </w:pPr>
      <w:r>
        <w:rPr>
          <w:rFonts w:hint="eastAsia" w:eastAsia="方正小标宋_GBK"/>
          <w:b/>
          <w:bCs/>
          <w:kern w:val="0"/>
          <w:sz w:val="48"/>
          <w:szCs w:val="48"/>
        </w:rPr>
        <w:t>经营成本性支出</w:t>
      </w:r>
      <w:r>
        <w:rPr>
          <w:rFonts w:eastAsia="方正小标宋_GBK"/>
          <w:b/>
          <w:bCs/>
          <w:kern w:val="0"/>
          <w:sz w:val="48"/>
          <w:szCs w:val="48"/>
        </w:rPr>
        <w:t>资金项</w:t>
      </w:r>
      <w:bookmarkStart w:id="114" w:name="_GoBack"/>
      <w:bookmarkEnd w:id="114"/>
      <w:r>
        <w:rPr>
          <w:rFonts w:eastAsia="方正小标宋_GBK"/>
          <w:b/>
          <w:bCs/>
          <w:kern w:val="0"/>
          <w:sz w:val="48"/>
          <w:szCs w:val="48"/>
        </w:rPr>
        <w:t>目支出绩效</w:t>
      </w:r>
    </w:p>
    <w:p>
      <w:pPr>
        <w:spacing w:line="540" w:lineRule="exact"/>
        <w:jc w:val="center"/>
        <w:rPr>
          <w:rFonts w:eastAsia="方正小标宋_GBK"/>
          <w:b/>
          <w:bCs/>
          <w:kern w:val="0"/>
          <w:sz w:val="48"/>
          <w:szCs w:val="48"/>
        </w:rPr>
      </w:pPr>
      <w:r>
        <w:rPr>
          <w:rFonts w:eastAsia="方正小标宋_GBK"/>
          <w:b/>
          <w:bCs/>
          <w:kern w:val="0"/>
          <w:sz w:val="48"/>
          <w:szCs w:val="48"/>
        </w:rPr>
        <w:t>评价报告</w:t>
      </w:r>
    </w:p>
    <w:p>
      <w:pPr>
        <w:spacing w:line="540" w:lineRule="exact"/>
        <w:ind w:firstLine="1041"/>
        <w:jc w:val="center"/>
        <w:rPr>
          <w:rFonts w:eastAsia="华文中宋"/>
          <w:b/>
          <w:color w:val="auto"/>
          <w:kern w:val="0"/>
          <w:sz w:val="52"/>
          <w:szCs w:val="52"/>
        </w:rPr>
      </w:pPr>
    </w:p>
    <w:p>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pPr>
        <w:pStyle w:val="2"/>
        <w:rPr>
          <w:color w:val="auto"/>
          <w:kern w:val="0"/>
          <w:sz w:val="36"/>
          <w:szCs w:val="36"/>
        </w:rPr>
      </w:pPr>
    </w:p>
    <w:p>
      <w:pPr>
        <w:rPr>
          <w:color w:val="auto"/>
          <w:kern w:val="0"/>
          <w:sz w:val="36"/>
          <w:szCs w:val="36"/>
        </w:rPr>
      </w:pPr>
    </w:p>
    <w:p>
      <w:pPr>
        <w:rPr>
          <w:color w:val="auto"/>
          <w:kern w:val="0"/>
          <w:sz w:val="36"/>
          <w:szCs w:val="36"/>
        </w:rPr>
      </w:pPr>
    </w:p>
    <w:p>
      <w:pPr>
        <w:pStyle w:val="2"/>
        <w:rPr>
          <w:rFonts w:ascii="Times New Roman" w:hAnsi="Times New Roman" w:eastAsia="仿宋_GB2312" w:cs="Times New Roman"/>
          <w:b w:val="0"/>
          <w:bCs w:val="0"/>
          <w:kern w:val="0"/>
          <w:sz w:val="36"/>
          <w:szCs w:val="36"/>
          <w:lang w:val="en-US" w:eastAsia="zh-CN" w:bidi="ar-SA"/>
        </w:rPr>
      </w:pPr>
    </w:p>
    <w:p>
      <w:pPr>
        <w:spacing w:line="700" w:lineRule="exact"/>
        <w:jc w:val="left"/>
        <w:rPr>
          <w:rFonts w:hint="eastAsia" w:ascii="Times New Roman" w:hAnsi="Times New Roman" w:eastAsia="仿宋_GB2312" w:cs="Times New Roman"/>
          <w:b w:val="0"/>
          <w:bCs w:val="0"/>
          <w:kern w:val="0"/>
          <w:sz w:val="36"/>
          <w:szCs w:val="36"/>
          <w:lang w:val="en-US" w:eastAsia="zh-CN" w:bidi="ar-SA"/>
        </w:rPr>
      </w:pPr>
      <w:r>
        <w:rPr>
          <w:rFonts w:hint="eastAsia" w:ascii="Times New Roman" w:hAnsi="Times New Roman" w:eastAsia="仿宋_GB2312" w:cs="Times New Roman"/>
          <w:b w:val="0"/>
          <w:bCs w:val="0"/>
          <w:kern w:val="0"/>
          <w:sz w:val="36"/>
          <w:szCs w:val="36"/>
          <w:lang w:val="en-US" w:eastAsia="zh-CN" w:bidi="ar-SA"/>
        </w:rPr>
        <w:t>项目名称：经营成本性支出</w:t>
      </w:r>
    </w:p>
    <w:p>
      <w:pPr>
        <w:spacing w:line="700" w:lineRule="exact"/>
        <w:ind w:left="3240" w:hanging="3240" w:hangingChars="900"/>
        <w:jc w:val="left"/>
        <w:rPr>
          <w:rFonts w:hint="eastAsia" w:ascii="Times New Roman" w:hAnsi="Times New Roman" w:eastAsia="仿宋_GB2312" w:cs="Times New Roman"/>
          <w:b w:val="0"/>
          <w:bCs w:val="0"/>
          <w:kern w:val="0"/>
          <w:sz w:val="36"/>
          <w:szCs w:val="36"/>
          <w:lang w:val="en-US" w:eastAsia="zh-CN" w:bidi="ar-SA"/>
        </w:rPr>
      </w:pPr>
      <w:r>
        <w:rPr>
          <w:rFonts w:hint="eastAsia" w:ascii="Times New Roman" w:hAnsi="Times New Roman" w:eastAsia="仿宋_GB2312" w:cs="Times New Roman"/>
          <w:b w:val="0"/>
          <w:bCs w:val="0"/>
          <w:kern w:val="0"/>
          <w:sz w:val="36"/>
          <w:szCs w:val="36"/>
          <w:lang w:val="en-US" w:eastAsia="zh-CN" w:bidi="ar-SA"/>
        </w:rPr>
        <w:t>实施单位（公章）：新疆维吾尔自治区工业和信息化培训中心（自治区计算机培训中心）</w:t>
      </w:r>
    </w:p>
    <w:p>
      <w:pPr>
        <w:spacing w:line="700" w:lineRule="exact"/>
        <w:jc w:val="left"/>
        <w:rPr>
          <w:rFonts w:hint="eastAsia" w:ascii="Times New Roman" w:hAnsi="Times New Roman" w:eastAsia="仿宋_GB2312" w:cs="Times New Roman"/>
          <w:b w:val="0"/>
          <w:bCs w:val="0"/>
          <w:kern w:val="0"/>
          <w:sz w:val="36"/>
          <w:szCs w:val="36"/>
          <w:lang w:val="en-US" w:eastAsia="zh-CN" w:bidi="ar-SA"/>
        </w:rPr>
      </w:pPr>
      <w:r>
        <w:rPr>
          <w:rFonts w:hint="eastAsia" w:ascii="Times New Roman" w:hAnsi="Times New Roman" w:eastAsia="仿宋_GB2312" w:cs="Times New Roman"/>
          <w:b w:val="0"/>
          <w:bCs w:val="0"/>
          <w:kern w:val="0"/>
          <w:sz w:val="36"/>
          <w:szCs w:val="36"/>
          <w:lang w:val="en-US" w:eastAsia="zh-CN" w:bidi="ar-SA"/>
        </w:rPr>
        <w:t>主管部门（公章）：新疆维吾尔自治区工业和信息化厅</w:t>
      </w:r>
    </w:p>
    <w:p>
      <w:pPr>
        <w:spacing w:line="700" w:lineRule="exact"/>
        <w:jc w:val="left"/>
        <w:rPr>
          <w:rFonts w:hint="eastAsia" w:ascii="Times New Roman" w:hAnsi="Times New Roman" w:eastAsia="仿宋_GB2312" w:cs="Times New Roman"/>
          <w:b w:val="0"/>
          <w:bCs w:val="0"/>
          <w:kern w:val="0"/>
          <w:sz w:val="36"/>
          <w:szCs w:val="36"/>
          <w:lang w:val="en-US" w:eastAsia="zh-CN" w:bidi="ar-SA"/>
        </w:rPr>
      </w:pPr>
      <w:r>
        <w:rPr>
          <w:rFonts w:hint="eastAsia" w:ascii="Times New Roman" w:hAnsi="Times New Roman" w:eastAsia="仿宋_GB2312" w:cs="Times New Roman"/>
          <w:b w:val="0"/>
          <w:bCs w:val="0"/>
          <w:kern w:val="0"/>
          <w:sz w:val="36"/>
          <w:szCs w:val="36"/>
          <w:lang w:val="en-US" w:eastAsia="zh-CN" w:bidi="ar-SA"/>
        </w:rPr>
        <w:t>项目负责人（签章）：</w:t>
      </w:r>
      <w:r>
        <w:rPr>
          <w:rFonts w:hint="eastAsia" w:cs="Times New Roman"/>
          <w:b w:val="0"/>
          <w:bCs w:val="0"/>
          <w:kern w:val="0"/>
          <w:sz w:val="36"/>
          <w:szCs w:val="36"/>
          <w:lang w:val="en-US" w:eastAsia="zh-CN" w:bidi="ar-SA"/>
        </w:rPr>
        <w:t>樊矾</w:t>
      </w:r>
    </w:p>
    <w:p>
      <w:pPr>
        <w:spacing w:line="700" w:lineRule="exact"/>
        <w:jc w:val="left"/>
        <w:rPr>
          <w:rFonts w:hint="eastAsia" w:ascii="Times New Roman" w:hAnsi="Times New Roman" w:eastAsia="仿宋_GB2312" w:cs="Times New Roman"/>
          <w:b w:val="0"/>
          <w:bCs w:val="0"/>
          <w:kern w:val="0"/>
          <w:sz w:val="36"/>
          <w:szCs w:val="36"/>
          <w:lang w:val="en-US" w:eastAsia="zh-CN" w:bidi="ar-SA"/>
        </w:rPr>
      </w:pPr>
      <w:r>
        <w:rPr>
          <w:rFonts w:hint="eastAsia" w:ascii="Times New Roman" w:hAnsi="Times New Roman" w:eastAsia="仿宋_GB2312" w:cs="Times New Roman"/>
          <w:b w:val="0"/>
          <w:bCs w:val="0"/>
          <w:kern w:val="0"/>
          <w:sz w:val="36"/>
          <w:szCs w:val="36"/>
          <w:lang w:val="en-US" w:eastAsia="zh-CN" w:bidi="ar-SA"/>
        </w:rPr>
        <w:t>填</w:t>
      </w:r>
      <w:r>
        <w:rPr>
          <w:rFonts w:hint="eastAsia" w:ascii="Times New Roman" w:hAnsi="Times New Roman" w:eastAsia="仿宋_GB2312" w:cs="Times New Roman"/>
          <w:b w:val="0"/>
          <w:bCs w:val="0"/>
          <w:color w:val="auto"/>
          <w:kern w:val="0"/>
          <w:sz w:val="36"/>
          <w:szCs w:val="36"/>
          <w:lang w:val="en-US" w:eastAsia="zh-CN" w:bidi="ar-SA"/>
        </w:rPr>
        <w:t>报时间：2024 年 3 月25 日</w:t>
      </w:r>
    </w:p>
    <w:p>
      <w:pPr>
        <w:spacing w:line="600" w:lineRule="exact"/>
        <w:rPr>
          <w:color w:val="auto"/>
        </w:rPr>
      </w:pPr>
    </w:p>
    <w:p>
      <w:pPr>
        <w:spacing w:line="600" w:lineRule="exact"/>
        <w:ind w:firstLine="600" w:firstLineChars="200"/>
        <w:rPr>
          <w:color w:val="auto"/>
        </w:rPr>
      </w:pPr>
    </w:p>
    <w:p>
      <w:pPr>
        <w:spacing w:line="600" w:lineRule="exact"/>
        <w:ind w:firstLine="600" w:firstLineChars="200"/>
        <w:rPr>
          <w:color w:val="auto"/>
        </w:rPr>
      </w:pPr>
    </w:p>
    <w:p>
      <w:pPr>
        <w:spacing w:line="600" w:lineRule="exact"/>
        <w:ind w:firstLine="640" w:firstLineChars="200"/>
        <w:rPr>
          <w:rFonts w:hint="eastAsia" w:ascii="黑体" w:hAnsi="黑体" w:eastAsia="黑体"/>
          <w:sz w:val="32"/>
          <w:szCs w:val="32"/>
        </w:rPr>
        <w:sectPr>
          <w:footerReference r:id="rId3" w:type="default"/>
          <w:pgSz w:w="11906" w:h="16838"/>
          <w:pgMar w:top="1928" w:right="1531" w:bottom="1701" w:left="1531" w:header="737" w:footer="851" w:gutter="0"/>
          <w:pgNumType w:fmt="decimal" w:start="1"/>
          <w:cols w:space="720" w:num="1"/>
          <w:docGrid w:type="lines" w:linePitch="408" w:charSpace="0"/>
        </w:sectPr>
      </w:pPr>
    </w:p>
    <w:p>
      <w:pPr>
        <w:numPr>
          <w:ilvl w:val="0"/>
          <w:numId w:val="1"/>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基本情况</w:t>
      </w:r>
    </w:p>
    <w:p>
      <w:pPr>
        <w:spacing w:line="560" w:lineRule="exact"/>
        <w:ind w:firstLine="643" w:firstLineChars="200"/>
        <w:rPr>
          <w:rFonts w:hint="default" w:eastAsiaTheme="majorEastAsia"/>
          <w:lang w:val="en-US" w:eastAsia="zh-CN"/>
        </w:rPr>
      </w:pPr>
      <w:r>
        <w:rPr>
          <w:rFonts w:eastAsia="楷体_GB2312"/>
          <w:b/>
          <w:bCs/>
          <w:sz w:val="32"/>
          <w:szCs w:val="32"/>
        </w:rPr>
        <w:t>（一）项目概况</w:t>
      </w:r>
    </w:p>
    <w:p>
      <w:pPr>
        <w:pStyle w:val="5"/>
        <w:keepLines w:val="0"/>
        <w:pageBreakBefore w:val="0"/>
        <w:kinsoku/>
        <w:wordWrap/>
        <w:overflowPunct/>
        <w:topLinePunct w:val="0"/>
        <w:autoSpaceDE/>
        <w:autoSpaceDN/>
        <w:bidi w:val="0"/>
        <w:adjustRightInd/>
        <w:snapToGrid/>
        <w:spacing w:line="560" w:lineRule="exact"/>
        <w:ind w:firstLine="643"/>
        <w:textAlignment w:val="auto"/>
        <w:rPr>
          <w:rFonts w:ascii="Times New Roman" w:hAnsi="Times New Roman" w:eastAsia="仿宋_GB2312" w:cs="Times New Roman"/>
          <w:b/>
          <w:bCs/>
          <w:kern w:val="2"/>
          <w:sz w:val="32"/>
          <w:szCs w:val="32"/>
          <w:lang w:val="en-US" w:eastAsia="zh-CN" w:bidi="ar-SA"/>
        </w:rPr>
      </w:pPr>
      <w:bookmarkStart w:id="0" w:name="_Toc15336"/>
      <w:r>
        <w:rPr>
          <w:rFonts w:ascii="Times New Roman" w:hAnsi="Times New Roman" w:eastAsia="仿宋_GB2312" w:cs="Times New Roman"/>
          <w:b/>
          <w:bCs/>
          <w:kern w:val="2"/>
          <w:sz w:val="32"/>
          <w:szCs w:val="32"/>
          <w:lang w:val="en-US" w:eastAsia="zh-CN" w:bidi="ar-SA"/>
        </w:rPr>
        <w:t>1、项目背景</w:t>
      </w:r>
      <w:bookmarkEnd w:id="0"/>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根据自治区财政厅印发《关于开展自治区本级202</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年部门预算编制工作的通知》和《自治区本级部门预算绩效目标管理暂行办法》的通知文件规定及自治区工信厅相关要求，新疆维吾尔自治区工业和信息化培训中心（自治区计算机培训中心）（以下简称自治区工业和信息化培训中心）为差额预算单位，开展经营方式的培训业务收入用于经营成本性支出。</w:t>
      </w:r>
    </w:p>
    <w:p>
      <w:pPr>
        <w:keepLines w:val="0"/>
        <w:pageBreakBefore w:val="0"/>
        <w:numPr>
          <w:ilvl w:val="0"/>
          <w:numId w:val="2"/>
        </w:numPr>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项目主要内容：</w:t>
      </w:r>
    </w:p>
    <w:p>
      <w:pPr>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贯彻《自治区人才培养天山计划》的通知，落实《新疆维吾尔自治区工业和信息化厅天山计划人才培养实施方案》，着眼于提高丝绸之路经济带核心区企业现代经营管理水平、提高高职院校信息化教育水平和市场竞争能力，依托国家相关企业人才培养工程；全面提升自治区企业信息化、高职院校信息化人才整体水平。自治区工业和信息化培训中心针对我区工业、经济和信息化等领域紧缺人才开展相应经营成本性支出项目。</w:t>
      </w:r>
    </w:p>
    <w:p>
      <w:pPr>
        <w:keepLines w:val="0"/>
        <w:pageBreakBefore w:val="0"/>
        <w:kinsoku/>
        <w:wordWrap/>
        <w:overflowPunct/>
        <w:topLinePunct w:val="0"/>
        <w:autoSpaceDE/>
        <w:autoSpaceDN/>
        <w:bidi w:val="0"/>
        <w:adjustRightInd/>
        <w:snapToGrid/>
        <w:spacing w:line="560" w:lineRule="exact"/>
        <w:ind w:firstLine="643"/>
        <w:textAlignment w:val="auto"/>
        <w:rPr>
          <w:rFonts w:hint="eastAsia" w:eastAsia="仿宋_GB2312"/>
          <w:lang w:val="en-US" w:eastAsia="zh-CN"/>
        </w:rPr>
      </w:pPr>
      <w:r>
        <w:rPr>
          <w:rFonts w:hint="eastAsia" w:ascii="仿宋_GB2312" w:hAnsi="仿宋_GB2312" w:eastAsia="仿宋_GB2312" w:cs="仿宋_GB2312"/>
          <w:color w:val="auto"/>
          <w:sz w:val="32"/>
          <w:szCs w:val="32"/>
        </w:rPr>
        <w:t>项目实施情况：项</w:t>
      </w:r>
      <w:r>
        <w:rPr>
          <w:rFonts w:hint="eastAsia" w:ascii="仿宋_GB2312" w:hAnsi="仿宋_GB2312" w:eastAsia="仿宋_GB2312" w:cs="仿宋_GB2312"/>
          <w:sz w:val="32"/>
          <w:szCs w:val="32"/>
        </w:rPr>
        <w:t>目目前已经完成实际设立的目标，项目在实施过程中严格按照目标设立的各阶段任务进行开展工作，在前期立项过程中严格把质量关，建立安全防护机制，保证项目实施各阶段安全顺利进行</w:t>
      </w:r>
      <w:r>
        <w:rPr>
          <w:rFonts w:hint="eastAsia" w:ascii="仿宋_GB2312" w:hAnsi="仿宋_GB2312" w:cs="仿宋_GB2312"/>
          <w:sz w:val="32"/>
          <w:szCs w:val="32"/>
          <w:lang w:eastAsia="zh-CN"/>
        </w:rPr>
        <w:t>。</w:t>
      </w:r>
    </w:p>
    <w:p>
      <w:pPr>
        <w:pStyle w:val="5"/>
        <w:keepLines w:val="0"/>
        <w:pageBreakBefore w:val="0"/>
        <w:kinsoku/>
        <w:wordWrap/>
        <w:overflowPunct/>
        <w:topLinePunct w:val="0"/>
        <w:autoSpaceDE/>
        <w:autoSpaceDN/>
        <w:bidi w:val="0"/>
        <w:adjustRightInd/>
        <w:snapToGrid/>
        <w:spacing w:line="560" w:lineRule="exact"/>
        <w:ind w:firstLine="643"/>
        <w:textAlignment w:val="auto"/>
        <w:rPr>
          <w:rFonts w:ascii="Times New Roman" w:hAnsi="Times New Roman" w:eastAsia="仿宋_GB2312" w:cs="Times New Roman"/>
          <w:b/>
          <w:bCs/>
          <w:kern w:val="2"/>
          <w:sz w:val="32"/>
          <w:szCs w:val="32"/>
          <w:lang w:val="en-US" w:eastAsia="zh-CN" w:bidi="ar-SA"/>
        </w:rPr>
      </w:pPr>
      <w:bookmarkStart w:id="1" w:name="_Toc21009"/>
      <w:r>
        <w:rPr>
          <w:rFonts w:ascii="Times New Roman" w:hAnsi="Times New Roman" w:eastAsia="仿宋_GB2312" w:cs="Times New Roman"/>
          <w:b/>
          <w:bCs/>
          <w:kern w:val="2"/>
          <w:sz w:val="32"/>
          <w:szCs w:val="32"/>
          <w:lang w:val="en-US" w:eastAsia="zh-CN" w:bidi="ar-SA"/>
        </w:rPr>
        <w:t>3、资金投入和使用情况</w:t>
      </w:r>
      <w:bookmarkEnd w:id="1"/>
    </w:p>
    <w:p>
      <w:pPr>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（1）资金</w:t>
      </w:r>
      <w:r>
        <w:rPr>
          <w:rFonts w:hint="eastAsia" w:ascii="仿宋_GB2312" w:hAnsi="仿宋_GB2312" w:eastAsia="仿宋_GB2312" w:cs="仿宋_GB2312"/>
          <w:b w:val="0"/>
          <w:bCs w:val="0"/>
          <w:color w:val="auto"/>
          <w:sz w:val="32"/>
          <w:szCs w:val="32"/>
          <w:lang w:eastAsia="zh-CN"/>
        </w:rPr>
        <w:t>投入情况</w:t>
      </w:r>
    </w:p>
    <w:p>
      <w:pPr>
        <w:shd w:val="clear"/>
        <w:spacing w:line="600" w:lineRule="exact"/>
        <w:ind w:firstLine="640" w:firstLineChars="200"/>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highlight w:val="none"/>
          <w:lang w:val="en-US" w:eastAsia="zh-CN"/>
        </w:rPr>
        <w:t>该项目年</w:t>
      </w:r>
      <w:r>
        <w:rPr>
          <w:rFonts w:hint="eastAsia" w:ascii="仿宋_GB2312" w:hAnsi="仿宋_GB2312" w:eastAsia="仿宋_GB2312" w:cs="仿宋_GB2312"/>
          <w:color w:val="auto"/>
          <w:sz w:val="32"/>
          <w:szCs w:val="32"/>
          <w:highlight w:val="none"/>
          <w:lang w:val="en-US" w:eastAsia="zh-CN"/>
        </w:rPr>
        <w:t>初预算数</w:t>
      </w:r>
      <w:r>
        <w:rPr>
          <w:rFonts w:hint="eastAsia" w:ascii="仿宋_GB2312" w:hAnsi="仿宋_GB2312" w:cs="仿宋_GB2312"/>
          <w:color w:val="auto"/>
          <w:sz w:val="32"/>
          <w:szCs w:val="32"/>
          <w:highlight w:val="none"/>
          <w:lang w:val="en-US" w:eastAsia="zh-CN"/>
        </w:rPr>
        <w:t>60</w:t>
      </w:r>
      <w:r>
        <w:rPr>
          <w:rFonts w:hint="eastAsia" w:ascii="仿宋_GB2312" w:hAnsi="仿宋_GB2312" w:eastAsia="仿宋_GB2312" w:cs="仿宋_GB2312"/>
          <w:color w:val="auto"/>
          <w:sz w:val="32"/>
          <w:szCs w:val="32"/>
          <w:highlight w:val="none"/>
          <w:lang w:val="en-US" w:eastAsia="zh-CN"/>
        </w:rPr>
        <w:t>万元，全年预算数</w:t>
      </w:r>
      <w:r>
        <w:rPr>
          <w:rFonts w:hint="eastAsia" w:ascii="仿宋_GB2312" w:hAnsi="仿宋_GB2312" w:cs="仿宋_GB2312"/>
          <w:color w:val="auto"/>
          <w:sz w:val="32"/>
          <w:szCs w:val="32"/>
          <w:highlight w:val="none"/>
          <w:lang w:val="en-US" w:eastAsia="zh-CN"/>
        </w:rPr>
        <w:t>60</w:t>
      </w:r>
      <w:r>
        <w:rPr>
          <w:rFonts w:hint="eastAsia" w:ascii="仿宋_GB2312" w:hAnsi="仿宋_GB2312" w:eastAsia="仿宋_GB2312" w:cs="仿宋_GB2312"/>
          <w:color w:val="auto"/>
          <w:sz w:val="32"/>
          <w:szCs w:val="32"/>
          <w:highlight w:val="none"/>
          <w:lang w:val="en-US" w:eastAsia="zh-CN"/>
        </w:rPr>
        <w:t>万元，实际总投入</w:t>
      </w:r>
      <w:r>
        <w:rPr>
          <w:rFonts w:hint="eastAsia" w:ascii="仿宋_GB2312" w:hAnsi="仿宋_GB2312" w:cs="仿宋_GB2312"/>
          <w:color w:val="auto"/>
          <w:sz w:val="32"/>
          <w:szCs w:val="32"/>
          <w:highlight w:val="none"/>
          <w:lang w:val="en-US" w:eastAsia="zh-CN"/>
        </w:rPr>
        <w:t>60</w:t>
      </w:r>
      <w:r>
        <w:rPr>
          <w:rFonts w:hint="eastAsia" w:ascii="仿宋_GB2312" w:hAnsi="仿宋_GB2312" w:eastAsia="仿宋_GB2312" w:cs="仿宋_GB2312"/>
          <w:color w:val="auto"/>
          <w:sz w:val="32"/>
          <w:szCs w:val="32"/>
          <w:highlight w:val="none"/>
          <w:lang w:val="en-US" w:eastAsia="zh-CN"/>
        </w:rPr>
        <w:t>万元，该项目资</w:t>
      </w:r>
      <w:r>
        <w:rPr>
          <w:rFonts w:hint="eastAsia" w:ascii="仿宋_GB2312" w:hAnsi="仿宋_GB2312" w:eastAsia="仿宋_GB2312" w:cs="仿宋_GB2312"/>
          <w:sz w:val="32"/>
          <w:szCs w:val="32"/>
          <w:highlight w:val="none"/>
          <w:lang w:val="en-US" w:eastAsia="zh-CN"/>
        </w:rPr>
        <w:t>金已全部落实到位，资金来源为</w:t>
      </w:r>
      <w:r>
        <w:rPr>
          <w:rFonts w:hint="eastAsia" w:ascii="仿宋_GB2312" w:hAnsi="仿宋_GB2312" w:cs="仿宋_GB2312"/>
          <w:sz w:val="32"/>
          <w:szCs w:val="32"/>
          <w:highlight w:val="none"/>
          <w:lang w:val="en-US" w:eastAsia="zh-CN"/>
        </w:rPr>
        <w:t>经营收入</w:t>
      </w:r>
      <w:r>
        <w:rPr>
          <w:rFonts w:hint="eastAsia" w:ascii="仿宋_GB2312" w:hAnsi="仿宋_GB2312" w:eastAsia="仿宋_GB2312" w:cs="仿宋_GB2312"/>
          <w:sz w:val="32"/>
          <w:szCs w:val="32"/>
          <w:highlight w:val="none"/>
          <w:lang w:val="en-US" w:eastAsia="zh-CN"/>
        </w:rPr>
        <w:t>。</w:t>
      </w:r>
    </w:p>
    <w:p>
      <w:pPr>
        <w:shd w:val="clear"/>
        <w:spacing w:line="600" w:lineRule="exact"/>
        <w:ind w:firstLine="600" w:firstLineChars="200"/>
        <w:outlineLvl w:val="0"/>
        <w:rPr>
          <w:b w:val="0"/>
          <w:bCs w:val="0"/>
          <w:color w:val="auto"/>
        </w:rPr>
      </w:pPr>
      <w:r>
        <w:rPr>
          <w:b w:val="0"/>
          <w:bCs w:val="0"/>
          <w:color w:val="auto"/>
        </w:rPr>
        <w:t>（2）</w:t>
      </w:r>
      <w:bookmarkStart w:id="2" w:name="page10"/>
      <w:bookmarkEnd w:id="2"/>
      <w:r>
        <w:rPr>
          <w:rFonts w:hint="eastAsia" w:ascii="仿宋_GB2312" w:hAnsi="仿宋_GB2312" w:eastAsia="仿宋_GB2312" w:cs="仿宋_GB2312"/>
          <w:sz w:val="32"/>
          <w:szCs w:val="32"/>
          <w:highlight w:val="none"/>
          <w:lang w:val="en-US" w:eastAsia="zh-CN"/>
        </w:rPr>
        <w:t>资金使用情况</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highlight w:val="none"/>
        </w:rPr>
      </w:pPr>
      <w:bookmarkStart w:id="3" w:name="_Toc9797"/>
      <w:bookmarkStart w:id="4" w:name="_Toc31644"/>
      <w:bookmarkStart w:id="5" w:name="_Toc15855"/>
      <w:bookmarkStart w:id="6" w:name="_Toc17038"/>
      <w:bookmarkStart w:id="7" w:name="_Toc31705"/>
      <w:r>
        <w:rPr>
          <w:rFonts w:hint="eastAsia" w:ascii="仿宋_GB2312" w:hAnsi="仿宋_GB2312" w:eastAsia="仿宋_GB2312" w:cs="仿宋_GB2312"/>
          <w:color w:val="auto"/>
          <w:sz w:val="32"/>
          <w:szCs w:val="32"/>
          <w:highlight w:val="none"/>
          <w:lang w:val="en-US" w:eastAsia="zh-CN"/>
        </w:rPr>
        <w:t>该项目年初预算数60万元，全年预算数60万元，全年执行数24.37万元，预算执行率为40.62%，主要用于：</w:t>
      </w:r>
      <w:r>
        <w:rPr>
          <w:rFonts w:hint="eastAsia" w:ascii="仿宋_GB2312" w:hAnsi="仿宋_GB2312" w:eastAsia="仿宋_GB2312" w:cs="仿宋_GB2312"/>
          <w:color w:val="auto"/>
          <w:sz w:val="32"/>
          <w:szCs w:val="32"/>
          <w:highlight w:val="none"/>
        </w:rPr>
        <w:t>支付经营成本性支出实施过程中的各项费用。</w:t>
      </w:r>
    </w:p>
    <w:bookmarkEnd w:id="3"/>
    <w:bookmarkEnd w:id="4"/>
    <w:bookmarkEnd w:id="5"/>
    <w:bookmarkEnd w:id="6"/>
    <w:bookmarkEnd w:id="7"/>
    <w:p>
      <w:pPr>
        <w:pStyle w:val="4"/>
        <w:keepLines w:val="0"/>
        <w:pageBreakBefore w:val="0"/>
        <w:kinsoku/>
        <w:wordWrap/>
        <w:overflowPunct/>
        <w:topLinePunct w:val="0"/>
        <w:autoSpaceDE/>
        <w:autoSpaceDN/>
        <w:bidi w:val="0"/>
        <w:adjustRightInd/>
        <w:snapToGrid/>
        <w:spacing w:line="560" w:lineRule="exact"/>
        <w:ind w:firstLine="321"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bookmarkStart w:id="8" w:name="_Toc8981"/>
      <w:bookmarkStart w:id="9" w:name="_Toc23579"/>
      <w:bookmarkStart w:id="10" w:name="_Toc28038"/>
      <w:bookmarkStart w:id="11" w:name="_Toc18411"/>
      <w:bookmarkStart w:id="12" w:name="_Toc29592"/>
      <w:r>
        <w:rPr>
          <w:rFonts w:hint="eastAsia" w:ascii="仿宋_GB2312" w:hAnsi="仿宋_GB2312" w:eastAsia="仿宋_GB2312" w:cs="仿宋_GB2312"/>
          <w:color w:val="auto"/>
          <w:sz w:val="32"/>
          <w:szCs w:val="32"/>
        </w:rPr>
        <w:t>（二）项目绩效目标</w:t>
      </w:r>
      <w:bookmarkEnd w:id="8"/>
      <w:bookmarkEnd w:id="9"/>
      <w:bookmarkEnd w:id="10"/>
      <w:bookmarkEnd w:id="11"/>
      <w:bookmarkEnd w:id="12"/>
    </w:p>
    <w:p>
      <w:pPr>
        <w:pStyle w:val="5"/>
        <w:keepLines w:val="0"/>
        <w:pageBreakBefore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Times New Roman"/>
          <w:b w:val="0"/>
          <w:bCs w:val="0"/>
          <w:kern w:val="2"/>
          <w:sz w:val="32"/>
          <w:szCs w:val="32"/>
          <w:lang w:val="en-US" w:eastAsia="zh-CN" w:bidi="ar-SA"/>
        </w:rPr>
      </w:pPr>
      <w:bookmarkStart w:id="13" w:name="_Toc5347"/>
      <w:r>
        <w:rPr>
          <w:rFonts w:hint="eastAsia" w:ascii="Times New Roman" w:hAnsi="Times New Roman" w:eastAsia="仿宋_GB2312" w:cs="Times New Roman"/>
          <w:b w:val="0"/>
          <w:bCs w:val="0"/>
          <w:kern w:val="2"/>
          <w:sz w:val="32"/>
          <w:szCs w:val="32"/>
          <w:lang w:val="en-US" w:eastAsia="zh-CN" w:bidi="ar-SA"/>
        </w:rPr>
        <w:t>1、总体目标</w:t>
      </w:r>
      <w:bookmarkEnd w:id="13"/>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根据全年培训工作计划和绩效方案，进行</w:t>
      </w:r>
      <w:r>
        <w:rPr>
          <w:rFonts w:hint="eastAsia" w:ascii="仿宋_GB2312" w:hAnsi="仿宋_GB2312" w:cs="仿宋_GB2312"/>
          <w:color w:val="auto"/>
          <w:sz w:val="32"/>
          <w:szCs w:val="32"/>
          <w:lang w:eastAsia="zh-CN"/>
        </w:rPr>
        <w:t>多</w:t>
      </w:r>
      <w:r>
        <w:rPr>
          <w:rFonts w:hint="eastAsia" w:ascii="仿宋_GB2312" w:hAnsi="仿宋_GB2312" w:eastAsia="仿宋_GB2312" w:cs="仿宋_GB2312"/>
          <w:color w:val="auto"/>
          <w:sz w:val="32"/>
          <w:szCs w:val="32"/>
        </w:rPr>
        <w:t>次市场调研，根据市场经济发展需求，</w:t>
      </w:r>
      <w:r>
        <w:rPr>
          <w:rFonts w:hint="eastAsia" w:ascii="仿宋_GB2312" w:hAnsi="仿宋_GB2312" w:cs="仿宋_GB2312"/>
          <w:color w:val="auto"/>
          <w:sz w:val="32"/>
          <w:szCs w:val="32"/>
          <w:lang w:eastAsia="zh-CN"/>
        </w:rPr>
        <w:t>积极与湖南师范大学对接，按照湖南师范大学对成人高等教育的各项要求，落实招生服务、咨询服务、</w:t>
      </w:r>
      <w:r>
        <w:rPr>
          <w:rFonts w:hint="eastAsia" w:ascii="仿宋_GB2312" w:hAnsi="仿宋_GB2312" w:cs="仿宋_GB2312"/>
          <w:color w:val="auto"/>
          <w:sz w:val="32"/>
          <w:szCs w:val="32"/>
          <w:lang w:val="en-US" w:eastAsia="zh-CN"/>
        </w:rPr>
        <w:t>线上线下</w:t>
      </w:r>
      <w:r>
        <w:rPr>
          <w:rFonts w:hint="eastAsia" w:ascii="仿宋_GB2312" w:hAnsi="仿宋_GB2312" w:cs="仿宋_GB2312"/>
          <w:color w:val="auto"/>
          <w:sz w:val="32"/>
          <w:szCs w:val="32"/>
          <w:lang w:eastAsia="zh-CN"/>
        </w:rPr>
        <w:t>教学管理等工</w:t>
      </w:r>
      <w:r>
        <w:rPr>
          <w:rFonts w:hint="eastAsia" w:ascii="仿宋_GB2312" w:hAnsi="仿宋_GB2312" w:eastAsia="仿宋_GB2312" w:cs="仿宋_GB2312"/>
          <w:color w:val="auto"/>
          <w:sz w:val="32"/>
          <w:szCs w:val="32"/>
          <w:lang w:eastAsia="zh-CN"/>
        </w:rPr>
        <w:t>作。</w:t>
      </w:r>
      <w:r>
        <w:rPr>
          <w:rFonts w:hint="eastAsia" w:ascii="仿宋_GB2312" w:hAnsi="仿宋_GB2312" w:eastAsia="仿宋_GB2312" w:cs="仿宋_GB2312"/>
          <w:color w:val="auto"/>
          <w:sz w:val="32"/>
          <w:szCs w:val="32"/>
        </w:rPr>
        <w:t>项目按计划在2023 年分批次组织实施完成，</w:t>
      </w:r>
      <w:r>
        <w:rPr>
          <w:rFonts w:hint="eastAsia" w:ascii="仿宋_GB2312" w:hAnsi="仿宋_GB2312" w:eastAsia="仿宋_GB2312" w:cs="仿宋_GB2312"/>
          <w:color w:val="auto"/>
          <w:sz w:val="32"/>
          <w:szCs w:val="32"/>
          <w:lang w:eastAsia="zh-CN"/>
        </w:rPr>
        <w:t>分批次</w:t>
      </w:r>
      <w:r>
        <w:rPr>
          <w:rFonts w:hint="eastAsia" w:ascii="仿宋_GB2312" w:hAnsi="仿宋_GB2312" w:eastAsia="仿宋_GB2312" w:cs="仿宋_GB2312"/>
          <w:color w:val="auto"/>
          <w:sz w:val="32"/>
          <w:szCs w:val="32"/>
        </w:rPr>
        <w:t>根据实际需求，制定</w:t>
      </w:r>
      <w:r>
        <w:rPr>
          <w:rFonts w:hint="eastAsia" w:ascii="仿宋_GB2312" w:hAnsi="仿宋_GB2312" w:eastAsia="仿宋_GB2312" w:cs="仿宋_GB2312"/>
          <w:color w:val="auto"/>
          <w:sz w:val="32"/>
          <w:szCs w:val="32"/>
          <w:lang w:eastAsia="zh-CN"/>
        </w:rPr>
        <w:t>学生</w:t>
      </w:r>
      <w:r>
        <w:rPr>
          <w:rFonts w:hint="eastAsia" w:ascii="仿宋_GB2312" w:hAnsi="仿宋_GB2312" w:eastAsia="仿宋_GB2312" w:cs="仿宋_GB2312"/>
          <w:color w:val="auto"/>
          <w:sz w:val="32"/>
          <w:szCs w:val="32"/>
        </w:rPr>
        <w:t>人数，全年完成</w:t>
      </w:r>
      <w:r>
        <w:rPr>
          <w:rFonts w:hint="eastAsia" w:ascii="仿宋_GB2312" w:hAnsi="仿宋_GB2312" w:eastAsia="仿宋_GB2312" w:cs="仿宋_GB2312"/>
          <w:color w:val="auto"/>
          <w:sz w:val="32"/>
          <w:szCs w:val="32"/>
          <w:lang w:eastAsia="zh-CN"/>
        </w:rPr>
        <w:t>不少于</w:t>
      </w:r>
      <w:r>
        <w:rPr>
          <w:rFonts w:hint="eastAsia" w:ascii="仿宋_GB2312" w:hAnsi="仿宋_GB2312" w:eastAsia="仿宋_GB2312" w:cs="仿宋_GB2312"/>
          <w:color w:val="auto"/>
          <w:sz w:val="32"/>
          <w:szCs w:val="32"/>
        </w:rPr>
        <w:t>600人次</w:t>
      </w:r>
      <w:r>
        <w:rPr>
          <w:rFonts w:hint="eastAsia" w:ascii="仿宋_GB2312" w:hAnsi="仿宋_GB2312" w:eastAsia="仿宋_GB2312" w:cs="仿宋_GB2312"/>
          <w:color w:val="auto"/>
          <w:sz w:val="32"/>
          <w:szCs w:val="32"/>
          <w:lang w:eastAsia="zh-CN"/>
        </w:rPr>
        <w:t>的相关</w:t>
      </w:r>
      <w:r>
        <w:rPr>
          <w:rFonts w:hint="eastAsia" w:ascii="仿宋_GB2312" w:hAnsi="仿宋_GB2312" w:eastAsia="仿宋_GB2312" w:cs="仿宋_GB2312"/>
          <w:color w:val="auto"/>
          <w:sz w:val="32"/>
          <w:szCs w:val="32"/>
        </w:rPr>
        <w:t>任务。项目经费支出严格按照自治区财政绩效要求进行核算支出。</w:t>
      </w:r>
    </w:p>
    <w:p>
      <w:pPr>
        <w:pStyle w:val="5"/>
        <w:keepLines w:val="0"/>
        <w:pageBreakBefore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Times New Roman"/>
          <w:b w:val="0"/>
          <w:bCs w:val="0"/>
          <w:kern w:val="2"/>
          <w:sz w:val="32"/>
          <w:szCs w:val="32"/>
          <w:lang w:val="en-US" w:eastAsia="zh-CN" w:bidi="ar-SA"/>
        </w:rPr>
      </w:pPr>
      <w:bookmarkStart w:id="14" w:name="_Toc3406"/>
      <w:r>
        <w:rPr>
          <w:rFonts w:hint="eastAsia" w:ascii="Times New Roman" w:hAnsi="Times New Roman" w:eastAsia="仿宋_GB2312" w:cs="Times New Roman"/>
          <w:b w:val="0"/>
          <w:bCs w:val="0"/>
          <w:kern w:val="2"/>
          <w:sz w:val="32"/>
          <w:szCs w:val="32"/>
          <w:lang w:val="en-US" w:eastAsia="zh-CN" w:bidi="ar-SA"/>
        </w:rPr>
        <w:t>2、阶段性目标</w:t>
      </w:r>
      <w:bookmarkEnd w:id="14"/>
    </w:p>
    <w:p>
      <w:pPr>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（1）前期准备：通过制定项目实施方案，经项目负责人审核通过后，有序开展后续工作。</w:t>
      </w:r>
    </w:p>
    <w:p>
      <w:pPr>
        <w:keepLines w:val="0"/>
        <w:pageBreakBefore w:val="0"/>
        <w:kinsoku/>
        <w:wordWrap/>
        <w:overflowPunct/>
        <w:topLinePunct w:val="0"/>
        <w:autoSpaceDE/>
        <w:autoSpaceDN/>
        <w:bidi w:val="0"/>
        <w:adjustRightInd/>
        <w:snapToGrid/>
        <w:spacing w:line="560" w:lineRule="exact"/>
        <w:ind w:firstLine="643"/>
        <w:textAlignment w:val="auto"/>
        <w:rPr>
          <w:rFonts w:hint="default" w:eastAsia="仿宋_GB2312"/>
          <w:lang w:val="en-US" w:eastAsia="zh-CN"/>
        </w:rPr>
      </w:pPr>
      <w:r>
        <w:rPr>
          <w:rFonts w:hint="eastAsia" w:ascii="仿宋_GB2312" w:hAnsi="仿宋_GB2312" w:eastAsia="仿宋_GB2312" w:cs="仿宋_GB2312"/>
          <w:b w:val="0"/>
          <w:bCs w:val="0"/>
          <w:color w:val="auto"/>
          <w:sz w:val="32"/>
          <w:szCs w:val="32"/>
        </w:rPr>
        <w:t>（2）组织实施：开展经营收入，立即根据成本性支出要求实施项目。项目责任人</w:t>
      </w:r>
      <w:r>
        <w:rPr>
          <w:rFonts w:hint="eastAsia" w:ascii="仿宋_GB2312" w:hAnsi="仿宋_GB2312" w:eastAsia="仿宋_GB2312" w:cs="仿宋_GB2312"/>
          <w:color w:val="auto"/>
          <w:sz w:val="32"/>
          <w:szCs w:val="32"/>
        </w:rPr>
        <w:t>按照项目实施方案要求逐一进行项目部署安排，提高项目质量及效率性。</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二、绩效评价工作开展情况</w:t>
      </w:r>
    </w:p>
    <w:p>
      <w:pPr>
        <w:pStyle w:val="4"/>
        <w:keepLines w:val="0"/>
        <w:pageBreakBefore w:val="0"/>
        <w:kinsoku/>
        <w:wordWrap/>
        <w:overflowPunct/>
        <w:topLinePunct w:val="0"/>
        <w:autoSpaceDE/>
        <w:autoSpaceDN/>
        <w:bidi w:val="0"/>
        <w:adjustRightInd/>
        <w:snapToGrid/>
        <w:spacing w:line="560" w:lineRule="exact"/>
        <w:ind w:firstLine="643"/>
        <w:textAlignment w:val="auto"/>
        <w:rPr>
          <w:color w:val="auto"/>
          <w:sz w:val="32"/>
          <w:szCs w:val="32"/>
        </w:rPr>
      </w:pPr>
      <w:bookmarkStart w:id="15" w:name="_Toc29147"/>
      <w:bookmarkStart w:id="16" w:name="_Toc6080"/>
      <w:bookmarkStart w:id="17" w:name="_Toc31062"/>
      <w:bookmarkStart w:id="18" w:name="_Toc26441"/>
      <w:bookmarkStart w:id="19" w:name="_Toc6598"/>
      <w:r>
        <w:rPr>
          <w:color w:val="auto"/>
          <w:sz w:val="32"/>
          <w:szCs w:val="32"/>
        </w:rPr>
        <w:t>（一）绩效评价目的、对象和范围</w:t>
      </w:r>
      <w:bookmarkEnd w:id="15"/>
      <w:bookmarkEnd w:id="16"/>
      <w:bookmarkEnd w:id="17"/>
      <w:bookmarkEnd w:id="18"/>
      <w:bookmarkEnd w:id="19"/>
    </w:p>
    <w:p>
      <w:pPr>
        <w:pStyle w:val="5"/>
        <w:keepLines w:val="0"/>
        <w:pageBreakBefore w:val="0"/>
        <w:kinsoku/>
        <w:wordWrap/>
        <w:overflowPunct/>
        <w:topLinePunct w:val="0"/>
        <w:autoSpaceDE/>
        <w:autoSpaceDN/>
        <w:bidi w:val="0"/>
        <w:adjustRightInd/>
        <w:snapToGrid/>
        <w:spacing w:line="560" w:lineRule="exact"/>
        <w:ind w:firstLine="643"/>
        <w:textAlignment w:val="auto"/>
        <w:rPr>
          <w:b w:val="0"/>
          <w:bCs w:val="0"/>
          <w:color w:val="auto"/>
          <w:sz w:val="32"/>
          <w:szCs w:val="32"/>
        </w:rPr>
      </w:pPr>
      <w:bookmarkStart w:id="20" w:name="_Toc12923"/>
      <w:bookmarkStart w:id="21" w:name="_Toc7717"/>
      <w:r>
        <w:rPr>
          <w:b w:val="0"/>
          <w:bCs w:val="0"/>
          <w:color w:val="auto"/>
          <w:sz w:val="32"/>
          <w:szCs w:val="32"/>
        </w:rPr>
        <w:t>1、绩效评价的目的</w:t>
      </w:r>
      <w:bookmarkEnd w:id="20"/>
      <w:bookmarkEnd w:id="21"/>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rFonts w:hint="eastAsia"/>
          <w:color w:val="auto"/>
          <w:sz w:val="32"/>
          <w:szCs w:val="32"/>
        </w:rPr>
        <w:t>严格按照《会计法》、《政府会计制度》、《自治区工业和信息化培训中心内控制度》等规定执行财务核算，</w:t>
      </w:r>
      <w:r>
        <w:rPr>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rFonts w:hint="eastAsia"/>
          <w:color w:val="auto"/>
          <w:sz w:val="32"/>
          <w:szCs w:val="32"/>
        </w:rPr>
        <w:t>（1）</w:t>
      </w:r>
      <w:r>
        <w:rPr>
          <w:color w:val="auto"/>
          <w:sz w:val="32"/>
          <w:szCs w:val="32"/>
        </w:rPr>
        <w:t>项目在实施前向项目负责人提供财政支出绩效方面的资金管理信息，促进项目支出严格按照资金管理规定进行。</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（2）项目绩效管理财政支出运行提供及时、有效的信息。</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综合来看，通过开展有效的财政支出绩效评价管理，达到改进预算管理、控制节约成本，提高预算资金使用效益的目的。</w:t>
      </w:r>
    </w:p>
    <w:p>
      <w:pPr>
        <w:pStyle w:val="5"/>
        <w:keepLines w:val="0"/>
        <w:pageBreakBefore w:val="0"/>
        <w:kinsoku/>
        <w:wordWrap/>
        <w:overflowPunct/>
        <w:topLinePunct w:val="0"/>
        <w:autoSpaceDE/>
        <w:autoSpaceDN/>
        <w:bidi w:val="0"/>
        <w:adjustRightInd/>
        <w:snapToGrid/>
        <w:spacing w:line="560" w:lineRule="exact"/>
        <w:ind w:firstLine="643"/>
        <w:textAlignment w:val="auto"/>
        <w:rPr>
          <w:b w:val="0"/>
          <w:bCs w:val="0"/>
          <w:color w:val="auto"/>
          <w:sz w:val="32"/>
          <w:szCs w:val="32"/>
        </w:rPr>
      </w:pPr>
      <w:bookmarkStart w:id="22" w:name="_Toc31233"/>
      <w:bookmarkStart w:id="23" w:name="_Toc4609"/>
      <w:r>
        <w:rPr>
          <w:b w:val="0"/>
          <w:bCs w:val="0"/>
          <w:color w:val="auto"/>
          <w:sz w:val="32"/>
          <w:szCs w:val="32"/>
        </w:rPr>
        <w:t>2、绩效评价的对象</w:t>
      </w:r>
      <w:bookmarkEnd w:id="22"/>
      <w:bookmarkEnd w:id="23"/>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bookmarkStart w:id="24" w:name="_Toc12073"/>
      <w:bookmarkStart w:id="25" w:name="_Toc8775"/>
      <w:bookmarkStart w:id="26" w:name="_Toc29553"/>
      <w:r>
        <w:rPr>
          <w:rFonts w:hint="eastAsia"/>
          <w:color w:val="auto"/>
          <w:sz w:val="32"/>
          <w:szCs w:val="32"/>
        </w:rPr>
        <w:t>新疆维吾尔自治区工业和信息化培训中心（自治区计算机培训中心）经营成本性支出</w:t>
      </w:r>
      <w:r>
        <w:rPr>
          <w:rFonts w:hint="eastAsia"/>
          <w:color w:val="auto"/>
          <w:sz w:val="32"/>
          <w:szCs w:val="32"/>
          <w:lang w:eastAsia="zh-CN"/>
        </w:rPr>
        <w:t>项目所包含的全部项目内容</w:t>
      </w:r>
      <w:r>
        <w:rPr>
          <w:rFonts w:hint="eastAsia"/>
          <w:color w:val="auto"/>
          <w:sz w:val="32"/>
          <w:szCs w:val="32"/>
        </w:rPr>
        <w:t>。</w:t>
      </w:r>
      <w:bookmarkEnd w:id="24"/>
      <w:bookmarkEnd w:id="25"/>
      <w:bookmarkEnd w:id="26"/>
    </w:p>
    <w:p>
      <w:pPr>
        <w:pStyle w:val="5"/>
        <w:keepLines w:val="0"/>
        <w:pageBreakBefore w:val="0"/>
        <w:kinsoku/>
        <w:wordWrap/>
        <w:overflowPunct/>
        <w:topLinePunct w:val="0"/>
        <w:autoSpaceDE/>
        <w:autoSpaceDN/>
        <w:bidi w:val="0"/>
        <w:adjustRightInd/>
        <w:snapToGrid/>
        <w:spacing w:line="560" w:lineRule="exact"/>
        <w:ind w:firstLine="643"/>
        <w:textAlignment w:val="auto"/>
        <w:rPr>
          <w:b w:val="0"/>
          <w:bCs w:val="0"/>
          <w:color w:val="auto"/>
          <w:sz w:val="32"/>
          <w:szCs w:val="32"/>
        </w:rPr>
      </w:pPr>
      <w:bookmarkStart w:id="27" w:name="_Toc26067"/>
      <w:bookmarkStart w:id="28" w:name="_Toc1203"/>
      <w:r>
        <w:rPr>
          <w:b w:val="0"/>
          <w:bCs w:val="0"/>
          <w:color w:val="auto"/>
          <w:sz w:val="32"/>
          <w:szCs w:val="32"/>
        </w:rPr>
        <w:t>3、绩效评价的范围</w:t>
      </w:r>
      <w:bookmarkEnd w:id="27"/>
      <w:bookmarkEnd w:id="28"/>
    </w:p>
    <w:p>
      <w:pPr>
        <w:spacing w:line="560" w:lineRule="exact"/>
        <w:ind w:firstLine="640" w:firstLineChars="200"/>
        <w:rPr>
          <w:rFonts w:ascii="仿宋_GB2312" w:hAnsi="仿宋_GB2312" w:eastAsia="仿宋_GB2312" w:cs="仿宋_GB2312"/>
          <w:sz w:val="32"/>
          <w:szCs w:val="32"/>
        </w:rPr>
      </w:pPr>
      <w:bookmarkStart w:id="29" w:name="_Toc22084"/>
      <w:bookmarkStart w:id="30" w:name="_Toc7298"/>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color w:val="auto"/>
          <w:sz w:val="32"/>
          <w:szCs w:val="32"/>
        </w:rPr>
        <w:t>经营成本性支出</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auto"/>
          <w:sz w:val="32"/>
          <w:szCs w:val="32"/>
        </w:rPr>
        <w:t>进行评价</w:t>
      </w:r>
      <w:r>
        <w:rPr>
          <w:rFonts w:hint="eastAsia" w:ascii="仿宋_GB2312" w:hAnsi="仿宋_GB2312" w:eastAsia="仿宋_GB2312" w:cs="仿宋_GB2312"/>
          <w:sz w:val="32"/>
          <w:szCs w:val="32"/>
        </w:rPr>
        <w:t>，评价核心为专项资金的支出完成情况和效果。</w:t>
      </w:r>
    </w:p>
    <w:p>
      <w:pPr>
        <w:pStyle w:val="4"/>
        <w:keepLines w:val="0"/>
        <w:pageBreakBefore w:val="0"/>
        <w:kinsoku/>
        <w:wordWrap/>
        <w:overflowPunct/>
        <w:topLinePunct w:val="0"/>
        <w:autoSpaceDE/>
        <w:autoSpaceDN/>
        <w:bidi w:val="0"/>
        <w:adjustRightInd/>
        <w:snapToGrid/>
        <w:spacing w:line="560" w:lineRule="exact"/>
        <w:ind w:firstLine="643" w:firstLineChars="200"/>
        <w:textAlignment w:val="auto"/>
        <w:rPr>
          <w:color w:val="auto"/>
          <w:sz w:val="32"/>
          <w:szCs w:val="32"/>
        </w:rPr>
      </w:pPr>
      <w:bookmarkStart w:id="31" w:name="_Toc32271"/>
      <w:bookmarkStart w:id="32" w:name="_Toc14556"/>
      <w:bookmarkStart w:id="33" w:name="_Toc24332"/>
      <w:r>
        <w:rPr>
          <w:color w:val="auto"/>
          <w:sz w:val="32"/>
          <w:szCs w:val="32"/>
        </w:rPr>
        <w:t>（二）绩效评价原则、评价指标体系（详情见表1）、评价方法、评价标准</w:t>
      </w:r>
      <w:bookmarkEnd w:id="31"/>
      <w:bookmarkEnd w:id="32"/>
      <w:bookmarkEnd w:id="33"/>
    </w:p>
    <w:bookmarkEnd w:id="29"/>
    <w:bookmarkEnd w:id="30"/>
    <w:p>
      <w:pPr>
        <w:pStyle w:val="5"/>
        <w:keepLines w:val="0"/>
        <w:pageBreakBefore w:val="0"/>
        <w:kinsoku/>
        <w:wordWrap/>
        <w:overflowPunct/>
        <w:topLinePunct w:val="0"/>
        <w:autoSpaceDE/>
        <w:autoSpaceDN/>
        <w:bidi w:val="0"/>
        <w:adjustRightInd/>
        <w:snapToGrid/>
        <w:spacing w:line="560" w:lineRule="exact"/>
        <w:ind w:firstLine="643"/>
        <w:textAlignment w:val="auto"/>
        <w:rPr>
          <w:b w:val="0"/>
          <w:bCs w:val="0"/>
          <w:color w:val="auto"/>
          <w:sz w:val="32"/>
          <w:szCs w:val="32"/>
        </w:rPr>
      </w:pPr>
      <w:bookmarkStart w:id="34" w:name="_Toc17187"/>
      <w:bookmarkStart w:id="35" w:name="_Toc28032"/>
      <w:r>
        <w:rPr>
          <w:b w:val="0"/>
          <w:bCs w:val="0"/>
          <w:color w:val="auto"/>
          <w:sz w:val="32"/>
          <w:szCs w:val="32"/>
        </w:rPr>
        <w:t>1、绩效评价原则</w:t>
      </w:r>
      <w:bookmarkEnd w:id="34"/>
      <w:bookmarkEnd w:id="35"/>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本次项目绩效评价遵循以下基本原则：</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bookmarkStart w:id="36" w:name="_Toc12853"/>
      <w:bookmarkStart w:id="37" w:name="_Toc19512"/>
      <w:bookmarkStart w:id="38" w:name="_Toc13220"/>
      <w:r>
        <w:rPr>
          <w:color w:val="auto"/>
          <w:sz w:val="32"/>
          <w:szCs w:val="32"/>
        </w:rPr>
        <w:t>（1）科学公正。绩效评价应当运用科学合理的方法，按照规范的程序，对项目绩效进行客观、公正的反映。</w:t>
      </w:r>
      <w:bookmarkEnd w:id="36"/>
      <w:bookmarkEnd w:id="37"/>
      <w:bookmarkEnd w:id="38"/>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bookmarkStart w:id="39" w:name="_Toc10792"/>
      <w:bookmarkStart w:id="40" w:name="_Toc10166"/>
      <w:bookmarkStart w:id="41" w:name="_Toc29060"/>
      <w:r>
        <w:rPr>
          <w:color w:val="auto"/>
          <w:sz w:val="32"/>
          <w:szCs w:val="32"/>
        </w:rPr>
        <w:t>（2）统筹兼顾。单位自评、部门评价和财政评价应职责明确，各有侧重，相互衔接。单位自评应由项目单位自主实施，即“谁支出、谁自评”。部门评价和财政评价应在单位自评的基础上开展。</w:t>
      </w:r>
      <w:bookmarkEnd w:id="39"/>
      <w:bookmarkEnd w:id="40"/>
      <w:bookmarkEnd w:id="41"/>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bookmarkStart w:id="42" w:name="_Toc31215"/>
      <w:bookmarkStart w:id="43" w:name="_Toc25477"/>
      <w:bookmarkStart w:id="44" w:name="_Toc5243"/>
      <w:r>
        <w:rPr>
          <w:color w:val="auto"/>
          <w:sz w:val="32"/>
          <w:szCs w:val="32"/>
        </w:rPr>
        <w:t>（3）激励约束。绩效评价结果应与预算安排、政策调整、改进管理实质性挂钩，体现奖优罚劣和激励相容导向，有效要安排、低效要压减、无效要问责。</w:t>
      </w:r>
      <w:bookmarkEnd w:id="42"/>
      <w:bookmarkEnd w:id="43"/>
      <w:bookmarkEnd w:id="44"/>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bookmarkStart w:id="45" w:name="_Toc14955"/>
      <w:bookmarkStart w:id="46" w:name="_Toc12748"/>
      <w:bookmarkStart w:id="47" w:name="_Toc25126"/>
      <w:r>
        <w:rPr>
          <w:color w:val="auto"/>
          <w:sz w:val="32"/>
          <w:szCs w:val="32"/>
        </w:rPr>
        <w:t>（4）公开透明。绩效评价结果应依法依规公开，并自觉接受社会监督。</w:t>
      </w:r>
      <w:bookmarkEnd w:id="45"/>
      <w:bookmarkEnd w:id="46"/>
      <w:bookmarkEnd w:id="47"/>
    </w:p>
    <w:p>
      <w:pPr>
        <w:pStyle w:val="5"/>
        <w:keepLines w:val="0"/>
        <w:pageBreakBefore w:val="0"/>
        <w:kinsoku/>
        <w:wordWrap/>
        <w:overflowPunct/>
        <w:topLinePunct w:val="0"/>
        <w:autoSpaceDE/>
        <w:autoSpaceDN/>
        <w:bidi w:val="0"/>
        <w:adjustRightInd/>
        <w:snapToGrid/>
        <w:spacing w:line="560" w:lineRule="exact"/>
        <w:ind w:firstLine="643"/>
        <w:textAlignment w:val="auto"/>
        <w:rPr>
          <w:b w:val="0"/>
          <w:bCs w:val="0"/>
          <w:color w:val="auto"/>
          <w:sz w:val="32"/>
          <w:szCs w:val="32"/>
        </w:rPr>
      </w:pPr>
      <w:bookmarkStart w:id="48" w:name="_Toc19508"/>
      <w:bookmarkStart w:id="49" w:name="_Toc19183"/>
      <w:r>
        <w:rPr>
          <w:b w:val="0"/>
          <w:bCs w:val="0"/>
          <w:color w:val="auto"/>
          <w:sz w:val="32"/>
          <w:szCs w:val="32"/>
        </w:rPr>
        <w:t>2、评价指标体系</w:t>
      </w:r>
      <w:bookmarkEnd w:id="48"/>
      <w:bookmarkEnd w:id="49"/>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绩效评价框架是开展绩效评价的核心。绩效评价框架包括评价准则、关键评价问题、评价指标、数据来源、数据收集方法等。指标体系建立过程如下：</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（1）确定评价指标</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rFonts w:hint="eastAsia"/>
          <w:color w:val="auto"/>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（2）确定权重</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rFonts w:hint="eastAsia"/>
          <w:color w:val="auto"/>
          <w:sz w:val="32"/>
          <w:szCs w:val="32"/>
        </w:rPr>
        <w:t>确定各个指标相对于项目总体绩效的权重分值。在绩效评价指标体系中，项目决策类权重为20分，项目过程类权重为20分，项目产出类权重为40分，项目效益类权重为20分。</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r>
        <w:rPr>
          <w:color w:val="auto"/>
          <w:sz w:val="32"/>
          <w:szCs w:val="32"/>
        </w:rPr>
        <w:t>（3）确定指标标准值</w:t>
      </w:r>
    </w:p>
    <w:p>
      <w:pPr>
        <w:keepLines w:val="0"/>
        <w:pageBreakBefore w:val="0"/>
        <w:kinsoku/>
        <w:wordWrap/>
        <w:overflowPunct/>
        <w:topLinePunct w:val="0"/>
        <w:autoSpaceDE/>
        <w:autoSpaceDN/>
        <w:bidi w:val="0"/>
        <w:adjustRightInd/>
        <w:snapToGrid/>
        <w:spacing w:line="560" w:lineRule="exact"/>
        <w:ind w:firstLine="640"/>
        <w:textAlignment w:val="auto"/>
        <w:rPr>
          <w:color w:val="auto"/>
          <w:sz w:val="32"/>
          <w:szCs w:val="32"/>
        </w:rPr>
      </w:pPr>
      <w:bookmarkStart w:id="50" w:name="_Toc29458"/>
      <w:bookmarkStart w:id="51" w:name="_Toc23156"/>
      <w:bookmarkStart w:id="52" w:name="_Toc31257"/>
      <w:r>
        <w:rPr>
          <w:rFonts w:hint="eastAsia"/>
          <w:color w:val="auto"/>
          <w:sz w:val="32"/>
          <w:szCs w:val="32"/>
        </w:rPr>
        <w:t>运用适当的方法，认真对标确定各个指标相对于</w:t>
      </w:r>
      <w:r>
        <w:rPr>
          <w:color w:val="auto"/>
          <w:sz w:val="32"/>
          <w:szCs w:val="32"/>
        </w:rPr>
        <w:t>项目总体绩效的</w:t>
      </w:r>
      <w:r>
        <w:rPr>
          <w:rFonts w:hint="eastAsia"/>
          <w:color w:val="auto"/>
          <w:sz w:val="32"/>
          <w:szCs w:val="32"/>
        </w:rPr>
        <w:t>重要性及可行性，是否符合项目的实际绩效水平。采用计划标准等确定此次绩效评价指标标准值，</w:t>
      </w:r>
      <w:r>
        <w:rPr>
          <w:color w:val="auto"/>
          <w:sz w:val="32"/>
          <w:szCs w:val="32"/>
        </w:rPr>
        <w:t>并用</w:t>
      </w:r>
      <w:r>
        <w:rPr>
          <w:rFonts w:hint="eastAsia"/>
          <w:color w:val="auto"/>
          <w:sz w:val="32"/>
          <w:szCs w:val="32"/>
        </w:rPr>
        <w:t>具体的分值</w:t>
      </w:r>
      <w:r>
        <w:rPr>
          <w:color w:val="auto"/>
          <w:sz w:val="32"/>
          <w:szCs w:val="32"/>
        </w:rPr>
        <w:t>量化每个指标的权重。</w:t>
      </w:r>
    </w:p>
    <w:p>
      <w:pPr>
        <w:pStyle w:val="2"/>
        <w:spacing w:before="0" w:after="0" w:line="560" w:lineRule="exact"/>
        <w:ind w:firstLine="640" w:firstLineChars="200"/>
        <w:jc w:val="both"/>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640" w:firstLineChars="200"/>
        <w:jc w:val="both"/>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具体评价指标体系详情见附件1</w:t>
      </w:r>
    </w:p>
    <w:bookmarkEnd w:id="50"/>
    <w:bookmarkEnd w:id="51"/>
    <w:bookmarkEnd w:id="52"/>
    <w:p>
      <w:pPr>
        <w:pStyle w:val="5"/>
        <w:keepLines w:val="0"/>
        <w:pageBreakBefore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Times New Roman"/>
          <w:b w:val="0"/>
          <w:bCs w:val="0"/>
          <w:color w:val="auto"/>
          <w:kern w:val="2"/>
          <w:sz w:val="32"/>
          <w:szCs w:val="32"/>
          <w:lang w:val="en-US" w:eastAsia="zh-CN" w:bidi="ar-SA"/>
        </w:rPr>
      </w:pPr>
      <w:bookmarkStart w:id="53" w:name="_Toc4648"/>
      <w:bookmarkStart w:id="54" w:name="_Toc8203"/>
      <w:r>
        <w:rPr>
          <w:rFonts w:hint="eastAsia" w:ascii="Times New Roman" w:hAnsi="Times New Roman" w:eastAsia="仿宋_GB2312" w:cs="Times New Roman"/>
          <w:b w:val="0"/>
          <w:bCs w:val="0"/>
          <w:color w:val="auto"/>
          <w:kern w:val="2"/>
          <w:sz w:val="32"/>
          <w:szCs w:val="32"/>
          <w:lang w:val="en-US" w:eastAsia="zh-CN" w:bidi="ar-SA"/>
        </w:rPr>
        <w:t>3、绩效评价方法</w:t>
      </w:r>
      <w:bookmarkEnd w:id="53"/>
      <w:bookmarkEnd w:id="54"/>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仿宋_GB2312" w:cs="Times New Roman"/>
          <w:b w:val="0"/>
          <w:bCs w:val="0"/>
          <w:color w:val="auto"/>
          <w:kern w:val="2"/>
          <w:sz w:val="32"/>
          <w:szCs w:val="32"/>
          <w:lang w:val="en-US" w:eastAsia="zh-CN" w:bidi="ar-SA"/>
        </w:rPr>
      </w:pPr>
      <w:bookmarkStart w:id="55" w:name="_Toc32046"/>
      <w:bookmarkStart w:id="56" w:name="_Toc26775"/>
      <w:r>
        <w:rPr>
          <w:rFonts w:hint="eastAsia" w:ascii="Times New Roman" w:hAnsi="Times New Roman" w:eastAsia="仿宋_GB2312" w:cs="Times New Roman"/>
          <w:b w:val="0"/>
          <w:bCs w:val="0"/>
          <w:color w:val="auto"/>
          <w:kern w:val="2"/>
          <w:sz w:val="32"/>
          <w:szCs w:val="32"/>
          <w:lang w:val="en-US" w:eastAsia="zh-CN" w:bidi="ar-SA"/>
        </w:rPr>
        <w:t>本着客观公正和有效性原则，自治区工业和信息化培训中心将绩效评价从项目决策、项目过程、项目产出、项目效益四个维度进行评价。根据项目绩效总目标采用了目标管理法，专款专用，做好专项资金预算、使用计划、标准等，于12月项目完成。</w:t>
      </w:r>
    </w:p>
    <w:p>
      <w:pPr>
        <w:pStyle w:val="5"/>
        <w:keepLines w:val="0"/>
        <w:pageBreakBefore w:val="0"/>
        <w:kinsoku/>
        <w:wordWrap/>
        <w:overflowPunct/>
        <w:topLinePunct w:val="0"/>
        <w:autoSpaceDE/>
        <w:autoSpaceDN/>
        <w:bidi w:val="0"/>
        <w:adjustRightInd/>
        <w:snapToGrid/>
        <w:spacing w:line="560" w:lineRule="exact"/>
        <w:ind w:firstLine="643"/>
        <w:textAlignment w:val="auto"/>
        <w:rPr>
          <w:b w:val="0"/>
          <w:bCs w:val="0"/>
          <w:color w:val="auto"/>
          <w:sz w:val="32"/>
          <w:szCs w:val="32"/>
        </w:rPr>
      </w:pPr>
      <w:r>
        <w:rPr>
          <w:b w:val="0"/>
          <w:bCs w:val="0"/>
          <w:color w:val="auto"/>
          <w:sz w:val="32"/>
          <w:szCs w:val="32"/>
        </w:rPr>
        <w:t>4、评价标准</w:t>
      </w:r>
      <w:bookmarkEnd w:id="55"/>
      <w:bookmarkEnd w:id="56"/>
    </w:p>
    <w:p>
      <w:pPr>
        <w:keepLines w:val="0"/>
        <w:pageBreakBefore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bookmarkStart w:id="57" w:name="_Toc22356"/>
      <w:bookmarkStart w:id="58" w:name="_Toc8195"/>
      <w:r>
        <w:rPr>
          <w:rFonts w:hint="eastAsia"/>
          <w:color w:val="auto"/>
          <w:sz w:val="32"/>
          <w:szCs w:val="32"/>
        </w:rPr>
        <w:t>主要采用了计划标准、</w:t>
      </w:r>
      <w:r>
        <w:rPr>
          <w:rFonts w:hint="eastAsia"/>
          <w:color w:val="auto"/>
          <w:sz w:val="32"/>
          <w:szCs w:val="32"/>
          <w:lang w:eastAsia="zh-CN"/>
        </w:rPr>
        <w:t>历史</w:t>
      </w:r>
      <w:r>
        <w:rPr>
          <w:rFonts w:hint="eastAsia"/>
          <w:color w:val="auto"/>
          <w:sz w:val="32"/>
          <w:szCs w:val="32"/>
        </w:rPr>
        <w:t>标准两类评价标准，具体情况：经营成本性支出</w:t>
      </w:r>
      <w:r>
        <w:rPr>
          <w:rFonts w:hint="eastAsia"/>
          <w:color w:val="auto"/>
          <w:sz w:val="32"/>
          <w:szCs w:val="32"/>
          <w:lang w:val="en-US" w:eastAsia="zh-CN"/>
        </w:rPr>
        <w:t>60</w:t>
      </w:r>
      <w:r>
        <w:rPr>
          <w:rFonts w:hint="eastAsia"/>
          <w:color w:val="auto"/>
          <w:sz w:val="32"/>
          <w:szCs w:val="32"/>
        </w:rPr>
        <w:t>万元，财政预算批复经营成本性支出</w:t>
      </w:r>
      <w:r>
        <w:rPr>
          <w:rFonts w:hint="eastAsia"/>
          <w:color w:val="auto"/>
          <w:sz w:val="32"/>
          <w:szCs w:val="32"/>
          <w:lang w:val="en-US" w:eastAsia="zh-CN"/>
        </w:rPr>
        <w:t>60</w:t>
      </w:r>
      <w:r>
        <w:rPr>
          <w:rFonts w:hint="eastAsia"/>
          <w:color w:val="auto"/>
          <w:sz w:val="32"/>
          <w:szCs w:val="32"/>
        </w:rPr>
        <w:t>万元。实际</w:t>
      </w:r>
      <w:r>
        <w:rPr>
          <w:rFonts w:hint="eastAsia"/>
          <w:color w:val="auto"/>
          <w:sz w:val="32"/>
          <w:szCs w:val="32"/>
          <w:lang w:val="en-US" w:eastAsia="zh-CN"/>
        </w:rPr>
        <w:t>经营收入55.98万元，</w:t>
      </w:r>
      <w:r>
        <w:rPr>
          <w:rFonts w:hint="eastAsia"/>
          <w:color w:val="auto"/>
          <w:sz w:val="32"/>
          <w:szCs w:val="32"/>
        </w:rPr>
        <w:t>执行用于支付成本性</w:t>
      </w:r>
      <w:r>
        <w:rPr>
          <w:rFonts w:hint="eastAsia"/>
          <w:color w:val="auto"/>
          <w:sz w:val="32"/>
          <w:szCs w:val="32"/>
          <w:lang w:val="en-US" w:eastAsia="zh-CN"/>
        </w:rPr>
        <w:t>24.37</w:t>
      </w:r>
      <w:r>
        <w:rPr>
          <w:rFonts w:hint="eastAsia"/>
          <w:color w:val="auto"/>
          <w:sz w:val="32"/>
          <w:szCs w:val="32"/>
        </w:rPr>
        <w:t>万元，预算执行率</w:t>
      </w:r>
      <w:r>
        <w:rPr>
          <w:rFonts w:hint="eastAsia"/>
          <w:color w:val="auto"/>
          <w:sz w:val="32"/>
          <w:szCs w:val="32"/>
          <w:lang w:val="en-US" w:eastAsia="zh-CN"/>
        </w:rPr>
        <w:t>40.62</w:t>
      </w:r>
      <w:r>
        <w:rPr>
          <w:rFonts w:hint="eastAsia"/>
          <w:color w:val="auto"/>
          <w:sz w:val="32"/>
          <w:szCs w:val="32"/>
        </w:rPr>
        <w:t>%，</w:t>
      </w:r>
      <w:r>
        <w:rPr>
          <w:rFonts w:hint="eastAsia"/>
          <w:color w:val="000000" w:themeColor="text1"/>
          <w:sz w:val="32"/>
          <w:szCs w:val="32"/>
          <w14:textFill>
            <w14:solidFill>
              <w14:schemeClr w14:val="tx1"/>
            </w14:solidFill>
          </w14:textFill>
        </w:rPr>
        <w:t>原因为</w:t>
      </w:r>
      <w:r>
        <w:rPr>
          <w:rFonts w:hint="eastAsia"/>
          <w:color w:val="000000" w:themeColor="text1"/>
          <w:sz w:val="32"/>
          <w:szCs w:val="32"/>
          <w:lang w:val="en-US" w:eastAsia="zh-CN"/>
          <w14:textFill>
            <w14:solidFill>
              <w14:schemeClr w14:val="tx1"/>
            </w14:solidFill>
          </w14:textFill>
        </w:rPr>
        <w:t>项目执行中充分利用现有市场资源，增效降本实现中心利益最大化，在保质保量完成工作任务的前提下，精细核算降低运营成本性支出</w:t>
      </w:r>
      <w:r>
        <w:rPr>
          <w:rFonts w:hint="eastAsia"/>
          <w:color w:val="000000" w:themeColor="text1"/>
          <w:sz w:val="32"/>
          <w:szCs w:val="32"/>
          <w14:textFill>
            <w14:solidFill>
              <w14:schemeClr w14:val="tx1"/>
            </w14:solidFill>
          </w14:textFill>
        </w:rPr>
        <w:t>。通过以上计划标准和</w:t>
      </w:r>
      <w:r>
        <w:rPr>
          <w:rFonts w:hint="eastAsia"/>
          <w:color w:val="000000" w:themeColor="text1"/>
          <w:sz w:val="32"/>
          <w:szCs w:val="32"/>
          <w:lang w:eastAsia="zh-CN"/>
          <w14:textFill>
            <w14:solidFill>
              <w14:schemeClr w14:val="tx1"/>
            </w14:solidFill>
          </w14:textFill>
        </w:rPr>
        <w:t>历史</w:t>
      </w:r>
      <w:r>
        <w:rPr>
          <w:rFonts w:hint="eastAsia"/>
          <w:color w:val="000000" w:themeColor="text1"/>
          <w:sz w:val="32"/>
          <w:szCs w:val="32"/>
          <w14:textFill>
            <w14:solidFill>
              <w14:schemeClr w14:val="tx1"/>
            </w14:solidFill>
          </w14:textFill>
        </w:rPr>
        <w:t>标准对比绩效指标完成情况一致，项目立项，依据充分，程序规范。所设定的绩效目标依据充分，符合自治区工业和信息化培训中心客观实际需要。</w:t>
      </w:r>
    </w:p>
    <w:p>
      <w:pPr>
        <w:pStyle w:val="4"/>
        <w:keepLines w:val="0"/>
        <w:pageBreakBefore w:val="0"/>
        <w:numPr>
          <w:ilvl w:val="0"/>
          <w:numId w:val="3"/>
        </w:numPr>
        <w:kinsoku/>
        <w:wordWrap/>
        <w:overflowPunct/>
        <w:topLinePunct w:val="0"/>
        <w:autoSpaceDE/>
        <w:autoSpaceDN/>
        <w:bidi w:val="0"/>
        <w:adjustRightInd/>
        <w:snapToGrid/>
        <w:spacing w:line="560" w:lineRule="exact"/>
        <w:ind w:firstLine="643"/>
        <w:textAlignment w:val="auto"/>
        <w:rPr>
          <w:color w:val="auto"/>
          <w:sz w:val="32"/>
          <w:szCs w:val="32"/>
        </w:rPr>
      </w:pPr>
      <w:bookmarkStart w:id="59" w:name="_Toc10424"/>
      <w:bookmarkStart w:id="60" w:name="_Toc19406"/>
      <w:bookmarkStart w:id="61" w:name="_Toc23280"/>
      <w:r>
        <w:rPr>
          <w:rFonts w:hint="eastAsia"/>
          <w:color w:val="auto"/>
          <w:sz w:val="32"/>
          <w:szCs w:val="32"/>
        </w:rPr>
        <w:t>绩效评价工作过程</w:t>
      </w:r>
      <w:bookmarkEnd w:id="57"/>
      <w:bookmarkEnd w:id="58"/>
      <w:bookmarkEnd w:id="59"/>
      <w:bookmarkEnd w:id="60"/>
      <w:bookmarkEnd w:id="61"/>
    </w:p>
    <w:p>
      <w:pPr>
        <w:keepLines w:val="0"/>
        <w:pageBreakBefore w:val="0"/>
        <w:numPr>
          <w:ilvl w:val="0"/>
          <w:numId w:val="4"/>
        </w:numPr>
        <w:kinsoku/>
        <w:wordWrap/>
        <w:overflowPunct/>
        <w:topLinePunct w:val="0"/>
        <w:autoSpaceDE/>
        <w:autoSpaceDN/>
        <w:bidi w:val="0"/>
        <w:adjustRightInd/>
        <w:snapToGrid/>
        <w:spacing w:line="560" w:lineRule="exact"/>
        <w:ind w:firstLine="643"/>
        <w:textAlignment w:val="auto"/>
        <w:rPr>
          <w:b w:val="0"/>
          <w:bCs w:val="0"/>
          <w:color w:val="auto"/>
          <w:sz w:val="32"/>
          <w:szCs w:val="32"/>
        </w:rPr>
      </w:pPr>
      <w:bookmarkStart w:id="62" w:name="_Toc28982"/>
      <w:r>
        <w:rPr>
          <w:rFonts w:hint="eastAsia"/>
          <w:b w:val="0"/>
          <w:bCs w:val="0"/>
          <w:color w:val="auto"/>
          <w:sz w:val="32"/>
          <w:szCs w:val="32"/>
        </w:rPr>
        <w:t>前期准备</w:t>
      </w:r>
      <w:bookmarkEnd w:id="62"/>
      <w:r>
        <w:rPr>
          <w:rFonts w:hint="eastAsia"/>
          <w:b w:val="0"/>
          <w:bCs w:val="0"/>
          <w:color w:val="auto"/>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keepLines w:val="0"/>
        <w:pageBreakBefore w:val="0"/>
        <w:numPr>
          <w:ilvl w:val="0"/>
          <w:numId w:val="4"/>
        </w:numPr>
        <w:kinsoku/>
        <w:wordWrap/>
        <w:overflowPunct/>
        <w:topLinePunct w:val="0"/>
        <w:autoSpaceDE/>
        <w:autoSpaceDN/>
        <w:bidi w:val="0"/>
        <w:adjustRightInd/>
        <w:snapToGrid/>
        <w:spacing w:line="560" w:lineRule="exact"/>
        <w:ind w:firstLine="643"/>
        <w:textAlignment w:val="auto"/>
        <w:rPr>
          <w:b w:val="0"/>
          <w:bCs w:val="0"/>
          <w:color w:val="auto"/>
          <w:sz w:val="32"/>
          <w:szCs w:val="32"/>
        </w:rPr>
      </w:pPr>
      <w:bookmarkStart w:id="63" w:name="_Toc22328"/>
      <w:r>
        <w:rPr>
          <w:rFonts w:hint="eastAsia"/>
          <w:b w:val="0"/>
          <w:bCs w:val="0"/>
          <w:color w:val="auto"/>
          <w:sz w:val="32"/>
          <w:szCs w:val="32"/>
        </w:rPr>
        <w:t>组织实施</w:t>
      </w:r>
      <w:bookmarkEnd w:id="63"/>
      <w:r>
        <w:rPr>
          <w:rFonts w:hint="eastAsia"/>
          <w:b w:val="0"/>
          <w:bCs w:val="0"/>
          <w:color w:val="auto"/>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keepLines w:val="0"/>
        <w:pageBreakBefore w:val="0"/>
        <w:numPr>
          <w:ilvl w:val="0"/>
          <w:numId w:val="4"/>
        </w:numPr>
        <w:kinsoku/>
        <w:wordWrap/>
        <w:overflowPunct/>
        <w:topLinePunct w:val="0"/>
        <w:autoSpaceDE/>
        <w:autoSpaceDN/>
        <w:bidi w:val="0"/>
        <w:adjustRightInd/>
        <w:snapToGrid/>
        <w:spacing w:line="560" w:lineRule="exact"/>
        <w:ind w:firstLine="643"/>
        <w:textAlignment w:val="auto"/>
        <w:rPr>
          <w:color w:val="auto"/>
          <w:sz w:val="32"/>
          <w:szCs w:val="32"/>
        </w:rPr>
      </w:pPr>
      <w:bookmarkStart w:id="64" w:name="_Toc17491"/>
      <w:r>
        <w:rPr>
          <w:rFonts w:hint="eastAsia"/>
          <w:b w:val="0"/>
          <w:bCs w:val="0"/>
          <w:color w:val="auto"/>
          <w:sz w:val="32"/>
          <w:szCs w:val="32"/>
        </w:rPr>
        <w:t>分析评价</w:t>
      </w:r>
      <w:bookmarkEnd w:id="64"/>
      <w:r>
        <w:rPr>
          <w:rFonts w:hint="eastAsia"/>
          <w:b w:val="0"/>
          <w:bCs w:val="0"/>
          <w:color w:val="auto"/>
          <w:sz w:val="32"/>
          <w:szCs w:val="32"/>
        </w:rPr>
        <w:t>：根据收</w:t>
      </w:r>
      <w:r>
        <w:rPr>
          <w:rFonts w:hint="eastAsia"/>
          <w:color w:val="auto"/>
          <w:sz w:val="32"/>
          <w:szCs w:val="32"/>
        </w:rPr>
        <w:t>集梳理的资料围绕项目立项、资金落实、业务管理、财务管理、项目产出、项目效益等内容，对照已确定的绩效评价指标进行详细全面的分析评价，逐项打分并形成绩效评价最终结果。</w:t>
      </w:r>
    </w:p>
    <w:p>
      <w:pPr>
        <w:pStyle w:val="3"/>
        <w:keepLines w:val="0"/>
        <w:pageBreakBefore w:val="0"/>
        <w:numPr>
          <w:ilvl w:val="0"/>
          <w:numId w:val="5"/>
        </w:numPr>
        <w:kinsoku/>
        <w:wordWrap/>
        <w:overflowPunct/>
        <w:topLinePunct w:val="0"/>
        <w:autoSpaceDE/>
        <w:autoSpaceDN/>
        <w:bidi w:val="0"/>
        <w:adjustRightInd/>
        <w:snapToGrid/>
        <w:spacing w:line="560" w:lineRule="exact"/>
        <w:ind w:firstLine="643"/>
        <w:textAlignment w:val="auto"/>
        <w:rPr>
          <w:color w:val="auto"/>
          <w:sz w:val="32"/>
          <w:szCs w:val="32"/>
        </w:rPr>
      </w:pPr>
      <w:bookmarkStart w:id="65" w:name="_Toc26384"/>
      <w:bookmarkStart w:id="66" w:name="_Toc22571"/>
      <w:bookmarkStart w:id="67" w:name="_Toc31151"/>
      <w:bookmarkStart w:id="68" w:name="_Toc23501"/>
      <w:bookmarkStart w:id="69" w:name="_Toc25137"/>
      <w:r>
        <w:rPr>
          <w:color w:val="auto"/>
          <w:sz w:val="32"/>
          <w:szCs w:val="32"/>
        </w:rPr>
        <w:t>综合评价情况及评价结论（附相关评分表）</w:t>
      </w:r>
      <w:bookmarkEnd w:id="65"/>
      <w:bookmarkEnd w:id="66"/>
      <w:bookmarkEnd w:id="67"/>
      <w:bookmarkEnd w:id="68"/>
      <w:bookmarkEnd w:id="69"/>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sz w:val="32"/>
          <w:szCs w:val="32"/>
          <w:lang w:val="en-US" w:eastAsia="zh-CN"/>
        </w:rPr>
      </w:pPr>
      <w:bookmarkStart w:id="70" w:name="_Toc29902"/>
      <w:bookmarkStart w:id="71" w:name="_Toc1133"/>
      <w:bookmarkStart w:id="72" w:name="_Toc2897"/>
      <w:r>
        <w:rPr>
          <w:rFonts w:hint="eastAsia" w:ascii="Times New Roman" w:hAnsi="Times New Roman" w:eastAsia="楷体_GB2312"/>
          <w:sz w:val="32"/>
          <w:szCs w:val="32"/>
          <w:lang w:eastAsia="zh-CN"/>
        </w:rPr>
        <w:t>（</w:t>
      </w:r>
      <w:r>
        <w:rPr>
          <w:rFonts w:hint="eastAsia" w:ascii="Times New Roman" w:hAnsi="Times New Roman" w:eastAsia="楷体_GB2312"/>
          <w:sz w:val="32"/>
          <w:szCs w:val="32"/>
          <w:lang w:val="en-US" w:eastAsia="zh-CN"/>
        </w:rPr>
        <w:t>一</w:t>
      </w:r>
      <w:r>
        <w:rPr>
          <w:rFonts w:hint="eastAsia" w:ascii="Times New Roman" w:hAnsi="Times New Roman" w:eastAsia="楷体_GB2312"/>
          <w:sz w:val="32"/>
          <w:szCs w:val="32"/>
          <w:lang w:eastAsia="zh-CN"/>
        </w:rPr>
        <w:t>）</w:t>
      </w:r>
      <w:r>
        <w:rPr>
          <w:rFonts w:hint="eastAsia" w:ascii="Times New Roman" w:hAnsi="Times New Roman" w:eastAsia="楷体_GB2312"/>
          <w:sz w:val="32"/>
          <w:szCs w:val="32"/>
          <w:lang w:val="en-US" w:eastAsia="zh-CN"/>
        </w:rPr>
        <w:t>评价情况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b/>
          <w:bCs/>
          <w:kern w:val="28"/>
          <w:sz w:val="32"/>
          <w:szCs w:val="32"/>
          <w:lang w:val="en-US" w:eastAsia="zh-CN" w:bidi="ar-SA"/>
        </w:rPr>
      </w:pPr>
      <w:r>
        <w:rPr>
          <w:rFonts w:hint="eastAsia" w:ascii="Times New Roman" w:hAnsi="Times New Roman" w:eastAsia="楷体_GB2312" w:cs="Times New Roman"/>
          <w:b/>
          <w:bCs/>
          <w:kern w:val="28"/>
          <w:sz w:val="32"/>
          <w:szCs w:val="32"/>
          <w:lang w:val="en-US" w:eastAsia="zh-CN" w:bidi="ar-SA"/>
        </w:rPr>
        <w:t>（二）评价结论</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98分，属于“优”。其中，项目决策类指标权重为20分，得分为 20分，得分率为 100%。项目过程类指标权重为20分，得分为19分，得分率为 95%。项目产出类指标权重为40分，得分为40分，得分率为 100%。项目效益类指标权重为20分，得分为19分，得分率为95%。</w:t>
      </w:r>
      <w:bookmarkEnd w:id="70"/>
      <w:bookmarkEnd w:id="71"/>
      <w:bookmarkEnd w:id="72"/>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6"/>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98</w:t>
            </w:r>
          </w:p>
        </w:tc>
      </w:tr>
    </w:tbl>
    <w:p>
      <w:pPr>
        <w:spacing w:line="600" w:lineRule="exact"/>
        <w:rPr>
          <w:rFonts w:hint="eastAsia" w:ascii="黑体" w:hAnsi="黑体" w:eastAsia="黑体" w:cs="黑体"/>
          <w:sz w:val="32"/>
          <w:szCs w:val="32"/>
        </w:rPr>
      </w:pP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四、绩效评价指标分析</w:t>
      </w:r>
    </w:p>
    <w:p>
      <w:pPr>
        <w:pStyle w:val="4"/>
        <w:keepLines w:val="0"/>
        <w:pageBreakBefore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楷体_GB2312" w:cs="Times New Roman"/>
          <w:b/>
          <w:bCs/>
          <w:iCs w:val="0"/>
          <w:kern w:val="28"/>
          <w:sz w:val="32"/>
          <w:szCs w:val="32"/>
          <w:lang w:val="en-US" w:eastAsia="zh-CN" w:bidi="ar-SA"/>
        </w:rPr>
      </w:pPr>
      <w:bookmarkStart w:id="73" w:name="_Toc9186"/>
      <w:bookmarkStart w:id="74" w:name="_Toc25638"/>
      <w:bookmarkStart w:id="75" w:name="_Toc14848"/>
      <w:bookmarkStart w:id="76" w:name="_Toc2861"/>
      <w:bookmarkStart w:id="77" w:name="_Toc3493"/>
      <w:r>
        <w:rPr>
          <w:rFonts w:hint="eastAsia" w:ascii="Times New Roman" w:hAnsi="Times New Roman" w:eastAsia="楷体_GB2312" w:cs="Times New Roman"/>
          <w:b/>
          <w:bCs/>
          <w:iCs w:val="0"/>
          <w:kern w:val="28"/>
          <w:sz w:val="32"/>
          <w:szCs w:val="32"/>
          <w:lang w:val="en-US" w:eastAsia="zh-CN" w:bidi="ar-SA"/>
        </w:rPr>
        <w:t>（一）项目决策情况</w:t>
      </w:r>
      <w:bookmarkEnd w:id="73"/>
      <w:bookmarkEnd w:id="74"/>
      <w:bookmarkEnd w:id="75"/>
      <w:bookmarkEnd w:id="76"/>
      <w:bookmarkEnd w:id="77"/>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项目决策类指标包括项目立项、绩效目标和资金投入三方面的内容，由6个三级指标构成，权重分值为20分，实际得分20分，得分率为100%。</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bookmarkStart w:id="78" w:name="_Toc15011"/>
      <w:bookmarkStart w:id="79" w:name="_Toc17832"/>
      <w:bookmarkStart w:id="80" w:name="_Toc18752"/>
      <w:bookmarkStart w:id="81" w:name="_Toc29151"/>
      <w:bookmarkStart w:id="82" w:name="_Toc1905"/>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4"/>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s="楷体"/>
          <w:b/>
          <w:bCs/>
          <w:iCs w:val="0"/>
          <w:kern w:val="28"/>
          <w:sz w:val="32"/>
          <w:szCs w:val="32"/>
          <w:lang w:val="en-US" w:eastAsia="zh-CN" w:bidi="ar-SA"/>
        </w:rPr>
      </w:pPr>
      <w:r>
        <w:rPr>
          <w:rFonts w:hint="eastAsia" w:ascii="楷体" w:hAnsi="楷体" w:eastAsia="楷体" w:cs="楷体"/>
          <w:b/>
          <w:bCs/>
          <w:iCs w:val="0"/>
          <w:kern w:val="28"/>
          <w:sz w:val="32"/>
          <w:szCs w:val="32"/>
          <w:lang w:val="en-US" w:eastAsia="zh-CN" w:bidi="ar-SA"/>
        </w:rPr>
        <w:t>（二）项目过程情况</w:t>
      </w:r>
      <w:bookmarkEnd w:id="78"/>
      <w:bookmarkEnd w:id="79"/>
      <w:bookmarkEnd w:id="80"/>
      <w:bookmarkEnd w:id="81"/>
      <w:bookmarkEnd w:id="82"/>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bookmarkStart w:id="83" w:name="_Toc23147"/>
      <w:bookmarkStart w:id="84" w:name="_Toc18323"/>
      <w:bookmarkStart w:id="85" w:name="_Toc596"/>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w:t>
      </w:r>
      <w:r>
        <w:rPr>
          <w:rFonts w:hint="eastAsia" w:ascii="仿宋_GB2312" w:hAnsi="仿宋_GB2312" w:eastAsia="仿宋_GB2312" w:cs="仿宋_GB2312"/>
          <w:sz w:val="32"/>
          <w:szCs w:val="32"/>
          <w:highlight w:val="none"/>
          <w:lang w:val="en-US" w:eastAsia="zh-CN"/>
        </w:rPr>
        <w:t>构成，权重分值为20分，实际得分</w:t>
      </w:r>
      <w:r>
        <w:rPr>
          <w:rFonts w:hint="eastAsia" w:ascii="仿宋_GB2312" w:hAnsi="仿宋_GB2312" w:cs="仿宋_GB2312"/>
          <w:sz w:val="32"/>
          <w:szCs w:val="32"/>
          <w:highlight w:val="none"/>
          <w:lang w:val="en-US" w:eastAsia="zh-CN"/>
        </w:rPr>
        <w:t>19</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95</w:t>
      </w:r>
      <w:r>
        <w:rPr>
          <w:rFonts w:hint="eastAsia" w:ascii="仿宋_GB2312" w:hAnsi="仿宋_GB2312" w:eastAsia="仿宋_GB2312" w:cs="仿宋_GB2312"/>
          <w:sz w:val="32"/>
          <w:szCs w:val="32"/>
          <w:highlight w:val="none"/>
          <w:lang w:val="en-US" w:eastAsia="zh-CN"/>
        </w:rPr>
        <w:t>%。</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bookmarkEnd w:id="83"/>
      <w:bookmarkEnd w:id="84"/>
      <w:bookmarkEnd w:id="85"/>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本项目总投资60万元，财政资金及时足额到位，到位率100%，预算资金按计划进度执行。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预算编制较为详细，项目资金支出总体能够按照预算执行，预算资金支出24.37万元，预算执行率为40.62%。</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4"/>
        <w:numPr>
          <w:ilvl w:val="0"/>
          <w:numId w:val="0"/>
        </w:numPr>
        <w:spacing w:line="560" w:lineRule="exact"/>
        <w:ind w:firstLine="643" w:firstLineChars="200"/>
        <w:rPr>
          <w:rFonts w:eastAsia="楷体_GB2312"/>
          <w:b/>
          <w:bCs/>
          <w:sz w:val="32"/>
          <w:szCs w:val="32"/>
        </w:rPr>
      </w:pPr>
      <w:r>
        <w:rPr>
          <w:rFonts w:hint="eastAsia" w:eastAsia="楷体_GB2312"/>
          <w:b/>
          <w:bCs/>
          <w:sz w:val="32"/>
          <w:szCs w:val="32"/>
          <w:lang w:eastAsia="zh-CN"/>
        </w:rPr>
        <w:t>（三）</w:t>
      </w: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w:t>
      </w:r>
      <w:r>
        <w:rPr>
          <w:rFonts w:hint="eastAsia" w:ascii="仿宋_GB2312" w:hAnsi="仿宋_GB2312" w:eastAsia="仿宋_GB2312" w:cs="仿宋_GB2312"/>
          <w:color w:val="auto"/>
          <w:sz w:val="32"/>
          <w:szCs w:val="32"/>
          <w:highlight w:val="none"/>
          <w:lang w:val="en-US" w:eastAsia="zh-CN"/>
        </w:rPr>
        <w:t>本四方面的内容，由</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eastAsia="zh-CN"/>
        </w:rPr>
        <w:t>指标</w:t>
      </w: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rPr>
        <w:t>市场调研</w:t>
      </w:r>
      <w:r>
        <w:rPr>
          <w:rFonts w:hint="eastAsia" w:ascii="仿宋_GB2312" w:hAnsi="仿宋_GB2312" w:cs="仿宋_GB2312"/>
          <w:color w:val="auto"/>
          <w:sz w:val="32"/>
          <w:szCs w:val="32"/>
          <w:lang w:eastAsia="zh-CN"/>
        </w:rPr>
        <w:t>次数</w:t>
      </w:r>
      <w:r>
        <w:rPr>
          <w:rFonts w:hint="eastAsia" w:ascii="仿宋_GB2312" w:hAnsi="仿宋_GB2312" w:eastAsia="仿宋_GB2312" w:cs="仿宋_GB2312"/>
          <w:color w:val="auto"/>
          <w:sz w:val="32"/>
          <w:szCs w:val="32"/>
        </w:rPr>
        <w:t>，</w:t>
      </w:r>
      <w:bookmarkStart w:id="86" w:name="_Toc10409"/>
      <w:bookmarkStart w:id="87" w:name="_Toc17307"/>
      <w:bookmarkStart w:id="88" w:name="_Toc11281"/>
      <w:r>
        <w:rPr>
          <w:rFonts w:hint="eastAsia" w:ascii="仿宋_GB2312" w:hAnsi="仿宋_GB2312" w:eastAsia="仿宋_GB2312" w:cs="仿宋_GB2312"/>
          <w:color w:val="auto"/>
          <w:sz w:val="32"/>
          <w:szCs w:val="32"/>
        </w:rPr>
        <w:t>指标值</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&gt;=</w:t>
      </w:r>
      <w:r>
        <w:rPr>
          <w:rFonts w:hint="eastAsia" w:ascii="仿宋_GB2312" w:hAnsi="仿宋_GB2312" w:cs="仿宋_GB2312"/>
          <w:color w:val="auto"/>
          <w:sz w:val="32"/>
          <w:szCs w:val="32"/>
          <w:lang w:val="en-US" w:eastAsia="zh-CN"/>
        </w:rPr>
        <w:t>4次</w:t>
      </w:r>
      <w:r>
        <w:rPr>
          <w:rFonts w:hint="eastAsia" w:ascii="仿宋_GB2312" w:hAnsi="仿宋_GB2312" w:eastAsia="仿宋_GB2312" w:cs="仿宋_GB2312"/>
          <w:color w:val="auto"/>
          <w:sz w:val="32"/>
          <w:szCs w:val="32"/>
        </w:rPr>
        <w:t>，实际完成</w:t>
      </w:r>
      <w:r>
        <w:rPr>
          <w:rFonts w:hint="eastAsia" w:ascii="仿宋_GB2312" w:hAnsi="仿宋_GB2312" w:cs="仿宋_GB2312"/>
          <w:color w:val="auto"/>
          <w:sz w:val="32"/>
          <w:szCs w:val="32"/>
          <w:lang w:eastAsia="zh-CN"/>
        </w:rPr>
        <w:t>值</w:t>
      </w:r>
      <w:r>
        <w:rPr>
          <w:rFonts w:hint="eastAsia" w:ascii="仿宋_GB2312" w:hAnsi="仿宋_GB2312" w:cs="仿宋_GB2312"/>
          <w:color w:val="auto"/>
          <w:sz w:val="32"/>
          <w:szCs w:val="32"/>
          <w:lang w:val="en-US" w:eastAsia="zh-CN"/>
        </w:rPr>
        <w:t>:=4次</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指标</w:t>
      </w:r>
      <w:r>
        <w:rPr>
          <w:rFonts w:hint="eastAsia" w:ascii="仿宋_GB2312" w:hAnsi="仿宋_GB2312" w:eastAsia="仿宋_GB2312" w:cs="仿宋_GB2312"/>
          <w:color w:val="auto"/>
          <w:sz w:val="32"/>
          <w:szCs w:val="32"/>
        </w:rPr>
        <w:t>完成率100%，无偏差</w:t>
      </w:r>
      <w:bookmarkEnd w:id="86"/>
      <w:bookmarkEnd w:id="87"/>
      <w:bookmarkEnd w:id="88"/>
      <w:r>
        <w:rPr>
          <w:rFonts w:hint="eastAsia" w:ascii="仿宋_GB2312" w:hAnsi="仿宋_GB2312" w:cs="仿宋_GB2312"/>
          <w:color w:val="auto"/>
          <w:sz w:val="32"/>
          <w:szCs w:val="32"/>
          <w:lang w:val="en-US" w:eastAsia="zh-CN"/>
        </w:rPr>
        <w:t>。</w:t>
      </w:r>
    </w:p>
    <w:p>
      <w:pPr>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eastAsia="zh-CN"/>
        </w:rPr>
        <w:t>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lang w:eastAsia="zh-CN"/>
        </w:rPr>
        <w:t>培训人数，指标值</w:t>
      </w:r>
      <w:r>
        <w:rPr>
          <w:rFonts w:hint="eastAsia" w:ascii="仿宋_GB2312" w:hAnsi="仿宋_GB2312" w:cs="仿宋_GB2312"/>
          <w:color w:val="auto"/>
          <w:sz w:val="32"/>
          <w:szCs w:val="32"/>
          <w:lang w:val="en-US" w:eastAsia="zh-CN"/>
        </w:rPr>
        <w:t>:</w:t>
      </w:r>
      <w:r>
        <w:rPr>
          <w:rFonts w:hint="eastAsia" w:ascii="仿宋_GB2312" w:hAnsi="仿宋_GB2312" w:cs="仿宋_GB2312"/>
          <w:color w:val="auto"/>
          <w:sz w:val="32"/>
          <w:szCs w:val="32"/>
          <w:lang w:eastAsia="zh-CN"/>
        </w:rPr>
        <w:t>&lt;=</w:t>
      </w:r>
      <w:r>
        <w:rPr>
          <w:rFonts w:hint="eastAsia" w:ascii="仿宋_GB2312" w:hAnsi="仿宋_GB2312" w:cs="仿宋_GB2312"/>
          <w:color w:val="auto"/>
          <w:sz w:val="32"/>
          <w:szCs w:val="32"/>
          <w:lang w:val="en-US" w:eastAsia="zh-CN"/>
        </w:rPr>
        <w:t>600人，实际完成值:=600人，指标完成率100%，无偏差。</w:t>
      </w:r>
    </w:p>
    <w:p>
      <w:pPr>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5B9BD5" w:themeColor="accent1"/>
          <w:sz w:val="32"/>
          <w:szCs w:val="32"/>
          <w:lang w:val="en-US" w:eastAsia="zh-CN"/>
          <w14:textFill>
            <w14:solidFill>
              <w14:schemeClr w14:val="accent1"/>
            </w14:solidFill>
          </w14:textFill>
        </w:rPr>
      </w:pPr>
      <w:r>
        <w:rPr>
          <w:rFonts w:hint="eastAsia" w:ascii="仿宋_GB2312" w:hAnsi="仿宋_GB2312" w:cs="仿宋_GB2312"/>
          <w:color w:val="auto"/>
          <w:sz w:val="32"/>
          <w:szCs w:val="32"/>
          <w:lang w:val="en-US" w:eastAsia="zh-CN"/>
        </w:rPr>
        <w:t>指标3：培训班次，指标值:&lt;=6期，实际完成值：=6期，指标完成率100%，无偏差。</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培训出勤率</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指标值：&gt;=</w:t>
      </w:r>
      <w:r>
        <w:rPr>
          <w:rFonts w:hint="eastAsia" w:ascii="仿宋_GB2312" w:hAnsi="仿宋_GB2312" w:cs="仿宋_GB2312"/>
          <w:color w:val="auto"/>
          <w:sz w:val="32"/>
          <w:szCs w:val="32"/>
          <w:lang w:val="en-US" w:eastAsia="zh-CN"/>
        </w:rPr>
        <w:t>95%</w:t>
      </w:r>
      <w:r>
        <w:rPr>
          <w:rFonts w:hint="eastAsia" w:ascii="仿宋_GB2312" w:hAnsi="仿宋_GB2312" w:eastAsia="仿宋_GB2312" w:cs="仿宋_GB2312"/>
          <w:color w:val="auto"/>
          <w:sz w:val="32"/>
          <w:szCs w:val="32"/>
        </w:rPr>
        <w:t>，实际完成</w:t>
      </w:r>
      <w:r>
        <w:rPr>
          <w:rFonts w:hint="eastAsia" w:ascii="仿宋_GB2312" w:hAnsi="仿宋_GB2312" w:cs="仿宋_GB2312"/>
          <w:color w:val="auto"/>
          <w:sz w:val="32"/>
          <w:szCs w:val="32"/>
          <w:lang w:eastAsia="zh-CN"/>
        </w:rPr>
        <w:t>值</w:t>
      </w:r>
      <w:r>
        <w:rPr>
          <w:rFonts w:hint="eastAsia" w:ascii="仿宋_GB2312" w:hAnsi="仿宋_GB2312" w:cs="仿宋_GB2312"/>
          <w:color w:val="auto"/>
          <w:sz w:val="32"/>
          <w:szCs w:val="32"/>
          <w:lang w:val="en-US" w:eastAsia="zh-CN"/>
        </w:rPr>
        <w:t>:=95</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指标</w:t>
      </w:r>
      <w:r>
        <w:rPr>
          <w:rFonts w:hint="eastAsia" w:ascii="仿宋_GB2312" w:hAnsi="仿宋_GB2312" w:eastAsia="仿宋_GB2312" w:cs="仿宋_GB2312"/>
          <w:color w:val="auto"/>
          <w:sz w:val="32"/>
          <w:szCs w:val="32"/>
        </w:rPr>
        <w:t>完成率100%，无偏差。</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lang w:val="en-US" w:eastAsia="zh-CN"/>
        </w:rPr>
      </w:pPr>
      <w:r>
        <w:rPr>
          <w:rFonts w:hint="eastAsia" w:ascii="仿宋_GB2312" w:hAnsi="仿宋_GB2312" w:cs="仿宋_GB2312"/>
          <w:color w:val="auto"/>
          <w:sz w:val="32"/>
          <w:szCs w:val="32"/>
          <w:lang w:eastAsia="zh-CN"/>
        </w:rPr>
        <w:t>培训按期完成率</w:t>
      </w:r>
      <w:r>
        <w:rPr>
          <w:rFonts w:hint="eastAsia" w:ascii="仿宋_GB2312" w:hAnsi="仿宋_GB2312" w:eastAsia="仿宋_GB2312" w:cs="仿宋_GB2312"/>
          <w:color w:val="auto"/>
          <w:sz w:val="32"/>
          <w:szCs w:val="32"/>
        </w:rPr>
        <w:t>，指标值</w:t>
      </w:r>
      <w:r>
        <w:rPr>
          <w:rFonts w:hint="eastAsia" w:ascii="仿宋_GB2312" w:hAnsi="仿宋_GB2312" w:cs="仿宋_GB2312"/>
          <w:color w:val="auto"/>
          <w:sz w:val="32"/>
          <w:szCs w:val="32"/>
          <w:lang w:eastAsia="zh-CN"/>
        </w:rPr>
        <w:t>：&gt;=</w:t>
      </w:r>
      <w:r>
        <w:rPr>
          <w:rFonts w:hint="eastAsia" w:ascii="仿宋_GB2312" w:hAnsi="仿宋_GB2312" w:cs="仿宋_GB2312"/>
          <w:color w:val="auto"/>
          <w:sz w:val="32"/>
          <w:szCs w:val="32"/>
          <w:lang w:val="en-US" w:eastAsia="zh-CN"/>
        </w:rPr>
        <w:t>95%</w:t>
      </w:r>
      <w:r>
        <w:rPr>
          <w:rFonts w:hint="eastAsia" w:ascii="仿宋_GB2312" w:hAnsi="仿宋_GB2312" w:eastAsia="仿宋_GB2312" w:cs="仿宋_GB2312"/>
          <w:color w:val="auto"/>
          <w:sz w:val="32"/>
          <w:szCs w:val="32"/>
        </w:rPr>
        <w:t>，实际完</w:t>
      </w:r>
      <w:r>
        <w:rPr>
          <w:rFonts w:hint="eastAsia" w:ascii="仿宋_GB2312" w:hAnsi="仿宋_GB2312" w:cs="仿宋_GB2312"/>
          <w:color w:val="auto"/>
          <w:sz w:val="32"/>
          <w:szCs w:val="32"/>
          <w:lang w:eastAsia="zh-CN"/>
        </w:rPr>
        <w:t>成值：</w:t>
      </w:r>
      <w:r>
        <w:rPr>
          <w:rFonts w:hint="eastAsia" w:ascii="仿宋_GB2312" w:hAnsi="仿宋_GB2312" w:cs="仿宋_GB2312"/>
          <w:color w:val="auto"/>
          <w:sz w:val="32"/>
          <w:szCs w:val="32"/>
          <w:lang w:val="en-US" w:eastAsia="zh-CN"/>
        </w:rPr>
        <w:t>=95%</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指标</w:t>
      </w:r>
      <w:r>
        <w:rPr>
          <w:rFonts w:hint="eastAsia" w:ascii="仿宋_GB2312" w:hAnsi="仿宋_GB2312" w:eastAsia="仿宋_GB2312" w:cs="仿宋_GB2312"/>
          <w:color w:val="auto"/>
          <w:sz w:val="32"/>
          <w:szCs w:val="32"/>
        </w:rPr>
        <w:t>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无偏差</w:t>
      </w:r>
      <w:r>
        <w:rPr>
          <w:rFonts w:hint="eastAsia" w:ascii="仿宋_GB2312" w:hAnsi="仿宋_GB2312" w:eastAsia="仿宋_GB2312" w:cs="仿宋_GB2312"/>
          <w:color w:val="auto"/>
          <w:sz w:val="32"/>
          <w:szCs w:val="32"/>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4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④</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成本指标：</w:t>
      </w:r>
    </w:p>
    <w:p>
      <w:pPr>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lang w:eastAsia="zh-CN"/>
        </w:rPr>
        <w:t>培训成本控制率</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指标值：</w:t>
      </w:r>
      <w:r>
        <w:rPr>
          <w:rFonts w:hint="eastAsia" w:ascii="仿宋_GB2312" w:hAnsi="仿宋_GB2312" w:cs="仿宋_GB2312"/>
          <w:color w:val="auto"/>
          <w:sz w:val="32"/>
          <w:szCs w:val="32"/>
          <w:lang w:val="en-US" w:eastAsia="zh-CN"/>
        </w:rPr>
        <w:t>=100%，实际完成值：=100%，指标</w:t>
      </w:r>
      <w:r>
        <w:rPr>
          <w:rFonts w:hint="eastAsia" w:ascii="仿宋_GB2312" w:hAnsi="仿宋_GB2312" w:eastAsia="仿宋_GB2312" w:cs="仿宋_GB2312"/>
          <w:color w:val="auto"/>
          <w:sz w:val="32"/>
          <w:szCs w:val="32"/>
        </w:rPr>
        <w:t>完成率</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无</w:t>
      </w:r>
      <w:r>
        <w:rPr>
          <w:rFonts w:hint="eastAsia" w:ascii="仿宋_GB2312" w:hAnsi="仿宋_GB2312" w:eastAsia="仿宋_GB2312" w:cs="仿宋_GB2312"/>
          <w:color w:val="auto"/>
          <w:sz w:val="32"/>
          <w:szCs w:val="32"/>
        </w:rPr>
        <w:t>偏差</w:t>
      </w:r>
      <w:r>
        <w:rPr>
          <w:rFonts w:hint="eastAsia" w:ascii="仿宋_GB2312" w:hAnsi="仿宋_GB2312" w:eastAsia="仿宋_GB2312" w:cs="仿宋_GB2312"/>
          <w:color w:val="auto"/>
          <w:sz w:val="32"/>
          <w:szCs w:val="32"/>
          <w:lang w:eastAsia="zh-CN"/>
        </w:rPr>
        <w:t>。</w:t>
      </w:r>
    </w:p>
    <w:p>
      <w:pPr>
        <w:pStyle w:val="14"/>
        <w:numPr>
          <w:ilvl w:val="0"/>
          <w:numId w:val="0"/>
        </w:numPr>
        <w:spacing w:line="560" w:lineRule="exact"/>
        <w:ind w:left="420" w:leftChars="0"/>
        <w:rPr>
          <w:rFonts w:hint="eastAsia" w:ascii="仿宋_GB2312" w:hAnsi="仿宋_GB2312" w:eastAsia="仿宋_GB2312" w:cs="仿宋_GB2312"/>
          <w:color w:val="auto"/>
          <w:sz w:val="32"/>
          <w:szCs w:val="32"/>
        </w:rPr>
      </w:pPr>
      <w:bookmarkStart w:id="89" w:name="_Toc13688"/>
      <w:bookmarkStart w:id="90" w:name="_Toc17863"/>
      <w:bookmarkStart w:id="91" w:name="_Toc12501"/>
      <w:bookmarkStart w:id="92" w:name="_Toc17272"/>
      <w:bookmarkStart w:id="93" w:name="_Toc27355"/>
      <w:r>
        <w:rPr>
          <w:rFonts w:hint="eastAsia" w:ascii="Times New Roman" w:hAnsi="Times New Roman" w:eastAsia="楷体_GB2312" w:cs="Times New Roman"/>
          <w:b/>
          <w:bCs/>
          <w:sz w:val="32"/>
          <w:szCs w:val="32"/>
          <w:lang w:val="en-US" w:eastAsia="zh-CN"/>
        </w:rPr>
        <w:t>（四）</w:t>
      </w:r>
      <w:bookmarkEnd w:id="89"/>
      <w:bookmarkEnd w:id="90"/>
      <w:bookmarkEnd w:id="91"/>
      <w:bookmarkEnd w:id="92"/>
      <w:bookmarkEnd w:id="93"/>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项目效益类指标包括项目实施效益和满意度两方面的内容，由2个三级指标构成，权重分为20分，实际得分:19分，得分率为95%。具体效益指标及满意度指标完成情况如下：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r>
        <w:rPr>
          <w:rFonts w:hint="eastAsia" w:ascii="仿宋_GB2312" w:hAnsi="仿宋_GB2312" w:cs="仿宋_GB2312"/>
          <w:color w:val="auto"/>
          <w:sz w:val="32"/>
          <w:szCs w:val="32"/>
          <w:lang w:eastAsia="zh-CN"/>
        </w:rPr>
        <w:t>扩大新疆信息化行业人才储备</w:t>
      </w:r>
      <w:r>
        <w:rPr>
          <w:rFonts w:hint="eastAsia" w:ascii="仿宋_GB2312" w:hAnsi="仿宋_GB2312" w:eastAsia="仿宋_GB2312" w:cs="仿宋_GB2312"/>
          <w:color w:val="auto"/>
          <w:sz w:val="32"/>
          <w:szCs w:val="32"/>
        </w:rPr>
        <w:t>指标，指标值“</w:t>
      </w:r>
      <w:r>
        <w:rPr>
          <w:rFonts w:hint="eastAsia" w:ascii="仿宋_GB2312" w:hAnsi="仿宋_GB2312" w:cs="仿宋_GB2312"/>
          <w:color w:val="auto"/>
          <w:sz w:val="32"/>
          <w:szCs w:val="32"/>
          <w:lang w:eastAsia="zh-CN"/>
        </w:rPr>
        <w:t>扩大新疆信息化行业人才储备</w:t>
      </w:r>
      <w:r>
        <w:rPr>
          <w:rFonts w:hint="eastAsia" w:ascii="仿宋_GB2312" w:hAnsi="仿宋_GB2312" w:eastAsia="仿宋_GB2312" w:cs="仿宋_GB2312"/>
          <w:color w:val="auto"/>
          <w:sz w:val="32"/>
          <w:szCs w:val="32"/>
        </w:rPr>
        <w:t>”，实际完成“</w:t>
      </w:r>
      <w:r>
        <w:rPr>
          <w:rFonts w:hint="eastAsia" w:ascii="仿宋_GB2312" w:hAnsi="仿宋_GB2312" w:cs="仿宋_GB2312"/>
          <w:color w:val="auto"/>
          <w:sz w:val="32"/>
          <w:szCs w:val="32"/>
          <w:lang w:eastAsia="zh-CN"/>
        </w:rPr>
        <w:t>扩大新疆信息化行业人才储备</w:t>
      </w:r>
      <w:r>
        <w:rPr>
          <w:rFonts w:hint="eastAsia" w:ascii="仿宋_GB2312" w:hAnsi="仿宋_GB2312" w:eastAsia="仿宋_GB2312" w:cs="仿宋_GB2312"/>
          <w:color w:val="auto"/>
          <w:sz w:val="32"/>
          <w:szCs w:val="32"/>
        </w:rPr>
        <w:t>”，无偏差。</w:t>
      </w:r>
    </w:p>
    <w:p>
      <w:pPr>
        <w:shd w:val="clear"/>
        <w:spacing w:line="600" w:lineRule="exact"/>
        <w:ind w:firstLine="640" w:firstLineChars="200"/>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r>
        <w:rPr>
          <w:rFonts w:hint="eastAsia" w:ascii="仿宋_GB2312" w:hAnsi="仿宋_GB2312" w:cs="仿宋_GB2312"/>
          <w:color w:val="auto"/>
          <w:sz w:val="32"/>
          <w:szCs w:val="32"/>
          <w:lang w:eastAsia="zh-CN"/>
        </w:rPr>
        <w:t>提升对计算机行业专业人员技能培训能力</w:t>
      </w:r>
      <w:r>
        <w:rPr>
          <w:rFonts w:hint="eastAsia" w:ascii="仿宋_GB2312" w:hAnsi="仿宋_GB2312" w:eastAsia="仿宋_GB2312" w:cs="仿宋_GB2312"/>
          <w:color w:val="auto"/>
          <w:sz w:val="32"/>
          <w:szCs w:val="32"/>
        </w:rPr>
        <w:t>指标，指标值“</w:t>
      </w:r>
      <w:r>
        <w:rPr>
          <w:rFonts w:hint="eastAsia" w:ascii="仿宋_GB2312" w:hAnsi="仿宋_GB2312" w:cs="仿宋_GB2312"/>
          <w:color w:val="auto"/>
          <w:sz w:val="32"/>
          <w:szCs w:val="32"/>
          <w:lang w:eastAsia="zh-CN"/>
        </w:rPr>
        <w:t>提升对计算机行业专业人员技能培训能力</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提升对计算机行业专业人员技能培训能力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无偏差。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③生态效益指标：</w:t>
      </w:r>
    </w:p>
    <w:p>
      <w:pPr>
        <w:shd w:val="clear"/>
        <w:spacing w:line="600" w:lineRule="exact"/>
        <w:ind w:firstLine="640" w:firstLineChars="200"/>
        <w:outlineLvl w:val="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本年度我单位未安排生态效益指标。</w:t>
      </w:r>
    </w:p>
    <w:p>
      <w:pPr>
        <w:shd w:val="clear"/>
        <w:spacing w:line="600" w:lineRule="exact"/>
        <w:ind w:firstLine="640" w:firstLineChars="200"/>
        <w:outlineLvl w:val="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④可持续影响指标：</w:t>
      </w:r>
    </w:p>
    <w:p>
      <w:pPr>
        <w:shd w:val="clear"/>
        <w:spacing w:line="600" w:lineRule="exact"/>
        <w:ind w:firstLine="640" w:firstLineChars="200"/>
        <w:outlineLvl w:val="0"/>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本年度我单位未安排可持续影响指标。</w:t>
      </w:r>
    </w:p>
    <w:p>
      <w:pPr>
        <w:numPr>
          <w:ilvl w:val="0"/>
          <w:numId w:val="0"/>
        </w:numPr>
        <w:shd w:val="clear"/>
        <w:spacing w:line="600" w:lineRule="exact"/>
        <w:ind w:firstLine="640" w:firstLineChars="200"/>
        <w:outlineLvl w:val="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2.满意度</w:t>
      </w:r>
    </w:p>
    <w:p>
      <w:pPr>
        <w:numPr>
          <w:ilvl w:val="0"/>
          <w:numId w:val="0"/>
        </w:numPr>
        <w:shd w:val="clear"/>
        <w:spacing w:line="600" w:lineRule="exact"/>
        <w:ind w:firstLine="640" w:firstLineChars="200"/>
        <w:outlineLvl w:val="0"/>
        <w:rPr>
          <w:rFonts w:hint="eastAsia"/>
        </w:rPr>
      </w:pPr>
      <w:r>
        <w:rPr>
          <w:rFonts w:hint="eastAsia" w:ascii="仿宋_GB2312" w:hAnsi="仿宋_GB2312" w:cs="仿宋_GB2312"/>
          <w:color w:val="auto"/>
          <w:sz w:val="32"/>
          <w:szCs w:val="32"/>
          <w:lang w:eastAsia="zh-CN"/>
        </w:rPr>
        <w:t>培训人员满意度，指标值：&gt;=9</w:t>
      </w:r>
      <w:r>
        <w:rPr>
          <w:rFonts w:hint="eastAsia" w:ascii="仿宋_GB2312" w:hAnsi="仿宋_GB2312" w:cs="仿宋_GB2312"/>
          <w:color w:val="auto"/>
          <w:sz w:val="32"/>
          <w:szCs w:val="32"/>
          <w:lang w:val="en-US" w:eastAsia="zh-CN"/>
        </w:rPr>
        <w:t>7</w:t>
      </w:r>
      <w:r>
        <w:rPr>
          <w:rFonts w:hint="eastAsia" w:ascii="仿宋_GB2312" w:hAnsi="仿宋_GB2312" w:cs="仿宋_GB2312"/>
          <w:color w:val="auto"/>
          <w:sz w:val="32"/>
          <w:szCs w:val="32"/>
          <w:lang w:eastAsia="zh-CN"/>
        </w:rPr>
        <w:t>%，实</w:t>
      </w:r>
      <w:r>
        <w:rPr>
          <w:rFonts w:hint="eastAsia" w:ascii="仿宋_GB2312" w:hAnsi="仿宋_GB2312" w:eastAsia="仿宋_GB2312" w:cs="仿宋_GB2312"/>
          <w:color w:val="auto"/>
          <w:sz w:val="32"/>
          <w:szCs w:val="32"/>
        </w:rPr>
        <w:t>际完成值</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9</w:t>
      </w:r>
      <w:r>
        <w:rPr>
          <w:rFonts w:hint="eastAsia" w:ascii="仿宋_GB2312" w:hAnsi="仿宋_GB2312" w:cs="仿宋_GB2312"/>
          <w:color w:val="auto"/>
          <w:sz w:val="32"/>
          <w:szCs w:val="32"/>
          <w:lang w:val="en-US" w:eastAsia="zh-CN"/>
        </w:rPr>
        <w:t>7</w:t>
      </w:r>
      <w:r>
        <w:rPr>
          <w:rFonts w:hint="eastAsia" w:ascii="仿宋_GB2312" w:hAnsi="仿宋_GB2312" w:eastAsia="仿宋_GB2312" w:cs="仿宋_GB2312"/>
          <w:color w:val="auto"/>
          <w:sz w:val="32"/>
          <w:szCs w:val="32"/>
        </w:rPr>
        <w:t>%,指标完成率100%，无偏差。</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333333"/>
          <w:sz w:val="32"/>
          <w:szCs w:val="32"/>
          <w:shd w:val="clear" w:color="auto" w:fill="FFFFFF"/>
        </w:rPr>
      </w:pPr>
      <w:r>
        <w:rPr>
          <w:rFonts w:hint="eastAsia"/>
          <w:color w:val="333333"/>
          <w:sz w:val="32"/>
          <w:szCs w:val="32"/>
          <w:shd w:val="clear" w:color="auto" w:fill="FFFFFF"/>
          <w:lang w:val="en-US" w:eastAsia="zh-CN"/>
        </w:rPr>
        <w:t>经</w:t>
      </w:r>
      <w:r>
        <w:rPr>
          <w:rFonts w:hint="eastAsia"/>
          <w:color w:val="000000" w:themeColor="text1"/>
          <w:sz w:val="32"/>
          <w:szCs w:val="32"/>
          <w:lang w:val="en-US" w:eastAsia="zh-CN"/>
          <w14:textFill>
            <w14:solidFill>
              <w14:schemeClr w14:val="tx1"/>
            </w14:solidFill>
          </w14:textFill>
        </w:rPr>
        <w:t>营收入成本性支出</w:t>
      </w:r>
      <w:r>
        <w:rPr>
          <w:rFonts w:hint="eastAsia"/>
          <w:color w:val="000000" w:themeColor="text1"/>
          <w:sz w:val="32"/>
          <w:szCs w:val="32"/>
          <w:lang w:eastAsia="zh-CN"/>
          <w14:textFill>
            <w14:solidFill>
              <w14:schemeClr w14:val="tx1"/>
            </w14:solidFill>
          </w14:textFill>
        </w:rPr>
        <w:t>项目年初预算</w:t>
      </w:r>
      <w:r>
        <w:rPr>
          <w:rFonts w:hint="eastAsia"/>
          <w:color w:val="000000" w:themeColor="text1"/>
          <w:sz w:val="32"/>
          <w:szCs w:val="32"/>
          <w:lang w:val="en-US" w:eastAsia="zh-CN"/>
          <w14:textFill>
            <w14:solidFill>
              <w14:schemeClr w14:val="tx1"/>
            </w14:solidFill>
          </w14:textFill>
        </w:rPr>
        <w:t>60</w:t>
      </w:r>
      <w:r>
        <w:rPr>
          <w:rFonts w:hint="eastAsia"/>
          <w:color w:val="000000" w:themeColor="text1"/>
          <w:sz w:val="32"/>
          <w:szCs w:val="32"/>
          <w:lang w:eastAsia="zh-CN"/>
          <w14:textFill>
            <w14:solidFill>
              <w14:schemeClr w14:val="tx1"/>
            </w14:solidFill>
          </w14:textFill>
        </w:rPr>
        <w:t>万元，全年预算</w:t>
      </w:r>
      <w:r>
        <w:rPr>
          <w:rFonts w:hint="eastAsia"/>
          <w:color w:val="000000" w:themeColor="text1"/>
          <w:sz w:val="32"/>
          <w:szCs w:val="32"/>
          <w:lang w:val="en-US" w:eastAsia="zh-CN"/>
          <w14:textFill>
            <w14:solidFill>
              <w14:schemeClr w14:val="tx1"/>
            </w14:solidFill>
          </w14:textFill>
        </w:rPr>
        <w:t>60</w:t>
      </w:r>
      <w:r>
        <w:rPr>
          <w:rFonts w:hint="eastAsia"/>
          <w:color w:val="000000" w:themeColor="text1"/>
          <w:sz w:val="32"/>
          <w:szCs w:val="32"/>
          <w:lang w:eastAsia="zh-CN"/>
          <w14:textFill>
            <w14:solidFill>
              <w14:schemeClr w14:val="tx1"/>
            </w14:solidFill>
          </w14:textFill>
        </w:rPr>
        <w:t>万元，实际支出</w:t>
      </w:r>
      <w:r>
        <w:rPr>
          <w:rFonts w:hint="eastAsia"/>
          <w:color w:val="000000" w:themeColor="text1"/>
          <w:sz w:val="32"/>
          <w:szCs w:val="32"/>
          <w:lang w:val="en-US" w:eastAsia="zh-CN"/>
          <w14:textFill>
            <w14:solidFill>
              <w14:schemeClr w14:val="tx1"/>
            </w14:solidFill>
          </w14:textFill>
        </w:rPr>
        <w:t>24.37</w:t>
      </w:r>
      <w:r>
        <w:rPr>
          <w:rFonts w:hint="eastAsia"/>
          <w:color w:val="000000" w:themeColor="text1"/>
          <w:sz w:val="32"/>
          <w:szCs w:val="32"/>
          <w:lang w:eastAsia="zh-CN"/>
          <w14:textFill>
            <w14:solidFill>
              <w14:schemeClr w14:val="tx1"/>
            </w14:solidFill>
          </w14:textFill>
        </w:rPr>
        <w:t>万元，预算执行率为</w:t>
      </w:r>
      <w:r>
        <w:rPr>
          <w:rFonts w:hint="eastAsia"/>
          <w:color w:val="000000" w:themeColor="text1"/>
          <w:sz w:val="32"/>
          <w:szCs w:val="32"/>
          <w:lang w:val="en-US" w:eastAsia="zh-CN"/>
          <w14:textFill>
            <w14:solidFill>
              <w14:schemeClr w14:val="tx1"/>
            </w14:solidFill>
          </w14:textFill>
        </w:rPr>
        <w:t>40.62</w:t>
      </w:r>
      <w:r>
        <w:rPr>
          <w:rFonts w:hint="eastAsia"/>
          <w:color w:val="000000" w:themeColor="text1"/>
          <w:sz w:val="32"/>
          <w:szCs w:val="32"/>
          <w:lang w:eastAsia="zh-CN"/>
          <w14:textFill>
            <w14:solidFill>
              <w14:schemeClr w14:val="tx1"/>
            </w14:solidFill>
          </w14:textFill>
        </w:rPr>
        <w:t>%，项目绩效指标总体完成率为</w:t>
      </w:r>
      <w:r>
        <w:rPr>
          <w:rFonts w:hint="eastAsia"/>
          <w:color w:val="000000" w:themeColor="text1"/>
          <w:sz w:val="32"/>
          <w:szCs w:val="32"/>
          <w:lang w:val="en-US" w:eastAsia="zh-CN"/>
          <w14:textFill>
            <w14:solidFill>
              <w14:schemeClr w14:val="tx1"/>
            </w14:solidFill>
          </w14:textFill>
        </w:rPr>
        <w:t>100</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eastAsia="zh-Hans"/>
          <w14:textFill>
            <w14:solidFill>
              <w14:schemeClr w14:val="tx1"/>
            </w14:solidFill>
          </w14:textFill>
        </w:rPr>
        <w:t>总体</w:t>
      </w:r>
      <w:r>
        <w:rPr>
          <w:rFonts w:hint="eastAsia"/>
          <w:color w:val="000000" w:themeColor="text1"/>
          <w:sz w:val="32"/>
          <w:szCs w:val="32"/>
          <w:lang w:eastAsia="zh-CN"/>
          <w14:textFill>
            <w14:solidFill>
              <w14:schemeClr w14:val="tx1"/>
            </w14:solidFill>
          </w14:textFill>
        </w:rPr>
        <w:t>偏差率为</w:t>
      </w:r>
      <w:r>
        <w:rPr>
          <w:rFonts w:hint="eastAsia"/>
          <w:color w:val="000000" w:themeColor="text1"/>
          <w:sz w:val="32"/>
          <w:szCs w:val="32"/>
          <w:lang w:val="en-US" w:eastAsia="zh-CN"/>
          <w14:textFill>
            <w14:solidFill>
              <w14:schemeClr w14:val="tx1"/>
            </w14:solidFill>
          </w14:textFill>
        </w:rPr>
        <w:t>-59.38</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eastAsia="zh-Hans"/>
          <w14:textFill>
            <w14:solidFill>
              <w14:schemeClr w14:val="tx1"/>
            </w14:solidFill>
          </w14:textFill>
        </w:rPr>
        <w:t>偏差</w:t>
      </w:r>
      <w:r>
        <w:rPr>
          <w:rFonts w:hint="eastAsia"/>
          <w:color w:val="000000" w:themeColor="text1"/>
          <w:sz w:val="32"/>
          <w:szCs w:val="32"/>
          <w:lang w:eastAsia="zh-CN"/>
          <w14:textFill>
            <w14:solidFill>
              <w14:schemeClr w14:val="tx1"/>
            </w14:solidFill>
          </w14:textFill>
        </w:rPr>
        <w:t>原因为</w:t>
      </w:r>
      <w:r>
        <w:rPr>
          <w:rFonts w:hint="eastAsia"/>
          <w:color w:val="000000" w:themeColor="text1"/>
          <w:sz w:val="32"/>
          <w:szCs w:val="32"/>
          <w:lang w:val="en-US" w:eastAsia="zh-CN"/>
          <w14:textFill>
            <w14:solidFill>
              <w14:schemeClr w14:val="tx1"/>
            </w14:solidFill>
          </w14:textFill>
        </w:rPr>
        <w:t>项目执行中充分利用现有市场资源，增效降本实现中心利益最大化，在保质保量完成工作任务的前提下，精细核算降低运营成本性支出</w:t>
      </w:r>
      <w:r>
        <w:rPr>
          <w:rFonts w:hint="eastAsia"/>
          <w:color w:val="000000" w:themeColor="text1"/>
          <w:sz w:val="32"/>
          <w:szCs w:val="32"/>
          <w:lang w:eastAsia="zh-CN"/>
          <w14:textFill>
            <w14:solidFill>
              <w14:schemeClr w14:val="tx1"/>
            </w14:solidFill>
          </w14:textFill>
        </w:rPr>
        <w:t>。通过以上计划标准和历史标准对比绩效指标完成情况一致，项目立项，依据充分，程序规范。所设定的绩效目标依据充分，符合自治区工业和信息化培训中心客观实际需要。</w:t>
      </w:r>
      <w:r>
        <w:rPr>
          <w:rFonts w:hint="eastAsia"/>
          <w:color w:val="000000" w:themeColor="text1"/>
          <w:sz w:val="32"/>
          <w:szCs w:val="32"/>
          <w:lang w:eastAsia="zh-Hans"/>
          <w14:textFill>
            <w14:solidFill>
              <w14:schemeClr w14:val="tx1"/>
            </w14:solidFill>
          </w14:textFill>
        </w:rPr>
        <w:t>改进</w:t>
      </w:r>
      <w:r>
        <w:rPr>
          <w:rFonts w:hint="eastAsia"/>
          <w:color w:val="000000" w:themeColor="text1"/>
          <w:sz w:val="32"/>
          <w:szCs w:val="32"/>
          <w:lang w:eastAsia="zh-CN"/>
          <w14:textFill>
            <w14:solidFill>
              <w14:schemeClr w14:val="tx1"/>
            </w14:solidFill>
          </w14:textFill>
        </w:rPr>
        <w:t>措施：目前市</w:t>
      </w:r>
      <w:r>
        <w:rPr>
          <w:rFonts w:hint="eastAsia"/>
          <w:color w:val="333333"/>
          <w:sz w:val="32"/>
          <w:szCs w:val="32"/>
          <w:shd w:val="clear" w:color="auto" w:fill="FFFFFF"/>
        </w:rPr>
        <w:t>场变化迅速，及时适应市场变化及需求，经营业务需不断开拓思路、拓展业务，增强培训针对性和加强培训成果。</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、主要经验及做法、存在的问题及原因分析</w:t>
      </w:r>
    </w:p>
    <w:p>
      <w:pPr>
        <w:pStyle w:val="4"/>
        <w:ind w:firstLine="643"/>
        <w:rPr>
          <w:color w:val="0000FF"/>
        </w:rPr>
      </w:pPr>
      <w:bookmarkStart w:id="94" w:name="_Toc11207"/>
      <w:bookmarkStart w:id="95" w:name="_Toc22939"/>
      <w:bookmarkStart w:id="96" w:name="_Toc27307"/>
      <w:bookmarkStart w:id="97" w:name="_Toc13173"/>
      <w:bookmarkStart w:id="98" w:name="_Toc2560"/>
      <w:r>
        <w:rPr>
          <w:color w:val="auto"/>
        </w:rPr>
        <w:t>（一）主要经验及做法</w:t>
      </w:r>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333333"/>
          <w:sz w:val="32"/>
          <w:szCs w:val="32"/>
          <w:shd w:val="clear" w:color="auto" w:fill="FFFFFF"/>
        </w:rPr>
      </w:pPr>
      <w:bookmarkStart w:id="99" w:name="_Toc31102"/>
      <w:bookmarkStart w:id="100" w:name="_Toc25603"/>
      <w:bookmarkStart w:id="101" w:name="_Toc2263"/>
      <w:r>
        <w:rPr>
          <w:rFonts w:hint="eastAsia"/>
          <w:color w:val="333333"/>
          <w:sz w:val="32"/>
          <w:szCs w:val="32"/>
          <w:shd w:val="clear" w:color="auto" w:fill="FFFFFF"/>
        </w:rPr>
        <w:t>2023年各项业务工作已有序恢复，为顺应市场变化，我</w:t>
      </w:r>
      <w:r>
        <w:rPr>
          <w:rFonts w:hint="eastAsia"/>
          <w:color w:val="333333"/>
          <w:sz w:val="32"/>
          <w:szCs w:val="32"/>
          <w:shd w:val="clear" w:color="auto" w:fill="FFFFFF"/>
          <w:lang w:eastAsia="zh-CN"/>
        </w:rPr>
        <w:t>培训</w:t>
      </w:r>
      <w:r>
        <w:rPr>
          <w:rFonts w:hint="eastAsia"/>
          <w:color w:val="333333"/>
          <w:sz w:val="32"/>
          <w:szCs w:val="32"/>
          <w:shd w:val="clear" w:color="auto" w:fill="FFFFFF"/>
        </w:rPr>
        <w:t>中心工作思路、经营方式都有所改变。2023年积极与湖南师范大学进行对接，开展招生服务、咨询服务、教育培训等业务，让2023年经营收入较2022年有明显增长，上年经营收入0万元，今年经营收入55.9</w:t>
      </w:r>
      <w:r>
        <w:rPr>
          <w:rFonts w:hint="eastAsia"/>
          <w:color w:val="333333"/>
          <w:sz w:val="32"/>
          <w:szCs w:val="32"/>
          <w:shd w:val="clear" w:color="auto" w:fill="FFFFFF"/>
          <w:lang w:val="en-US" w:eastAsia="zh-CN"/>
        </w:rPr>
        <w:t>8</w:t>
      </w:r>
      <w:r>
        <w:rPr>
          <w:rFonts w:hint="eastAsia"/>
          <w:color w:val="333333"/>
          <w:sz w:val="32"/>
          <w:szCs w:val="32"/>
          <w:shd w:val="clear" w:color="auto" w:fill="FFFFFF"/>
        </w:rPr>
        <w:t>万元，增长率100%。在今后工作中不断拓展思路、拓展业务，提高工作经验和做法。</w:t>
      </w:r>
    </w:p>
    <w:bookmarkEnd w:id="99"/>
    <w:bookmarkEnd w:id="100"/>
    <w:bookmarkEnd w:id="101"/>
    <w:p>
      <w:pPr>
        <w:pStyle w:val="4"/>
        <w:ind w:firstLine="643"/>
        <w:rPr>
          <w:rFonts w:hint="eastAsia"/>
          <w:color w:val="auto"/>
        </w:rPr>
      </w:pPr>
      <w:bookmarkStart w:id="102" w:name="_Toc2440"/>
      <w:bookmarkStart w:id="103" w:name="_Toc15041"/>
      <w:bookmarkStart w:id="104" w:name="_Toc21837"/>
      <w:bookmarkStart w:id="105" w:name="_Toc4968"/>
      <w:bookmarkStart w:id="106" w:name="_Toc27861"/>
      <w:r>
        <w:rPr>
          <w:rFonts w:hint="eastAsia"/>
          <w:color w:val="auto"/>
          <w:lang w:eastAsia="zh-CN"/>
        </w:rPr>
        <w:t>（二）</w:t>
      </w:r>
      <w:r>
        <w:rPr>
          <w:rFonts w:hint="eastAsia"/>
          <w:color w:val="auto"/>
        </w:rPr>
        <w:t>存在的问题及原因分析</w:t>
      </w:r>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333333"/>
          <w:sz w:val="32"/>
          <w:szCs w:val="32"/>
          <w:shd w:val="clear" w:color="auto" w:fill="FFFFFF"/>
        </w:rPr>
      </w:pPr>
      <w:r>
        <w:rPr>
          <w:rFonts w:hint="eastAsia"/>
          <w:color w:val="333333"/>
          <w:sz w:val="32"/>
          <w:szCs w:val="32"/>
          <w:shd w:val="clear" w:color="auto" w:fill="FFFFFF"/>
        </w:rPr>
        <w:t>目前市场变化迅速，为及时适应市场变化及需求，经营业务需不断开拓思路、拓展业务，增强培训针对性和加强培训成果。</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pPr>
      <w:r>
        <w:rPr>
          <w:rFonts w:hint="eastAsia"/>
          <w:color w:val="auto"/>
          <w:sz w:val="32"/>
          <w:szCs w:val="32"/>
        </w:rPr>
        <w:t>进一步加强对绩效管理工作的组织领导，提高对预算绩效管理工作重要性的认识，总结经验查找问题，抓紧研究制定更全面更完善的绩效评价管理办法。结合</w:t>
      </w:r>
      <w:r>
        <w:rPr>
          <w:rFonts w:hint="eastAsia"/>
          <w:color w:val="000000" w:themeColor="text1"/>
          <w:sz w:val="32"/>
          <w:szCs w:val="32"/>
          <w:lang w:eastAsia="zh-CN"/>
          <w14:textFill>
            <w14:solidFill>
              <w14:schemeClr w14:val="tx1"/>
            </w14:solidFill>
          </w14:textFill>
        </w:rPr>
        <w:t>本</w:t>
      </w:r>
      <w:r>
        <w:rPr>
          <w:rFonts w:hint="eastAsia"/>
          <w:color w:val="000000" w:themeColor="text1"/>
          <w:sz w:val="32"/>
          <w:szCs w:val="32"/>
          <w:lang w:val="en-US" w:eastAsia="zh-CN"/>
          <w14:textFill>
            <w14:solidFill>
              <w14:schemeClr w14:val="tx1"/>
            </w14:solidFill>
          </w14:textFill>
        </w:rPr>
        <w:t>中心</w:t>
      </w:r>
      <w:r>
        <w:rPr>
          <w:rFonts w:hint="eastAsia"/>
          <w:color w:val="auto"/>
          <w:sz w:val="32"/>
          <w:szCs w:val="32"/>
        </w:rPr>
        <w:t>建立绩效工作考核制度，加大全局对全面实施预算绩效管理和绩效管理工作的学习力度，让“花钱必问效，无效必问责”的理念深入工作每个环节。</w:t>
      </w:r>
    </w:p>
    <w:p>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其他需要说明的问题</w:t>
      </w:r>
    </w:p>
    <w:p>
      <w:pPr>
        <w:pStyle w:val="15"/>
        <w:spacing w:after="0" w:line="560" w:lineRule="exact"/>
        <w:ind w:left="0" w:leftChars="0" w:firstLine="640"/>
        <w:rPr>
          <w:rFonts w:ascii="仿宋_GB2312" w:hAnsi="仿宋_GB2312" w:eastAsia="仿宋_GB2312" w:cs="仿宋_GB2312"/>
          <w:sz w:val="32"/>
          <w:szCs w:val="32"/>
        </w:rPr>
      </w:pPr>
      <w:r>
        <w:rPr>
          <w:rFonts w:hint="eastAsia"/>
          <w:lang w:val="en-US" w:eastAsia="zh-CN"/>
        </w:rPr>
        <w:t xml:space="preserve"> </w:t>
      </w:r>
      <w:r>
        <w:rPr>
          <w:rFonts w:hint="eastAsia" w:ascii="仿宋_GB2312" w:hAnsi="仿宋_GB2312" w:eastAsia="仿宋_GB2312" w:cs="仿宋_GB2312"/>
          <w:sz w:val="32"/>
          <w:szCs w:val="32"/>
          <w:lang w:eastAsia="zh-Hans"/>
        </w:rPr>
        <w:t>本项目无其他需说明的问题。</w:t>
      </w:r>
    </w:p>
    <w:p>
      <w:pPr>
        <w:pStyle w:val="2"/>
        <w:numPr>
          <w:ilvl w:val="0"/>
          <w:numId w:val="0"/>
        </w:numPr>
        <w:jc w:val="both"/>
        <w:rPr>
          <w:rFonts w:hint="eastAsia"/>
          <w:b w:val="0"/>
          <w:bCs w:val="0"/>
          <w:sz w:val="32"/>
          <w:szCs w:val="32"/>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3"/>
        <w:ind w:firstLine="0" w:firstLineChars="0"/>
        <w:rPr>
          <w:color w:val="auto"/>
        </w:rPr>
      </w:pPr>
      <w:bookmarkStart w:id="107" w:name="_Toc10459"/>
      <w:bookmarkStart w:id="108" w:name="_Toc1426"/>
      <w:bookmarkStart w:id="109" w:name="_Toc24488"/>
      <w:bookmarkStart w:id="110" w:name="_Toc11976"/>
      <w:bookmarkStart w:id="111" w:name="_Toc2300"/>
      <w:r>
        <w:rPr>
          <w:color w:val="auto"/>
        </w:rPr>
        <w:t>附件1</w:t>
      </w:r>
      <w:bookmarkEnd w:id="107"/>
      <w:bookmarkEnd w:id="108"/>
      <w:bookmarkEnd w:id="109"/>
      <w:bookmarkEnd w:id="110"/>
      <w:bookmarkEnd w:id="111"/>
    </w:p>
    <w:p>
      <w:pPr>
        <w:pStyle w:val="19"/>
        <w:ind w:firstLine="562"/>
        <w:jc w:val="center"/>
        <w:rPr>
          <w:sz w:val="28"/>
          <w:szCs w:val="40"/>
        </w:rPr>
      </w:pPr>
      <w:bookmarkStart w:id="112" w:name="_Toc30064_WPSOffice_Level1"/>
      <w:bookmarkStart w:id="113" w:name="_Toc26499_WPSOffice_Level2"/>
      <w:r>
        <w:rPr>
          <w:rFonts w:hint="eastAsia"/>
          <w:b/>
          <w:bCs/>
          <w:sz w:val="28"/>
          <w:szCs w:val="40"/>
          <w:lang w:val="en-US" w:eastAsia="zh-CN"/>
        </w:rPr>
        <w:t>经营收入成本性支出</w:t>
      </w:r>
      <w:r>
        <w:rPr>
          <w:rFonts w:hint="eastAsia"/>
          <w:b/>
          <w:bCs/>
          <w:sz w:val="28"/>
          <w:szCs w:val="40"/>
        </w:rPr>
        <w:t>项目绩效评价指标体系及综合评分表</w:t>
      </w:r>
      <w:bookmarkEnd w:id="112"/>
      <w:bookmarkEnd w:id="113"/>
    </w:p>
    <w:p/>
    <w:tbl>
      <w:tblPr>
        <w:tblStyle w:val="16"/>
        <w:tblW w:w="905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986"/>
        <w:gridCol w:w="1040"/>
        <w:gridCol w:w="1002"/>
        <w:gridCol w:w="1942"/>
        <w:gridCol w:w="2868"/>
        <w:gridCol w:w="618"/>
        <w:gridCol w:w="59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tblHeader/>
          <w:jc w:val="center"/>
        </w:trPr>
        <w:tc>
          <w:tcPr>
            <w:tcW w:w="986"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一级指标</w:t>
            </w:r>
          </w:p>
        </w:tc>
        <w:tc>
          <w:tcPr>
            <w:tcW w:w="1040"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二级指标</w:t>
            </w:r>
          </w:p>
        </w:tc>
        <w:tc>
          <w:tcPr>
            <w:tcW w:w="1002"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三级指标</w:t>
            </w:r>
          </w:p>
        </w:tc>
        <w:tc>
          <w:tcPr>
            <w:tcW w:w="1942"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指标解释</w:t>
            </w:r>
          </w:p>
        </w:tc>
        <w:tc>
          <w:tcPr>
            <w:tcW w:w="286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指标说明</w:t>
            </w:r>
          </w:p>
        </w:tc>
        <w:tc>
          <w:tcPr>
            <w:tcW w:w="61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权重</w:t>
            </w:r>
          </w:p>
        </w:tc>
        <w:tc>
          <w:tcPr>
            <w:tcW w:w="599"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986"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决策　</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p>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1040"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项目立项　</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立项依据</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充分性</w:t>
            </w:r>
          </w:p>
        </w:tc>
        <w:tc>
          <w:tcPr>
            <w:tcW w:w="1942"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项目立项是否符合法律法规、相关政策、发展规划以及部门职责，用以反映和考核项目立项依据情况。</w:t>
            </w:r>
          </w:p>
        </w:tc>
        <w:tc>
          <w:tcPr>
            <w:tcW w:w="2868" w:type="dxa"/>
            <w:shd w:val="clear" w:color="auto" w:fill="FFFFFF"/>
            <w:vAlign w:val="center"/>
          </w:tcPr>
          <w:p>
            <w:pPr>
              <w:widowControl/>
              <w:spacing w:line="0" w:lineRule="atLeast"/>
              <w:ind w:firstLine="0" w:firstLineChars="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评价要点：</w:t>
            </w:r>
          </w:p>
          <w:p>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①项目立项是否符合国家法律法规、国民经济发展规划和相关政策；</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②项目立项是否符合行业发展规划和政策要求；</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③项目立项是否与部门职责范围相符，属于部门履职所需；</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④项目是否属于公共财政支持范围，是否符合中央、地方事权支出责任划分原则；</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⑤项目是否与相关部门同类项目或部门内部相关项目重复。</w:t>
            </w:r>
          </w:p>
        </w:tc>
        <w:tc>
          <w:tcPr>
            <w:tcW w:w="61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599"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986" w:type="dxa"/>
            <w:vMerge w:val="continue"/>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p>
        </w:tc>
        <w:tc>
          <w:tcPr>
            <w:tcW w:w="1040"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立项程序</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规范性</w:t>
            </w:r>
          </w:p>
        </w:tc>
        <w:tc>
          <w:tcPr>
            <w:tcW w:w="1942"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项目申请、设立过程是否符合相关要求，用以反映和考核项目立项的规范情况。</w:t>
            </w:r>
          </w:p>
        </w:tc>
        <w:tc>
          <w:tcPr>
            <w:tcW w:w="2868" w:type="dxa"/>
            <w:shd w:val="clear" w:color="auto" w:fill="FFFFFF"/>
            <w:vAlign w:val="center"/>
          </w:tcPr>
          <w:p>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①项目是否按照规定的程序申请设立；</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②审批文件、材料是否符合相关要求；</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③事前是否已经过必要的可行性研究、专家论证、风险评估、绩效评估、集体决策。</w:t>
            </w:r>
          </w:p>
        </w:tc>
        <w:tc>
          <w:tcPr>
            <w:tcW w:w="61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599"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986" w:type="dxa"/>
            <w:vMerge w:val="continue"/>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p>
        </w:tc>
        <w:tc>
          <w:tcPr>
            <w:tcW w:w="1040"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　</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合理性</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项目所设定的绩效目标是否依据充分，是否符合客观实际，用以反映和考核项目绩效目标与项目实施的相符情况。</w:t>
            </w:r>
          </w:p>
        </w:tc>
        <w:tc>
          <w:tcPr>
            <w:tcW w:w="2868" w:type="dxa"/>
            <w:shd w:val="clear" w:color="000000" w:fill="FFFFFF"/>
            <w:vAlign w:val="center"/>
          </w:tcPr>
          <w:p>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（如未设定预算绩效目标，也可考核其他工作任务目标）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①项目是否有绩效目标；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②项目绩效目标与实际工作内容是否具有相关性；</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④是否与预算确定的项目投资额或资金量相匹配。</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986"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决策　</w:t>
            </w:r>
          </w:p>
        </w:tc>
        <w:tc>
          <w:tcPr>
            <w:tcW w:w="1040"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绩效目标</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绩效指标</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明确性</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依据绩效目标设定的绩效指标是否清晰、细化、可衡量等，用以反映和考核项目绩效目标的明细化情况。</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①是否将项目绩效目标细化分解为具体的绩效指标；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②是否通过清晰、可衡量的指标值予以体现；</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③是否与项目目标任务数或计划数相对应。</w:t>
            </w:r>
            <w:r>
              <w:rPr>
                <w:rFonts w:hint="eastAsia" w:ascii="宋体" w:hAnsi="宋体" w:eastAsia="宋体" w:cs="宋体"/>
                <w:color w:val="auto"/>
                <w:kern w:val="0"/>
                <w:sz w:val="18"/>
                <w:szCs w:val="18"/>
              </w:rPr>
              <w:br w:type="textWrapping"/>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986" w:type="dxa"/>
            <w:vMerge w:val="continue"/>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p>
        </w:tc>
        <w:tc>
          <w:tcPr>
            <w:tcW w:w="1040"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资金投入</w:t>
            </w:r>
          </w:p>
          <w:p>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预算编制</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科学性</w:t>
            </w:r>
          </w:p>
        </w:tc>
        <w:tc>
          <w:tcPr>
            <w:tcW w:w="1942"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项目预算编制是否经过科学论证、有明确标准，资金额度与年度目标是否相适应，用以反映和考核项目预算编制的科学性、合理性情况。</w:t>
            </w:r>
          </w:p>
        </w:tc>
        <w:tc>
          <w:tcPr>
            <w:tcW w:w="2868"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①预算编制是否经过科学论证；</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②预算内容与项目内容是否匹配；</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③预算额度测算依据是否充分，是否按照标准编制；</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④预算确定的项目投资额或资金量是否与工作任务相匹配。</w:t>
            </w:r>
          </w:p>
        </w:tc>
        <w:tc>
          <w:tcPr>
            <w:tcW w:w="61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599"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986"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40"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资金分配</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合理性</w:t>
            </w:r>
          </w:p>
        </w:tc>
        <w:tc>
          <w:tcPr>
            <w:tcW w:w="1942"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项目预算资金分配是否有测算依据，与补助单位或地方实际是否相适应，用以反映和考核项目预算资金分配的科学性、合理性情况。</w:t>
            </w:r>
          </w:p>
        </w:tc>
        <w:tc>
          <w:tcPr>
            <w:tcW w:w="2868"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①预算资金分配依据是否充分；</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②资金分配额度是否合理，与项目单位或地方实际是否相适应。</w:t>
            </w:r>
          </w:p>
        </w:tc>
        <w:tc>
          <w:tcPr>
            <w:tcW w:w="61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c>
          <w:tcPr>
            <w:tcW w:w="599"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986" w:type="dxa"/>
            <w:vMerge w:val="restart"/>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过程</w:t>
            </w:r>
          </w:p>
        </w:tc>
        <w:tc>
          <w:tcPr>
            <w:tcW w:w="1040"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资金管理</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资金到位率</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实际到位资金与预算资金的比率，用以反映和考核资金落实情况对项目实施的总体保障程度。</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资金到位率=（实际到位资金/预算资金）×100%。</w:t>
            </w:r>
          </w:p>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预算资金：一定时期（本年度或项目期）内预算安排到具体项目的资金。</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986" w:type="dxa"/>
            <w:vMerge w:val="continue"/>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p>
        </w:tc>
        <w:tc>
          <w:tcPr>
            <w:tcW w:w="1040" w:type="dxa"/>
            <w:vMerge w:val="continue"/>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预算执行率</w:t>
            </w:r>
          </w:p>
        </w:tc>
        <w:tc>
          <w:tcPr>
            <w:tcW w:w="1942"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项目预算资金是否按照计划执行，用以反映或考核项目预算执行情况。</w:t>
            </w:r>
          </w:p>
        </w:tc>
        <w:tc>
          <w:tcPr>
            <w:tcW w:w="2868"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预算执行率=（实际支出资金/实际到位资金）×100%。</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实际支出资金：一定时期（本年度或项目期）内项目实际拨付的资金。</w:t>
            </w:r>
          </w:p>
        </w:tc>
        <w:tc>
          <w:tcPr>
            <w:tcW w:w="61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599" w:type="dxa"/>
            <w:shd w:val="clear" w:color="auto" w:fill="FFFFFF"/>
            <w:vAlign w:val="center"/>
          </w:tcPr>
          <w:p>
            <w:pPr>
              <w:widowControl/>
              <w:spacing w:line="0" w:lineRule="atLeast"/>
              <w:ind w:firstLine="0" w:firstLineChars="0"/>
              <w:jc w:val="center"/>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986"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p>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过程　</w:t>
            </w:r>
          </w:p>
        </w:tc>
        <w:tc>
          <w:tcPr>
            <w:tcW w:w="1040"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资金管理</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资金使用</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合规性</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项目资金使用是否符合相关的财务管理制度规定，用以反映和考核项目资金的规范运行情况。</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①是否符合国家财经法规和财务管理制度以及有关专项资金管理办法的规定；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②资金的拨付是否有完整的审批程序和手续；</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③是否符合项目预算批复或合同规定的用途；</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④是否存在截留、挤占、挪用、虚列支出等情况。</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599" w:type="dxa"/>
            <w:shd w:val="clear" w:color="000000" w:fill="FFFFFF"/>
            <w:vAlign w:val="center"/>
          </w:tcPr>
          <w:p>
            <w:pPr>
              <w:widowControl/>
              <w:spacing w:line="0" w:lineRule="atLeast"/>
              <w:ind w:firstLine="0" w:firstLineChars="0"/>
              <w:jc w:val="center"/>
              <w:rPr>
                <w:rFonts w:hint="eastAsia" w:ascii="宋体" w:hAnsi="宋体" w:eastAsia="宋体" w:cs="宋体"/>
                <w:b/>
                <w:bCs/>
                <w:color w:val="auto"/>
                <w:kern w:val="0"/>
                <w:sz w:val="18"/>
                <w:szCs w:val="18"/>
                <w:lang w:eastAsia="zh-CN"/>
              </w:rPr>
            </w:pPr>
            <w:r>
              <w:rPr>
                <w:rFonts w:hint="eastAsia" w:ascii="宋体" w:hAnsi="宋体" w:eastAsia="宋体" w:cs="宋体"/>
                <w:b/>
                <w:bCs/>
                <w:color w:val="auto"/>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986" w:type="dxa"/>
            <w:vMerge w:val="continue"/>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p>
        </w:tc>
        <w:tc>
          <w:tcPr>
            <w:tcW w:w="1040"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组织实施</w:t>
            </w:r>
          </w:p>
          <w:p>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管理制度</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健全性</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项目实施单位的财务和业务管理制度是否健全，用以反映和考核财务和业务管理制度对项目顺利实施的保障情况。</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①是否已制定或具有相应的财务和业务管理制度；</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②财务和业务管理制度是否合法、合规、完整。</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599" w:type="dxa"/>
            <w:shd w:val="clear" w:color="000000" w:fill="FFFFFF"/>
            <w:vAlign w:val="center"/>
          </w:tcPr>
          <w:p>
            <w:pPr>
              <w:widowControl/>
              <w:spacing w:line="0" w:lineRule="atLeast"/>
              <w:ind w:firstLine="0" w:firstLineChars="0"/>
              <w:jc w:val="center"/>
              <w:rPr>
                <w:rFonts w:hint="eastAsia"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986"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40"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制度执行</w:t>
            </w:r>
          </w:p>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有效性</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项目实施是否符合相关管理规定，用以反映和考核相关管理制度的有效执行情况。</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评价要点：</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①是否遵守相关法律法规和相关管理规定；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②项目调整及支出调整手续是否完备；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③项目合同书、验收报告、技术鉴定等资料是否齐全并及时归档；</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④项目实施的人员条件、场地设备、信息支撑等是否落实到位。</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986"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w:t>
            </w:r>
          </w:p>
        </w:tc>
        <w:tc>
          <w:tcPr>
            <w:tcW w:w="1040"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产出数量</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实际完成率</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项目实施的实际产出数与计划产出数的比率，用以反映和考核项目产出数量目标的实现程度。</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实际完成率=（实际产出数/计划产出数）×100%。</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实际产出数：一定时期（本年度或项目期）内项目实际产出的产品或提供的服务数量。</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计划产出数：项目绩效目标确定的在一定时期（本年度或项目期）内计划产出的产品或提供的服务数量。</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986"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w:t>
            </w:r>
          </w:p>
        </w:tc>
        <w:tc>
          <w:tcPr>
            <w:tcW w:w="1040"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产出质量</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质量达标率</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项目完成的质量达标产出数与实际产出数的比率，用以反映和考核项目产出质量目标的实现程度。</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质量达标率=（质量达标产出数/实际产出数）×100%。</w:t>
            </w:r>
          </w:p>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986" w:type="dxa"/>
            <w:vMerge w:val="continue"/>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p>
        </w:tc>
        <w:tc>
          <w:tcPr>
            <w:tcW w:w="1040" w:type="dxa"/>
            <w:shd w:val="clear" w:color="auto" w:fill="FFFFFF"/>
            <w:vAlign w:val="center"/>
          </w:tcPr>
          <w:p>
            <w:pPr>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产出时效</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完成及时性</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项目实际完成时间与计划完成时间的比较，用以反映和考核项目产出时效目标的实现程度。</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实际完成时间：项目实施单位完成该项目实际所耗用的时间。</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计划完成时间：按照项目实施计划或相关规定完成该项目所需的时间。</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986"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40"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产出成本</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成本节约率</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完成项目计划工作目标的实际节约成本与计划成本的比率，用以反映和考核项目的成本节约程度。</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成本节约率=[（计划成本-实际成本）/计划成本]×100%。</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实际成本：项目实施单位如期、保质、保量完成既定工作目标实际所耗费的支出。</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计划成本：项目实施单位为完成工作目标计划安排的支出，一般以项目预算为参考。</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c>
          <w:tcPr>
            <w:tcW w:w="599"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986"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　</w:t>
            </w:r>
          </w:p>
        </w:tc>
        <w:tc>
          <w:tcPr>
            <w:tcW w:w="1040" w:type="dxa"/>
            <w:vMerge w:val="restart"/>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项目效益　</w:t>
            </w: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实施效益</w:t>
            </w:r>
          </w:p>
        </w:tc>
        <w:tc>
          <w:tcPr>
            <w:tcW w:w="1942" w:type="dxa"/>
            <w:shd w:val="clear" w:color="auto" w:fill="FFFFFF"/>
            <w:vAlign w:val="center"/>
          </w:tcPr>
          <w:p>
            <w:pPr>
              <w:widowControl/>
              <w:spacing w:line="0" w:lineRule="atLeas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项目实施所产生的效益。</w:t>
            </w:r>
          </w:p>
        </w:tc>
        <w:tc>
          <w:tcPr>
            <w:tcW w:w="2868" w:type="dxa"/>
            <w:shd w:val="clear" w:color="auto"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项目实施所产生的社会效益、经济效益、生态效益、可持续影响等。可根据项目实际情况有选择地设置和细化。</w:t>
            </w:r>
          </w:p>
        </w:tc>
        <w:tc>
          <w:tcPr>
            <w:tcW w:w="618" w:type="dxa"/>
            <w:shd w:val="clear" w:color="auto"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15</w:t>
            </w:r>
          </w:p>
        </w:tc>
        <w:tc>
          <w:tcPr>
            <w:tcW w:w="599" w:type="dxa"/>
            <w:shd w:val="clear" w:color="auto" w:fill="FFFFFF"/>
            <w:vAlign w:val="center"/>
          </w:tcPr>
          <w:p>
            <w:pPr>
              <w:widowControl/>
              <w:spacing w:line="0" w:lineRule="atLeast"/>
              <w:ind w:firstLine="0" w:firstLineChars="0"/>
              <w:jc w:val="center"/>
              <w:rPr>
                <w:rFonts w:hint="eastAsia"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rPr>
              <w:t>1</w:t>
            </w:r>
            <w:r>
              <w:rPr>
                <w:rFonts w:hint="eastAsia" w:ascii="宋体" w:hAnsi="宋体" w:eastAsia="宋体" w:cs="宋体"/>
                <w:b/>
                <w:bCs/>
                <w:color w:val="auto"/>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2" w:hRule="atLeast"/>
          <w:jc w:val="center"/>
        </w:trPr>
        <w:tc>
          <w:tcPr>
            <w:tcW w:w="986"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40" w:type="dxa"/>
            <w:vMerge w:val="continue"/>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p>
        </w:tc>
        <w:tc>
          <w:tcPr>
            <w:tcW w:w="1002" w:type="dxa"/>
            <w:shd w:val="clear" w:color="auto" w:fill="FFFFFF"/>
            <w:vAlign w:val="center"/>
          </w:tcPr>
          <w:p>
            <w:pPr>
              <w:widowControl/>
              <w:spacing w:line="0" w:lineRule="atLeas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tc>
        <w:tc>
          <w:tcPr>
            <w:tcW w:w="1942"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社会公众或服务对象对项目实施效果的满意程度。</w:t>
            </w:r>
          </w:p>
        </w:tc>
        <w:tc>
          <w:tcPr>
            <w:tcW w:w="2868" w:type="dxa"/>
            <w:shd w:val="clear" w:color="000000" w:fill="FFFFFF"/>
            <w:vAlign w:val="center"/>
          </w:tcPr>
          <w:p>
            <w:pPr>
              <w:widowControl/>
              <w:spacing w:line="0" w:lineRule="atLeas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社会公众或服务对象是指因该项目实施而受到影响的部门（单位）、群体或个人。一般采取社会调查的方式。</w:t>
            </w:r>
          </w:p>
        </w:tc>
        <w:tc>
          <w:tcPr>
            <w:tcW w:w="618" w:type="dxa"/>
            <w:shd w:val="clear" w:color="000000" w:fill="FFFFFF"/>
            <w:vAlign w:val="center"/>
          </w:tcPr>
          <w:p>
            <w:pPr>
              <w:widowControl/>
              <w:spacing w:line="0" w:lineRule="atLeast"/>
              <w:ind w:firstLine="0" w:firstLineChars="0"/>
              <w:jc w:val="center"/>
              <w:rPr>
                <w:rFonts w:ascii="宋体" w:hAnsi="宋体" w:eastAsia="宋体" w:cs="宋体"/>
                <w:b/>
                <w:bCs/>
                <w:color w:val="auto"/>
                <w:kern w:val="0"/>
                <w:sz w:val="18"/>
                <w:szCs w:val="18"/>
              </w:rPr>
            </w:pPr>
            <w:r>
              <w:rPr>
                <w:rFonts w:hint="eastAsia" w:ascii="宋体" w:hAnsi="宋体" w:eastAsia="宋体" w:cs="宋体"/>
                <w:b/>
                <w:bCs/>
                <w:color w:val="auto"/>
                <w:kern w:val="0"/>
                <w:sz w:val="18"/>
                <w:szCs w:val="18"/>
              </w:rPr>
              <w:t>5</w:t>
            </w:r>
          </w:p>
        </w:tc>
        <w:tc>
          <w:tcPr>
            <w:tcW w:w="599" w:type="dxa"/>
            <w:shd w:val="clear" w:color="000000" w:fill="FFFFFF"/>
            <w:vAlign w:val="center"/>
          </w:tcPr>
          <w:p>
            <w:pPr>
              <w:widowControl/>
              <w:spacing w:line="0" w:lineRule="atLeast"/>
              <w:ind w:firstLine="0" w:firstLineChars="0"/>
              <w:jc w:val="center"/>
              <w:rPr>
                <w:rFonts w:hint="eastAsia"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5</w:t>
            </w:r>
          </w:p>
        </w:tc>
      </w:tr>
    </w:tbl>
    <w:p>
      <w:pPr>
        <w:rPr>
          <w:rFonts w:hint="default"/>
          <w:lang w:val="en-US" w:eastAsia="zh-CN"/>
        </w:rPr>
      </w:pPr>
    </w:p>
    <w:sectPr>
      <w:footerReference r:id="rId4" w:type="default"/>
      <w:pgSz w:w="11906" w:h="16838"/>
      <w:pgMar w:top="1928" w:right="1531" w:bottom="1701" w:left="153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BA5EB1-7C57-41E8-BF25-819E1BDAFA3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2" w:fontKey="{91929873-96A8-4C88-A045-641964C5C778}"/>
  </w:font>
  <w:font w:name="楷体_GB2312">
    <w:panose1 w:val="02010609030101010101"/>
    <w:charset w:val="86"/>
    <w:family w:val="modern"/>
    <w:pitch w:val="default"/>
    <w:sig w:usb0="00000000" w:usb1="00000000" w:usb2="00000000" w:usb3="00000000" w:csb0="00000000" w:csb1="00000000"/>
    <w:embedRegular r:id="rId3" w:fontKey="{FADE2666-5DDC-477C-A912-2F9C7F1FB512}"/>
  </w:font>
  <w:font w:name="Calibri Light">
    <w:altName w:val="Calibri"/>
    <w:panose1 w:val="020F0302020204030204"/>
    <w:charset w:val="00"/>
    <w:family w:val="auto"/>
    <w:pitch w:val="default"/>
    <w:sig w:usb0="00000000" w:usb1="00000000" w:usb2="00000009" w:usb3="00000000" w:csb0="200001FF" w:csb1="00000000"/>
  </w:font>
  <w:font w:name="方正小标宋_GBK">
    <w:panose1 w:val="03000509000000000000"/>
    <w:charset w:val="86"/>
    <w:family w:val="script"/>
    <w:pitch w:val="default"/>
    <w:sig w:usb0="00000000" w:usb1="00000000" w:usb2="00000000" w:usb3="00000000" w:csb0="00000000" w:csb1="00000000"/>
    <w:embedRegular r:id="rId4" w:fontKey="{EE1A1DA5-2D1D-4E8F-BFDD-087489F853D8}"/>
  </w:font>
  <w:font w:name="华文中宋">
    <w:panose1 w:val="02010600040101010101"/>
    <w:charset w:val="86"/>
    <w:family w:val="auto"/>
    <w:pitch w:val="default"/>
    <w:sig w:usb0="00000000" w:usb1="00000000" w:usb2="00000000" w:usb3="00000000" w:csb0="00000000" w:csb1="00000000"/>
    <w:embedRegular r:id="rId5" w:fontKey="{977F4176-AB7A-493A-854C-5B23A3D00EF8}"/>
  </w:font>
  <w:font w:name="楷体">
    <w:panose1 w:val="02010609060101010101"/>
    <w:charset w:val="86"/>
    <w:family w:val="modern"/>
    <w:pitch w:val="default"/>
    <w:sig w:usb0="800002BF" w:usb1="38CF7CFA" w:usb2="00000016" w:usb3="00000000" w:csb0="00040001" w:csb1="00000000"/>
    <w:embedRegular r:id="rId6" w:fontKey="{FDACAB31-4265-40D8-81DE-A150B35B1D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FCEC40"/>
    <w:multiLevelType w:val="singleLevel"/>
    <w:tmpl w:val="EBFCEC40"/>
    <w:lvl w:ilvl="0" w:tentative="0">
      <w:start w:val="2"/>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3224DF73"/>
    <w:multiLevelType w:val="singleLevel"/>
    <w:tmpl w:val="3224DF73"/>
    <w:lvl w:ilvl="0" w:tentative="0">
      <w:start w:val="1"/>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5716501"/>
    <w:rsid w:val="05953731"/>
    <w:rsid w:val="06FD4082"/>
    <w:rsid w:val="08FD6FB7"/>
    <w:rsid w:val="097D6B14"/>
    <w:rsid w:val="0C6C62F9"/>
    <w:rsid w:val="0DD9214C"/>
    <w:rsid w:val="0DF84EF2"/>
    <w:rsid w:val="0E7E7762"/>
    <w:rsid w:val="10DF20A5"/>
    <w:rsid w:val="1122342A"/>
    <w:rsid w:val="1378417F"/>
    <w:rsid w:val="145D29CB"/>
    <w:rsid w:val="1620194E"/>
    <w:rsid w:val="174B0AD4"/>
    <w:rsid w:val="17B25A55"/>
    <w:rsid w:val="18C250E3"/>
    <w:rsid w:val="1A656751"/>
    <w:rsid w:val="1B8011AC"/>
    <w:rsid w:val="1C67088B"/>
    <w:rsid w:val="1DA93DEE"/>
    <w:rsid w:val="1DF039F7"/>
    <w:rsid w:val="1E095322"/>
    <w:rsid w:val="1F0B55D3"/>
    <w:rsid w:val="1F950523"/>
    <w:rsid w:val="217B259C"/>
    <w:rsid w:val="219D08AB"/>
    <w:rsid w:val="24BB1774"/>
    <w:rsid w:val="262F2AD8"/>
    <w:rsid w:val="26CF6E85"/>
    <w:rsid w:val="2822179F"/>
    <w:rsid w:val="2A8655B5"/>
    <w:rsid w:val="2B5A7C32"/>
    <w:rsid w:val="2B5D11B4"/>
    <w:rsid w:val="2BB47688"/>
    <w:rsid w:val="2EC169D7"/>
    <w:rsid w:val="311D5A5D"/>
    <w:rsid w:val="346F12EE"/>
    <w:rsid w:val="34D469B1"/>
    <w:rsid w:val="35337A9F"/>
    <w:rsid w:val="39B270B9"/>
    <w:rsid w:val="3F534BF0"/>
    <w:rsid w:val="400A5B5C"/>
    <w:rsid w:val="43A259B6"/>
    <w:rsid w:val="44140597"/>
    <w:rsid w:val="45EC0627"/>
    <w:rsid w:val="45EC6C57"/>
    <w:rsid w:val="46544024"/>
    <w:rsid w:val="48044E26"/>
    <w:rsid w:val="48EE0514"/>
    <w:rsid w:val="4A436A27"/>
    <w:rsid w:val="4A9155C6"/>
    <w:rsid w:val="4AC465E2"/>
    <w:rsid w:val="4B4F345F"/>
    <w:rsid w:val="4F2D6167"/>
    <w:rsid w:val="512B35FC"/>
    <w:rsid w:val="513B00D1"/>
    <w:rsid w:val="54324CFF"/>
    <w:rsid w:val="55A25EB5"/>
    <w:rsid w:val="5E3A366F"/>
    <w:rsid w:val="619568CD"/>
    <w:rsid w:val="62197C87"/>
    <w:rsid w:val="66A337D0"/>
    <w:rsid w:val="67EB00BB"/>
    <w:rsid w:val="6A5C5B6B"/>
    <w:rsid w:val="6B3B45A2"/>
    <w:rsid w:val="6D975F0B"/>
    <w:rsid w:val="6E453429"/>
    <w:rsid w:val="6E511DCE"/>
    <w:rsid w:val="6EE562E2"/>
    <w:rsid w:val="70D42624"/>
    <w:rsid w:val="714C6C42"/>
    <w:rsid w:val="7250347D"/>
    <w:rsid w:val="73626628"/>
    <w:rsid w:val="7440091B"/>
    <w:rsid w:val="7A375D38"/>
    <w:rsid w:val="7DD468D9"/>
    <w:rsid w:val="7DED59CB"/>
    <w:rsid w:val="7E6B7182"/>
    <w:rsid w:val="7EEF7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qFormat="1" w:uiPriority="3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9"/>
    <w:pPr>
      <w:keepNext/>
      <w:widowControl/>
      <w:spacing w:line="600" w:lineRule="exact"/>
      <w:jc w:val="left"/>
      <w:outlineLvl w:val="0"/>
    </w:pPr>
    <w:rPr>
      <w:rFonts w:eastAsia="黑体"/>
      <w:b/>
      <w:bCs/>
      <w:kern w:val="32"/>
      <w:szCs w:val="32"/>
    </w:rPr>
  </w:style>
  <w:style w:type="paragraph" w:styleId="4">
    <w:name w:val="heading 2"/>
    <w:basedOn w:val="1"/>
    <w:next w:val="1"/>
    <w:unhideWhenUsed/>
    <w:qFormat/>
    <w:uiPriority w:val="9"/>
    <w:pPr>
      <w:keepNext/>
      <w:widowControl/>
      <w:spacing w:line="600" w:lineRule="exact"/>
      <w:jc w:val="left"/>
      <w:outlineLvl w:val="1"/>
    </w:pPr>
    <w:rPr>
      <w:rFonts w:eastAsia="楷体_GB2312"/>
      <w:b/>
      <w:bCs/>
      <w:iCs/>
      <w:kern w:val="0"/>
      <w:szCs w:val="28"/>
    </w:rPr>
  </w:style>
  <w:style w:type="paragraph" w:styleId="5">
    <w:name w:val="heading 3"/>
    <w:basedOn w:val="1"/>
    <w:next w:val="1"/>
    <w:unhideWhenUsed/>
    <w:qFormat/>
    <w:uiPriority w:val="9"/>
    <w:pPr>
      <w:keepNext/>
      <w:widowControl/>
      <w:spacing w:line="600" w:lineRule="exact"/>
      <w:jc w:val="left"/>
      <w:outlineLvl w:val="2"/>
    </w:pPr>
    <w:rPr>
      <w:b/>
      <w:bCs/>
      <w:kern w:val="0"/>
      <w:szCs w:val="26"/>
    </w:rPr>
  </w:style>
  <w:style w:type="character" w:default="1" w:styleId="17">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Cs w:val="32"/>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rPr>
      <w:rFonts w:ascii="Calibri" w:hAnsi="Calibri"/>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semiHidden/>
    <w:unhideWhenUsed/>
    <w:qFormat/>
    <w:uiPriority w:val="39"/>
  </w:style>
  <w:style w:type="paragraph" w:styleId="12">
    <w:name w:val="toc 2"/>
    <w:basedOn w:val="1"/>
    <w:next w:val="1"/>
    <w:semiHidden/>
    <w:unhideWhenUsed/>
    <w:qFormat/>
    <w:uiPriority w:val="39"/>
    <w:pPr>
      <w:ind w:left="420" w:leftChars="200"/>
    </w:pPr>
  </w:style>
  <w:style w:type="paragraph" w:styleId="13">
    <w:name w:val="Normal (Web)"/>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styleId="14">
    <w:name w:val="Body Text First Indent"/>
    <w:basedOn w:val="7"/>
    <w:qFormat/>
    <w:uiPriority w:val="0"/>
    <w:pPr>
      <w:spacing w:after="0"/>
      <w:ind w:firstLine="200" w:firstLineChars="200"/>
    </w:pPr>
  </w:style>
  <w:style w:type="paragraph" w:styleId="15">
    <w:name w:val="Body Text First Indent 2"/>
    <w:basedOn w:val="8"/>
    <w:qFormat/>
    <w:uiPriority w:val="0"/>
    <w:pPr>
      <w:ind w:firstLine="420" w:firstLineChars="200"/>
    </w:pPr>
  </w:style>
  <w:style w:type="character" w:styleId="18">
    <w:name w:val="Strong"/>
    <w:basedOn w:val="17"/>
    <w:qFormat/>
    <w:uiPriority w:val="0"/>
    <w:rPr>
      <w:b/>
      <w:bCs/>
    </w:rPr>
  </w:style>
  <w:style w:type="paragraph" w:customStyle="1" w:styleId="19">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9205</Words>
  <Characters>9543</Characters>
  <Lines>0</Lines>
  <Paragraphs>0</Paragraphs>
  <TotalTime>12</TotalTime>
  <ScaleCrop>false</ScaleCrop>
  <LinksUpToDate>false</LinksUpToDate>
  <CharactersWithSpaces>9572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Administrator</cp:lastModifiedBy>
  <cp:lastPrinted>2024-03-29T03:44:00Z</cp:lastPrinted>
  <dcterms:modified xsi:type="dcterms:W3CDTF">2025-08-08T09:45:58Z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4CBA51F098A84EE1BF0E059B495C134A</vt:lpwstr>
  </property>
</Properties>
</file>