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5C590">
      <w:pPr>
        <w:spacing w:line="540" w:lineRule="exact"/>
        <w:jc w:val="center"/>
        <w:rPr>
          <w:rFonts w:hint="eastAsia" w:eastAsia="方正小标宋_GBK"/>
          <w:kern w:val="0"/>
          <w:sz w:val="48"/>
          <w:szCs w:val="48"/>
          <w:lang w:val="en-US" w:eastAsia="zh-CN"/>
        </w:rPr>
      </w:pPr>
      <w:bookmarkStart w:id="0" w:name="_Toc31482"/>
      <w:bookmarkStart w:id="1" w:name="_Toc20166"/>
      <w:r>
        <w:rPr>
          <w:rFonts w:hint="eastAsia" w:eastAsia="方正小标宋_GBK"/>
          <w:kern w:val="0"/>
          <w:sz w:val="48"/>
          <w:szCs w:val="48"/>
          <w:lang w:val="en-US" w:eastAsia="zh-CN"/>
        </w:rPr>
        <w:t xml:space="preserve"> </w:t>
      </w:r>
    </w:p>
    <w:p w14:paraId="410E4A3D">
      <w:pPr>
        <w:spacing w:line="540" w:lineRule="exact"/>
        <w:jc w:val="center"/>
        <w:rPr>
          <w:rFonts w:hint="eastAsia" w:eastAsia="方正小标宋_GBK"/>
          <w:color w:val="auto"/>
          <w:kern w:val="0"/>
          <w:sz w:val="48"/>
          <w:szCs w:val="48"/>
          <w:lang w:val="en-US" w:eastAsia="zh-CN"/>
        </w:rPr>
      </w:pPr>
    </w:p>
    <w:p w14:paraId="49E839A8">
      <w:pPr>
        <w:spacing w:line="540" w:lineRule="exact"/>
        <w:jc w:val="center"/>
        <w:rPr>
          <w:rFonts w:hint="eastAsia" w:eastAsia="方正小标宋_GBK"/>
          <w:kern w:val="0"/>
          <w:sz w:val="48"/>
          <w:szCs w:val="48"/>
        </w:rPr>
      </w:pPr>
      <w:r>
        <w:rPr>
          <w:rFonts w:hint="eastAsia" w:eastAsia="方正小标宋_GBK"/>
          <w:kern w:val="0"/>
          <w:sz w:val="48"/>
          <w:szCs w:val="48"/>
          <w:lang w:eastAsia="zh-CN"/>
        </w:rPr>
        <w:t>计算机技术与软件专业技术资格（水平）新疆区考试收费</w:t>
      </w:r>
      <w:r>
        <w:rPr>
          <w:rFonts w:hint="eastAsia" w:eastAsia="方正小标宋_GBK"/>
          <w:kern w:val="0"/>
          <w:sz w:val="48"/>
          <w:szCs w:val="48"/>
        </w:rPr>
        <w:t>项目支出</w:t>
      </w:r>
    </w:p>
    <w:p w14:paraId="2DB0A28B">
      <w:pPr>
        <w:spacing w:line="540" w:lineRule="exact"/>
        <w:jc w:val="center"/>
        <w:rPr>
          <w:rFonts w:eastAsia="方正小标宋_GBK"/>
          <w:kern w:val="0"/>
          <w:sz w:val="48"/>
          <w:szCs w:val="48"/>
        </w:rPr>
      </w:pPr>
      <w:r>
        <w:rPr>
          <w:rFonts w:hint="eastAsia" w:eastAsia="方正小标宋_GBK"/>
          <w:kern w:val="0"/>
          <w:sz w:val="48"/>
          <w:szCs w:val="48"/>
        </w:rPr>
        <w:t>绩效评价</w:t>
      </w:r>
      <w:bookmarkEnd w:id="0"/>
      <w:bookmarkEnd w:id="1"/>
      <w:r>
        <w:rPr>
          <w:rFonts w:hint="eastAsia" w:eastAsia="方正小标宋_GBK"/>
          <w:kern w:val="0"/>
          <w:sz w:val="48"/>
          <w:szCs w:val="48"/>
        </w:rPr>
        <w:t>报告</w:t>
      </w:r>
    </w:p>
    <w:p w14:paraId="406A86FB">
      <w:pPr>
        <w:spacing w:line="540" w:lineRule="exact"/>
        <w:ind w:firstLine="723" w:firstLineChars="200"/>
        <w:jc w:val="center"/>
        <w:rPr>
          <w:rFonts w:hint="eastAsia"/>
          <w:b/>
          <w:bCs/>
          <w:kern w:val="0"/>
          <w:sz w:val="36"/>
          <w:szCs w:val="36"/>
        </w:rPr>
      </w:pPr>
    </w:p>
    <w:p w14:paraId="5BAF6224">
      <w:pPr>
        <w:spacing w:line="540" w:lineRule="exact"/>
        <w:jc w:val="center"/>
        <w:rPr>
          <w:rFonts w:hint="eastAsia" w:eastAsia="仿宋_GB2312"/>
          <w:kern w:val="0"/>
          <w:sz w:val="36"/>
          <w:szCs w:val="36"/>
        </w:rPr>
      </w:pPr>
      <w:r>
        <w:rPr>
          <w:rFonts w:hint="eastAsia" w:eastAsia="仿宋_GB2312"/>
          <w:kern w:val="0"/>
          <w:sz w:val="36"/>
          <w:szCs w:val="36"/>
        </w:rPr>
        <w:t>（</w:t>
      </w:r>
      <w:r>
        <w:rPr>
          <w:rFonts w:hint="eastAsia" w:eastAsia="仿宋_GB2312"/>
          <w:kern w:val="0"/>
          <w:sz w:val="36"/>
          <w:szCs w:val="36"/>
          <w:lang w:val="en-US" w:eastAsia="zh-CN"/>
        </w:rPr>
        <w:t>2023年度</w:t>
      </w:r>
      <w:r>
        <w:rPr>
          <w:rFonts w:hint="eastAsia" w:eastAsia="仿宋_GB2312"/>
          <w:kern w:val="0"/>
          <w:sz w:val="36"/>
          <w:szCs w:val="36"/>
        </w:rPr>
        <w:t>）</w:t>
      </w:r>
    </w:p>
    <w:p w14:paraId="46EC353E">
      <w:pPr>
        <w:spacing w:line="700" w:lineRule="exact"/>
        <w:ind w:firstLine="643"/>
        <w:jc w:val="left"/>
        <w:rPr>
          <w:rFonts w:hint="eastAsia" w:eastAsia="宋体" w:cs="宋体"/>
          <w:b/>
          <w:bCs/>
          <w:kern w:val="0"/>
          <w:szCs w:val="32"/>
        </w:rPr>
      </w:pPr>
    </w:p>
    <w:p w14:paraId="5827FD17">
      <w:pPr>
        <w:spacing w:line="700" w:lineRule="exact"/>
        <w:ind w:firstLine="643"/>
        <w:jc w:val="left"/>
        <w:rPr>
          <w:rFonts w:hint="eastAsia" w:eastAsia="宋体" w:cs="宋体"/>
          <w:b/>
          <w:bCs/>
          <w:kern w:val="0"/>
          <w:szCs w:val="32"/>
        </w:rPr>
      </w:pPr>
    </w:p>
    <w:p w14:paraId="38F43A18">
      <w:pPr>
        <w:spacing w:line="700" w:lineRule="exact"/>
        <w:ind w:firstLine="643"/>
        <w:jc w:val="left"/>
        <w:rPr>
          <w:rFonts w:hint="eastAsia" w:eastAsia="宋体" w:cs="宋体"/>
          <w:b/>
          <w:bCs/>
          <w:kern w:val="0"/>
          <w:szCs w:val="32"/>
        </w:rPr>
      </w:pPr>
    </w:p>
    <w:p w14:paraId="04D58E28">
      <w:pPr>
        <w:spacing w:line="700" w:lineRule="exact"/>
        <w:jc w:val="left"/>
        <w:rPr>
          <w:rFonts w:hint="eastAsia" w:eastAsia="宋体" w:cs="宋体"/>
          <w:b/>
          <w:bCs/>
          <w:kern w:val="0"/>
          <w:szCs w:val="32"/>
        </w:rPr>
      </w:pPr>
    </w:p>
    <w:p w14:paraId="0EB4E4DD">
      <w:pPr>
        <w:spacing w:line="700" w:lineRule="exact"/>
        <w:ind w:left="2160" w:leftChars="120" w:hanging="1800" w:hangingChars="500"/>
        <w:jc w:val="left"/>
        <w:rPr>
          <w:rFonts w:hint="eastAsia" w:eastAsia="仿宋_GB2312"/>
          <w:kern w:val="0"/>
          <w:sz w:val="36"/>
          <w:szCs w:val="36"/>
        </w:rPr>
      </w:pPr>
      <w:r>
        <w:rPr>
          <w:rFonts w:hint="eastAsia" w:eastAsia="仿宋_GB2312"/>
          <w:kern w:val="0"/>
          <w:sz w:val="36"/>
          <w:szCs w:val="36"/>
        </w:rPr>
        <w:t>项目名称</w:t>
      </w:r>
      <w:r>
        <w:rPr>
          <w:rFonts w:hint="eastAsia" w:ascii="仿宋_GB2312" w:hAnsi="仿宋_GB2312" w:eastAsia="仿宋_GB2312" w:cs="仿宋_GB2312"/>
          <w:b/>
          <w:bCs/>
          <w:kern w:val="0"/>
          <w:sz w:val="32"/>
          <w:szCs w:val="32"/>
        </w:rPr>
        <w:t>：</w:t>
      </w:r>
      <w:r>
        <w:rPr>
          <w:rFonts w:hint="eastAsia" w:eastAsia="仿宋_GB2312"/>
          <w:kern w:val="0"/>
          <w:sz w:val="36"/>
          <w:szCs w:val="36"/>
          <w:lang w:eastAsia="zh-CN"/>
        </w:rPr>
        <w:t>计算机技术与软件专业技术资格（水平）新疆区考试收费</w:t>
      </w:r>
      <w:r>
        <w:rPr>
          <w:rFonts w:hint="eastAsia" w:eastAsia="仿宋_GB2312"/>
          <w:kern w:val="0"/>
          <w:sz w:val="36"/>
          <w:szCs w:val="36"/>
        </w:rPr>
        <w:t>项目</w:t>
      </w:r>
    </w:p>
    <w:p w14:paraId="4CEECC35">
      <w:pPr>
        <w:spacing w:line="700" w:lineRule="exact"/>
        <w:ind w:left="3600" w:leftChars="120" w:hanging="3240" w:hangingChars="900"/>
        <w:jc w:val="left"/>
        <w:rPr>
          <w:rFonts w:hint="eastAsia" w:eastAsia="仿宋_GB2312"/>
          <w:kern w:val="0"/>
          <w:sz w:val="36"/>
          <w:szCs w:val="36"/>
          <w:lang w:eastAsia="zh-CN"/>
        </w:rPr>
      </w:pPr>
      <w:r>
        <w:rPr>
          <w:rFonts w:hint="eastAsia" w:eastAsia="仿宋_GB2312"/>
          <w:kern w:val="0"/>
          <w:sz w:val="36"/>
          <w:szCs w:val="36"/>
        </w:rPr>
        <w:t>实施单位（公章）</w:t>
      </w:r>
      <w:r>
        <w:rPr>
          <w:rFonts w:hint="eastAsia" w:eastAsia="仿宋_GB2312"/>
          <w:kern w:val="0"/>
          <w:sz w:val="36"/>
          <w:szCs w:val="36"/>
          <w:lang w:eastAsia="zh-CN"/>
        </w:rPr>
        <w:t>：新疆维吾尔自治区工业和信息</w:t>
      </w:r>
      <w:r>
        <w:rPr>
          <w:rFonts w:hint="eastAsia"/>
          <w:kern w:val="0"/>
          <w:sz w:val="36"/>
          <w:szCs w:val="36"/>
          <w:lang w:eastAsia="zh-CN"/>
        </w:rPr>
        <w:t>化</w:t>
      </w:r>
      <w:r>
        <w:rPr>
          <w:rFonts w:hint="eastAsia" w:eastAsia="仿宋_GB2312"/>
          <w:kern w:val="0"/>
          <w:sz w:val="36"/>
          <w:szCs w:val="36"/>
          <w:lang w:eastAsia="zh-CN"/>
        </w:rPr>
        <w:t>培</w:t>
      </w:r>
      <w:r>
        <w:rPr>
          <w:rFonts w:hint="eastAsia"/>
          <w:kern w:val="0"/>
          <w:sz w:val="36"/>
          <w:szCs w:val="36"/>
          <w:lang w:eastAsia="zh-CN"/>
        </w:rPr>
        <w:t>训</w:t>
      </w:r>
      <w:r>
        <w:rPr>
          <w:rFonts w:hint="eastAsia" w:eastAsia="仿宋_GB2312"/>
          <w:kern w:val="0"/>
          <w:sz w:val="36"/>
          <w:szCs w:val="36"/>
          <w:lang w:eastAsia="zh-CN"/>
        </w:rPr>
        <w:t>中心（自治区计算机培训中心）</w:t>
      </w:r>
    </w:p>
    <w:p w14:paraId="7C0819D9">
      <w:pPr>
        <w:spacing w:line="700" w:lineRule="exact"/>
        <w:ind w:firstLine="360" w:firstLineChars="100"/>
        <w:jc w:val="left"/>
        <w:rPr>
          <w:rFonts w:hint="eastAsia" w:eastAsia="仿宋_GB2312"/>
          <w:kern w:val="0"/>
          <w:sz w:val="36"/>
          <w:szCs w:val="36"/>
          <w:lang w:eastAsia="zh-CN"/>
        </w:rPr>
      </w:pPr>
      <w:r>
        <w:rPr>
          <w:rFonts w:hint="eastAsia" w:eastAsia="仿宋_GB2312"/>
          <w:kern w:val="0"/>
          <w:sz w:val="36"/>
          <w:szCs w:val="36"/>
        </w:rPr>
        <w:t>主管部门（公章）</w:t>
      </w:r>
      <w:r>
        <w:rPr>
          <w:rFonts w:hint="eastAsia" w:eastAsia="仿宋_GB2312"/>
          <w:kern w:val="0"/>
          <w:sz w:val="36"/>
          <w:szCs w:val="36"/>
          <w:lang w:eastAsia="zh-CN"/>
        </w:rPr>
        <w:t>：新疆维吾尔自治区工业和信息化厅</w:t>
      </w:r>
    </w:p>
    <w:p w14:paraId="7B6FCDDD">
      <w:pPr>
        <w:spacing w:line="700" w:lineRule="exact"/>
        <w:ind w:firstLine="360" w:firstLineChars="100"/>
        <w:jc w:val="left"/>
        <w:rPr>
          <w:rFonts w:hint="eastAsia" w:eastAsia="仿宋_GB2312"/>
          <w:kern w:val="0"/>
          <w:sz w:val="36"/>
          <w:szCs w:val="36"/>
          <w:lang w:eastAsia="zh-CN"/>
        </w:rPr>
      </w:pPr>
      <w:r>
        <w:rPr>
          <w:rFonts w:hint="eastAsia" w:eastAsia="仿宋_GB2312"/>
          <w:kern w:val="0"/>
          <w:sz w:val="36"/>
          <w:szCs w:val="36"/>
          <w:lang w:eastAsia="zh-CN"/>
        </w:rPr>
        <w:t>项目负责人（签章）：</w:t>
      </w:r>
      <w:r>
        <w:rPr>
          <w:rFonts w:hint="eastAsia"/>
          <w:kern w:val="0"/>
          <w:sz w:val="36"/>
          <w:szCs w:val="36"/>
          <w:lang w:eastAsia="zh-CN"/>
        </w:rPr>
        <w:t>樊矾</w:t>
      </w:r>
    </w:p>
    <w:p w14:paraId="696528CC">
      <w:pPr>
        <w:spacing w:line="700" w:lineRule="exact"/>
        <w:ind w:firstLine="360" w:firstLineChars="100"/>
        <w:jc w:val="left"/>
        <w:rPr>
          <w:rFonts w:hint="eastAsia" w:eastAsia="仿宋_GB2312"/>
          <w:color w:val="auto"/>
          <w:kern w:val="0"/>
          <w:sz w:val="36"/>
          <w:szCs w:val="36"/>
          <w:lang w:eastAsia="zh-CN"/>
        </w:rPr>
      </w:pPr>
      <w:r>
        <w:rPr>
          <w:rFonts w:hint="eastAsia" w:eastAsia="仿宋_GB2312"/>
          <w:color w:val="auto"/>
          <w:kern w:val="0"/>
          <w:sz w:val="36"/>
          <w:szCs w:val="36"/>
          <w:lang w:eastAsia="zh-CN"/>
        </w:rPr>
        <w:t>填报时间：202</w:t>
      </w:r>
      <w:r>
        <w:rPr>
          <w:rFonts w:hint="eastAsia" w:eastAsia="仿宋_GB2312"/>
          <w:color w:val="auto"/>
          <w:kern w:val="0"/>
          <w:sz w:val="36"/>
          <w:szCs w:val="36"/>
          <w:lang w:val="en-US" w:eastAsia="zh-CN"/>
        </w:rPr>
        <w:t>4</w:t>
      </w:r>
      <w:r>
        <w:rPr>
          <w:rFonts w:hint="eastAsia" w:eastAsia="仿宋_GB2312"/>
          <w:color w:val="auto"/>
          <w:kern w:val="0"/>
          <w:sz w:val="36"/>
          <w:szCs w:val="36"/>
          <w:lang w:eastAsia="zh-CN"/>
        </w:rPr>
        <w:t xml:space="preserve"> 年 </w:t>
      </w:r>
      <w:r>
        <w:rPr>
          <w:rFonts w:hint="eastAsia" w:eastAsia="仿宋_GB2312"/>
          <w:color w:val="auto"/>
          <w:kern w:val="0"/>
          <w:sz w:val="36"/>
          <w:szCs w:val="36"/>
          <w:lang w:val="en-US" w:eastAsia="zh-CN"/>
        </w:rPr>
        <w:t>3</w:t>
      </w:r>
      <w:r>
        <w:rPr>
          <w:rFonts w:hint="eastAsia" w:eastAsia="仿宋_GB2312"/>
          <w:color w:val="auto"/>
          <w:kern w:val="0"/>
          <w:sz w:val="36"/>
          <w:szCs w:val="36"/>
          <w:lang w:eastAsia="zh-CN"/>
        </w:rPr>
        <w:t xml:space="preserve"> 月 </w:t>
      </w:r>
      <w:r>
        <w:rPr>
          <w:rFonts w:hint="eastAsia" w:eastAsia="仿宋_GB2312"/>
          <w:color w:val="auto"/>
          <w:kern w:val="0"/>
          <w:sz w:val="36"/>
          <w:szCs w:val="36"/>
          <w:lang w:val="en-US" w:eastAsia="zh-CN"/>
        </w:rPr>
        <w:t>25</w:t>
      </w:r>
      <w:r>
        <w:rPr>
          <w:rFonts w:hint="eastAsia" w:eastAsia="仿宋_GB2312"/>
          <w:color w:val="auto"/>
          <w:kern w:val="0"/>
          <w:sz w:val="36"/>
          <w:szCs w:val="36"/>
          <w:lang w:eastAsia="zh-CN"/>
        </w:rPr>
        <w:t>日</w:t>
      </w:r>
    </w:p>
    <w:p w14:paraId="79F36968">
      <w:pPr>
        <w:rPr>
          <w:rFonts w:hint="eastAsia" w:ascii="黑体" w:hAnsi="黑体" w:eastAsia="黑体"/>
          <w:sz w:val="32"/>
          <w:szCs w:val="32"/>
        </w:rPr>
      </w:pPr>
      <w:r>
        <w:rPr>
          <w:rFonts w:hint="eastAsia" w:ascii="黑体" w:hAnsi="黑体" w:eastAsia="黑体"/>
          <w:sz w:val="32"/>
          <w:szCs w:val="32"/>
        </w:rPr>
        <w:br w:type="page"/>
      </w:r>
    </w:p>
    <w:p w14:paraId="4F81CAC7">
      <w:pPr>
        <w:spacing w:line="600" w:lineRule="exact"/>
        <w:ind w:firstLine="640" w:firstLineChars="200"/>
        <w:rPr>
          <w:rFonts w:ascii="黑体" w:hAnsi="黑体" w:eastAsia="黑体"/>
          <w:sz w:val="32"/>
          <w:szCs w:val="32"/>
        </w:rPr>
      </w:pPr>
      <w:r>
        <w:rPr>
          <w:rFonts w:hint="eastAsia" w:ascii="黑体" w:hAnsi="黑体" w:eastAsia="黑体"/>
          <w:sz w:val="32"/>
          <w:szCs w:val="32"/>
        </w:rPr>
        <w:t>一、基本情况</w:t>
      </w:r>
    </w:p>
    <w:p w14:paraId="68CB218A">
      <w:pPr>
        <w:spacing w:line="600" w:lineRule="exact"/>
        <w:ind w:firstLine="643" w:firstLineChars="200"/>
        <w:outlineLvl w:val="0"/>
        <w:rPr>
          <w:rFonts w:hint="eastAsia" w:ascii="Times New Roman" w:hAnsi="Times New Roman" w:eastAsia="楷体_GB2312" w:cs="Times New Roman"/>
          <w:b/>
          <w:bCs w:val="0"/>
          <w:color w:val="auto"/>
          <w:kern w:val="2"/>
          <w:sz w:val="32"/>
          <w:szCs w:val="24"/>
          <w:lang w:val="en-US" w:eastAsia="zh-CN" w:bidi="ar-SA"/>
        </w:rPr>
      </w:pPr>
      <w:r>
        <w:rPr>
          <w:rFonts w:hint="eastAsia" w:ascii="Times New Roman" w:hAnsi="Times New Roman" w:eastAsia="楷体_GB2312" w:cs="Times New Roman"/>
          <w:b/>
          <w:bCs w:val="0"/>
          <w:color w:val="auto"/>
          <w:kern w:val="2"/>
          <w:sz w:val="32"/>
          <w:szCs w:val="24"/>
          <w:lang w:val="en-US" w:eastAsia="zh-CN" w:bidi="ar-SA"/>
        </w:rPr>
        <w:t>（一）项目概况</w:t>
      </w:r>
    </w:p>
    <w:p w14:paraId="69C0C6F4">
      <w:pPr>
        <w:spacing w:line="600" w:lineRule="exact"/>
        <w:ind w:firstLine="643" w:firstLineChars="200"/>
        <w:outlineLvl w:val="0"/>
        <w:rPr>
          <w:rFonts w:hint="eastAsia" w:ascii="仿宋_GB2312" w:hAnsi="仿宋_GB2312" w:cs="仿宋_GB2312"/>
          <w:b/>
          <w:bCs/>
          <w:sz w:val="32"/>
          <w:szCs w:val="32"/>
        </w:rPr>
      </w:pPr>
      <w:r>
        <w:rPr>
          <w:rFonts w:hint="eastAsia" w:ascii="仿宋_GB2312" w:hAnsi="仿宋_GB2312" w:cs="仿宋_GB2312"/>
          <w:b/>
          <w:bCs/>
          <w:sz w:val="32"/>
          <w:szCs w:val="32"/>
        </w:rPr>
        <w:t>1</w:t>
      </w:r>
      <w:r>
        <w:rPr>
          <w:rFonts w:hint="eastAsia" w:ascii="仿宋_GB2312" w:hAnsi="仿宋_GB2312" w:cs="仿宋_GB2312"/>
          <w:b/>
          <w:bCs/>
          <w:sz w:val="32"/>
          <w:szCs w:val="32"/>
          <w:lang w:eastAsia="zh-CN"/>
        </w:rPr>
        <w:t>、</w:t>
      </w:r>
      <w:r>
        <w:rPr>
          <w:rFonts w:hint="eastAsia" w:ascii="仿宋_GB2312" w:hAnsi="仿宋_GB2312" w:cs="仿宋_GB2312"/>
          <w:b/>
          <w:bCs/>
          <w:sz w:val="32"/>
          <w:szCs w:val="32"/>
        </w:rPr>
        <w:t>项目背景</w:t>
      </w:r>
    </w:p>
    <w:p w14:paraId="48A8F375">
      <w:pPr>
        <w:spacing w:line="600" w:lineRule="exact"/>
        <w:ind w:firstLine="600" w:firstLineChars="200"/>
        <w:outlineLvl w:val="0"/>
        <w:rPr>
          <w:rFonts w:ascii="仿宋_GB2312" w:hAnsi="仿宋_GB2312" w:cs="仿宋_GB2312"/>
          <w:sz w:val="32"/>
          <w:szCs w:val="32"/>
        </w:rPr>
      </w:pPr>
      <w:r>
        <w:rPr>
          <w:rFonts w:hint="eastAsia"/>
        </w:rPr>
        <w:t xml:space="preserve"> </w:t>
      </w:r>
      <w:r>
        <w:rPr>
          <w:rFonts w:hint="eastAsia" w:ascii="仿宋_GB2312" w:hAnsi="仿宋_GB2312" w:cs="仿宋_GB2312"/>
          <w:sz w:val="32"/>
          <w:szCs w:val="32"/>
        </w:rPr>
        <w:t>计算机技术与软件专业技术资格（水平）考试（以下简称计算机软件资格考试）是由国家人力资源和社会保障部、工业和信息化部领导下的国家级考试，其目的是科学、公正地对全国计算机与软件专业技术人员进行职业资格、专业技术资格认定和专业技术水平测试。计算机软件资格考试设置了27个专业资格，涵盖5个专业领域，3个级别层次（初级、中级、高级）</w:t>
      </w:r>
      <w:r>
        <w:rPr>
          <w:rFonts w:hint="eastAsia" w:ascii="仿宋_GB2312" w:hAnsi="仿宋_GB2312" w:cs="仿宋_GB2312"/>
          <w:sz w:val="32"/>
          <w:szCs w:val="32"/>
          <w:lang w:val="en-US" w:eastAsia="zh-CN"/>
        </w:rPr>
        <w:t>,</w:t>
      </w:r>
      <w:r>
        <w:rPr>
          <w:rFonts w:hint="eastAsia" w:ascii="仿宋_GB2312" w:hAnsi="仿宋_GB2312" w:cs="仿宋_GB2312"/>
          <w:sz w:val="32"/>
          <w:szCs w:val="32"/>
        </w:rPr>
        <w:t>该考试由于其权威性和严肃性，得到了社会各界及用人单位的广泛认同，并为推动国家信息产业发展，特别是在软件和服务产业的发展,以及提高各类信息技术人才的素质和能力中发挥了重要作用。</w:t>
      </w:r>
    </w:p>
    <w:p w14:paraId="2A7853BE">
      <w:pPr>
        <w:spacing w:line="600" w:lineRule="exact"/>
        <w:ind w:firstLine="640" w:firstLineChars="200"/>
        <w:outlineLvl w:val="0"/>
        <w:rPr>
          <w:rFonts w:hint="eastAsia" w:ascii="仿宋_GB2312" w:hAnsi="仿宋_GB2312" w:cs="仿宋_GB2312"/>
          <w:sz w:val="32"/>
          <w:szCs w:val="32"/>
        </w:rPr>
      </w:pPr>
      <w:r>
        <w:rPr>
          <w:rFonts w:hint="eastAsia" w:ascii="仿宋_GB2312" w:hAnsi="仿宋_GB2312" w:cs="仿宋_GB2312"/>
          <w:sz w:val="32"/>
          <w:szCs w:val="32"/>
        </w:rPr>
        <w:t>根据原人事部、原信息产业部文件（国人部发[2003]39号）文件规定，计算机软件资格考试纳入全国专业技术人员职业资格证书制度的统一规划，实行统一大纲、统一试题、统一标准、统一证书的考试办法，每年举行两次。计算机软件资格考试作为国家职业资格考试的重要组成部分，担负着为数字经济产业发展选拔人才的重要使命，是推动行业人才职业发展和评价的重要举措，实施30余年来，充分发挥国家职业资格考试“指挥棒”作用，以产业技术发展方向引领人才培养，在构建人才评价体系以及拓展人才职业发展空间等方面取得了积极成效，培养选拔了近200万名专业技术人才，为产业数字化、数字产业化的发展提供了重要的人才支撑。</w:t>
      </w:r>
    </w:p>
    <w:p w14:paraId="57560F81">
      <w:pPr>
        <w:pStyle w:val="13"/>
        <w:shd w:val="clear" w:color="auto" w:fill="FFFFFF"/>
        <w:spacing w:beforeAutospacing="0" w:afterAutospacing="0" w:line="600" w:lineRule="exact"/>
        <w:ind w:firstLine="643" w:firstLineChars="200"/>
        <w:jc w:val="both"/>
        <w:rPr>
          <w:rFonts w:hint="eastAsia" w:ascii="Times New Roman" w:hAnsi="Times New Roman" w:eastAsia="仿宋_GB2312" w:cs="Times New Roman"/>
          <w:b/>
          <w:bCs w:val="0"/>
          <w:color w:val="auto"/>
          <w:kern w:val="2"/>
          <w:sz w:val="32"/>
          <w:szCs w:val="24"/>
          <w:lang w:val="en-US" w:eastAsia="zh-CN" w:bidi="ar-SA"/>
        </w:rPr>
      </w:pPr>
      <w:r>
        <w:rPr>
          <w:rFonts w:hint="eastAsia" w:ascii="Times New Roman" w:hAnsi="Times New Roman" w:eastAsia="仿宋_GB2312" w:cs="Times New Roman"/>
          <w:b/>
          <w:bCs w:val="0"/>
          <w:color w:val="auto"/>
          <w:kern w:val="2"/>
          <w:sz w:val="32"/>
          <w:szCs w:val="24"/>
          <w:lang w:val="en-US" w:eastAsia="zh-CN" w:bidi="ar-SA"/>
        </w:rPr>
        <w:t>2、项目主要内容</w:t>
      </w:r>
    </w:p>
    <w:p w14:paraId="56DBED2C">
      <w:pPr>
        <w:pStyle w:val="13"/>
        <w:shd w:val="clear" w:color="auto" w:fill="FFFFFF"/>
        <w:spacing w:beforeAutospacing="0" w:afterAutospacing="0" w:line="600" w:lineRule="exact"/>
        <w:ind w:firstLine="640" w:firstLineChars="200"/>
        <w:jc w:val="both"/>
        <w:rPr>
          <w:rFonts w:hint="eastAsia" w:ascii="Times New Roman" w:hAnsi="Times New Roman" w:eastAsia="仿宋_GB2312" w:cs="Times New Roman"/>
          <w:bCs/>
          <w:color w:val="auto"/>
          <w:kern w:val="2"/>
          <w:sz w:val="32"/>
          <w:szCs w:val="24"/>
          <w:highlight w:val="none"/>
          <w:lang w:val="en-US" w:eastAsia="zh-CN" w:bidi="ar-SA"/>
        </w:rPr>
      </w:pPr>
      <w:r>
        <w:rPr>
          <w:rFonts w:hint="eastAsia" w:ascii="Times New Roman" w:hAnsi="Times New Roman" w:eastAsia="仿宋_GB2312" w:cs="Times New Roman"/>
          <w:bCs/>
          <w:color w:val="auto"/>
          <w:kern w:val="2"/>
          <w:sz w:val="32"/>
          <w:szCs w:val="24"/>
          <w:highlight w:val="none"/>
          <w:lang w:val="en-US" w:eastAsia="zh-CN" w:bidi="ar-SA"/>
        </w:rPr>
        <w:t>项目主要内容：根据《全国计算机专业技术资格考试办公室关于2023年度计算机技术与软件专业技术资格（水平）考试工作计划及有关事项的通知》（计考办〔2023〕1号）要求，我培训中心作为计算机软件资格考试新疆考区考试机构，按照计算机软件资格考试年度工作计划和考务管理等规定，负责新疆考区2023年度计算机软件资格考试的组织实施工作，做好新疆考区计算机软件资格考试的组织报名，考区、考点考场设置，组织考区管理人员培训和考核，计算机化考试系统使用、管理和维护，成绩复查和证书发放等工作。</w:t>
      </w:r>
    </w:p>
    <w:p w14:paraId="64998C96">
      <w:pPr>
        <w:pStyle w:val="13"/>
        <w:shd w:val="clear" w:color="auto" w:fill="FFFFFF"/>
        <w:spacing w:beforeAutospacing="0" w:afterAutospacing="0" w:line="600" w:lineRule="exact"/>
        <w:ind w:firstLine="640" w:firstLineChars="200"/>
        <w:jc w:val="both"/>
        <w:rPr>
          <w:rFonts w:hint="eastAsia" w:ascii="Times New Roman" w:hAnsi="Times New Roman" w:eastAsia="仿宋_GB2312" w:cs="Times New Roman"/>
          <w:bCs/>
          <w:color w:val="auto"/>
          <w:kern w:val="2"/>
          <w:sz w:val="32"/>
          <w:szCs w:val="24"/>
          <w:highlight w:val="none"/>
          <w:lang w:val="en-US" w:eastAsia="zh-CN" w:bidi="ar-SA"/>
        </w:rPr>
      </w:pPr>
      <w:r>
        <w:rPr>
          <w:rFonts w:hint="eastAsia" w:ascii="Times New Roman" w:hAnsi="Times New Roman" w:eastAsia="仿宋_GB2312" w:cs="Times New Roman"/>
          <w:bCs/>
          <w:color w:val="auto"/>
          <w:kern w:val="2"/>
          <w:sz w:val="32"/>
          <w:szCs w:val="24"/>
          <w:highlight w:val="none"/>
          <w:lang w:val="en-US" w:eastAsia="zh-CN" w:bidi="ar-SA"/>
        </w:rPr>
        <w:t>项目实施情况：认真组织2023年上下半年报名和组织实施工作，报考人数共计14260人；全疆6个考区的设置、考点审核和组织实施工作。</w:t>
      </w:r>
    </w:p>
    <w:p w14:paraId="7073FF40">
      <w:pPr>
        <w:pStyle w:val="13"/>
        <w:shd w:val="clear" w:color="auto" w:fill="FFFFFF"/>
        <w:spacing w:beforeAutospacing="0" w:afterAutospacing="0" w:line="600" w:lineRule="exact"/>
        <w:ind w:firstLine="643" w:firstLineChars="200"/>
        <w:jc w:val="both"/>
        <w:rPr>
          <w:rFonts w:hint="eastAsia" w:ascii="Times New Roman" w:hAnsi="Times New Roman" w:eastAsia="仿宋_GB2312" w:cs="Times New Roman"/>
          <w:b/>
          <w:bCs w:val="0"/>
          <w:color w:val="auto"/>
          <w:kern w:val="2"/>
          <w:sz w:val="32"/>
          <w:szCs w:val="24"/>
          <w:lang w:val="en-US" w:eastAsia="zh-CN" w:bidi="ar-SA"/>
        </w:rPr>
      </w:pPr>
      <w:r>
        <w:rPr>
          <w:rFonts w:hint="eastAsia" w:ascii="Times New Roman" w:hAnsi="Times New Roman" w:eastAsia="仿宋_GB2312" w:cs="Times New Roman"/>
          <w:b/>
          <w:bCs w:val="0"/>
          <w:color w:val="auto"/>
          <w:kern w:val="2"/>
          <w:sz w:val="32"/>
          <w:szCs w:val="24"/>
          <w:lang w:val="en-US" w:eastAsia="zh-CN" w:bidi="ar-SA"/>
        </w:rPr>
        <w:t>3、资金投入和使用情况</w:t>
      </w:r>
    </w:p>
    <w:p w14:paraId="4D4E7FF5">
      <w:pPr>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color w:val="auto"/>
          <w:sz w:val="32"/>
          <w:szCs w:val="28"/>
          <w:highlight w:val="none"/>
          <w:lang w:eastAsia="zh-CN"/>
        </w:rPr>
      </w:pPr>
      <w:r>
        <w:rPr>
          <w:rFonts w:hint="eastAsia" w:ascii="仿宋_GB2312" w:hAnsi="仿宋_GB2312" w:eastAsia="仿宋_GB2312" w:cs="仿宋_GB2312"/>
          <w:b w:val="0"/>
          <w:bCs w:val="0"/>
          <w:color w:val="auto"/>
          <w:sz w:val="32"/>
          <w:szCs w:val="28"/>
          <w:highlight w:val="none"/>
        </w:rPr>
        <w:t>（1）资金</w:t>
      </w:r>
      <w:r>
        <w:rPr>
          <w:rFonts w:hint="eastAsia" w:ascii="仿宋_GB2312" w:hAnsi="仿宋_GB2312" w:eastAsia="仿宋_GB2312" w:cs="仿宋_GB2312"/>
          <w:b w:val="0"/>
          <w:bCs w:val="0"/>
          <w:color w:val="auto"/>
          <w:sz w:val="32"/>
          <w:szCs w:val="28"/>
          <w:highlight w:val="none"/>
          <w:lang w:eastAsia="zh-CN"/>
        </w:rPr>
        <w:t>投入情况</w:t>
      </w:r>
    </w:p>
    <w:p w14:paraId="56039B9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该项目年初预算数63.5万元，全年预算数63.5万元，实际总投入63.5万元，该项目资金已全部落实到位，</w:t>
      </w:r>
      <w:r>
        <w:rPr>
          <w:rFonts w:hint="eastAsia" w:ascii="仿宋_GB2312" w:hAnsi="仿宋_GB2312" w:eastAsia="仿宋_GB2312" w:cs="仿宋_GB2312"/>
          <w:b w:val="0"/>
          <w:bCs w:val="0"/>
          <w:color w:val="auto"/>
          <w:sz w:val="32"/>
          <w:highlight w:val="none"/>
        </w:rPr>
        <w:t>资金来源于</w:t>
      </w:r>
      <w:r>
        <w:rPr>
          <w:rFonts w:hint="eastAsia" w:ascii="仿宋_GB2312" w:hAnsi="仿宋_GB2312" w:eastAsia="仿宋_GB2312" w:cs="仿宋_GB2312"/>
          <w:b w:val="0"/>
          <w:bCs w:val="0"/>
          <w:color w:val="auto"/>
          <w:sz w:val="32"/>
          <w:highlight w:val="none"/>
          <w:lang w:eastAsia="zh-CN"/>
        </w:rPr>
        <w:t>财政</w:t>
      </w:r>
      <w:r>
        <w:rPr>
          <w:rFonts w:hint="eastAsia" w:ascii="仿宋_GB2312" w:hAnsi="仿宋_GB2312" w:eastAsia="仿宋_GB2312" w:cs="仿宋_GB2312"/>
          <w:b w:val="0"/>
          <w:bCs w:val="0"/>
          <w:color w:val="auto"/>
          <w:sz w:val="32"/>
          <w:highlight w:val="none"/>
          <w:lang w:val="en-US" w:eastAsia="zh-CN"/>
        </w:rPr>
        <w:t>一般公共预算</w:t>
      </w:r>
      <w:r>
        <w:rPr>
          <w:rFonts w:hint="eastAsia" w:ascii="仿宋_GB2312" w:hAnsi="仿宋_GB2312" w:eastAsia="仿宋_GB2312" w:cs="仿宋_GB2312"/>
          <w:b w:val="0"/>
          <w:bCs w:val="0"/>
          <w:color w:val="auto"/>
          <w:sz w:val="32"/>
          <w:highlight w:val="none"/>
          <w:lang w:eastAsia="zh-CN"/>
        </w:rPr>
        <w:t>资金。</w:t>
      </w:r>
    </w:p>
    <w:p w14:paraId="0DD9210A">
      <w:pPr>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color w:val="auto"/>
          <w:sz w:val="32"/>
          <w:szCs w:val="28"/>
          <w:highlight w:val="none"/>
        </w:rPr>
      </w:pPr>
      <w:r>
        <w:rPr>
          <w:rFonts w:hint="eastAsia" w:ascii="仿宋_GB2312" w:hAnsi="仿宋_GB2312" w:eastAsia="仿宋_GB2312" w:cs="仿宋_GB2312"/>
          <w:b w:val="0"/>
          <w:bCs w:val="0"/>
          <w:color w:val="auto"/>
          <w:sz w:val="32"/>
          <w:szCs w:val="28"/>
          <w:highlight w:val="none"/>
        </w:rPr>
        <w:t>（2）</w:t>
      </w:r>
      <w:r>
        <w:rPr>
          <w:rFonts w:hint="eastAsia" w:ascii="仿宋_GB2312" w:hAnsi="仿宋_GB2312" w:eastAsia="仿宋_GB2312" w:cs="仿宋_GB2312"/>
          <w:b w:val="0"/>
          <w:bCs w:val="0"/>
          <w:color w:val="auto"/>
          <w:sz w:val="32"/>
          <w:szCs w:val="28"/>
          <w:highlight w:val="none"/>
          <w:lang w:eastAsia="zh-CN"/>
        </w:rPr>
        <w:t>资金</w:t>
      </w:r>
      <w:r>
        <w:rPr>
          <w:rFonts w:hint="eastAsia" w:ascii="仿宋_GB2312" w:hAnsi="仿宋_GB2312" w:eastAsia="仿宋_GB2312" w:cs="仿宋_GB2312"/>
          <w:b w:val="0"/>
          <w:bCs w:val="0"/>
          <w:color w:val="auto"/>
          <w:sz w:val="32"/>
          <w:szCs w:val="28"/>
          <w:highlight w:val="none"/>
        </w:rPr>
        <w:t>使用情况</w:t>
      </w:r>
    </w:p>
    <w:p w14:paraId="5AB6C6C2">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该项目年初预算数63.5万元，全年预算数63.5万元,全年执行数62.63万元，预算执行率为98.63%，主要用于：</w:t>
      </w:r>
      <w:r>
        <w:rPr>
          <w:rFonts w:hint="eastAsia" w:ascii="仿宋_GB2312" w:hAnsi="仿宋_GB2312" w:eastAsia="仿宋_GB2312" w:cs="仿宋_GB2312"/>
          <w:b w:val="0"/>
          <w:bCs w:val="0"/>
          <w:color w:val="auto"/>
          <w:sz w:val="32"/>
          <w:highlight w:val="none"/>
        </w:rPr>
        <w:t>支付项目实施进程中的各项费用。</w:t>
      </w:r>
    </w:p>
    <w:p w14:paraId="6F24DD61">
      <w:pPr>
        <w:spacing w:line="560" w:lineRule="exact"/>
        <w:ind w:firstLine="643" w:firstLineChars="200"/>
        <w:rPr>
          <w:rFonts w:hint="eastAsia" w:eastAsia="楷体_GB2312"/>
          <w:b/>
          <w:bCs/>
          <w:color w:val="auto"/>
          <w:sz w:val="32"/>
          <w:szCs w:val="32"/>
        </w:rPr>
      </w:pPr>
      <w:r>
        <w:rPr>
          <w:rFonts w:hint="eastAsia" w:eastAsia="楷体_GB2312"/>
          <w:b/>
          <w:bCs/>
          <w:color w:val="auto"/>
          <w:sz w:val="32"/>
          <w:szCs w:val="32"/>
          <w:lang w:eastAsia="zh-CN"/>
        </w:rPr>
        <w:t>（二）</w:t>
      </w:r>
      <w:r>
        <w:rPr>
          <w:rFonts w:hint="eastAsia" w:eastAsia="楷体_GB2312"/>
          <w:b/>
          <w:bCs/>
          <w:color w:val="auto"/>
          <w:sz w:val="32"/>
          <w:szCs w:val="32"/>
        </w:rPr>
        <w:t>项目绩效目标</w:t>
      </w:r>
    </w:p>
    <w:p w14:paraId="79B1F34C">
      <w:pPr>
        <w:pStyle w:val="4"/>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1、总体目标</w:t>
      </w:r>
    </w:p>
    <w:p w14:paraId="70C644C5">
      <w:pPr>
        <w:spacing w:line="600" w:lineRule="exact"/>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依据新发改收费[2017]1648关于全面实行收费单位收费情况统计报告和公示公告制度的通知，新发改规[2019]2号文，计算机技术与软件专业技术资格（水平）考试是由国家人力资源和社会保障部、工业和信息化部领导下的国家级专业技术考试。2023年计算机技术与软件专业技术资格（水平）新疆区考试预计全年报考高级4000人，中级5000人，初级2000人，</w:t>
      </w:r>
      <w:r>
        <w:rPr>
          <w:rFonts w:hint="eastAsia" w:ascii="仿宋_GB2312" w:hAnsi="仿宋_GB2312" w:cs="仿宋_GB2312"/>
          <w:color w:val="auto"/>
          <w:sz w:val="32"/>
          <w:szCs w:val="32"/>
          <w:lang w:eastAsia="zh-CN"/>
        </w:rPr>
        <w:t>合计</w:t>
      </w:r>
      <w:r>
        <w:rPr>
          <w:rFonts w:hint="eastAsia" w:ascii="仿宋_GB2312" w:hAnsi="仿宋_GB2312" w:cs="仿宋_GB2312"/>
          <w:color w:val="auto"/>
          <w:sz w:val="32"/>
          <w:szCs w:val="32"/>
        </w:rPr>
        <w:t>26000科次，</w:t>
      </w:r>
      <w:r>
        <w:rPr>
          <w:rFonts w:hint="eastAsia" w:ascii="仿宋_GB2312" w:hAnsi="仿宋_GB2312" w:cs="仿宋_GB2312"/>
          <w:color w:val="auto"/>
          <w:sz w:val="32"/>
          <w:szCs w:val="32"/>
          <w:lang w:eastAsia="zh-CN"/>
        </w:rPr>
        <w:t>预计</w:t>
      </w:r>
      <w:r>
        <w:rPr>
          <w:rFonts w:hint="eastAsia" w:ascii="仿宋_GB2312" w:hAnsi="仿宋_GB2312" w:cs="仿宋_GB2312"/>
          <w:color w:val="auto"/>
          <w:sz w:val="32"/>
          <w:szCs w:val="32"/>
        </w:rPr>
        <w:t>考试上缴财政139.8万元。严格落实预算项目资金，专款专用，按照预算批复项目执行。</w:t>
      </w:r>
    </w:p>
    <w:p w14:paraId="173061F5">
      <w:pPr>
        <w:pStyle w:val="4"/>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2、阶段性目标</w:t>
      </w:r>
    </w:p>
    <w:p w14:paraId="62975BCB">
      <w:pPr>
        <w:pageBreakBefore w:val="0"/>
        <w:widowControl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b w:val="0"/>
          <w:bCs w:val="0"/>
          <w:color w:val="auto"/>
          <w:sz w:val="32"/>
        </w:rPr>
        <w:t>（1）前期准备：</w:t>
      </w:r>
      <w:r>
        <w:rPr>
          <w:rFonts w:hint="eastAsia" w:ascii="Times New Roman" w:hAnsi="Times New Roman" w:eastAsia="仿宋_GB2312" w:cs="仿宋_GB2312"/>
          <w:b w:val="0"/>
          <w:bCs w:val="0"/>
          <w:color w:val="auto"/>
          <w:sz w:val="32"/>
          <w:szCs w:val="32"/>
        </w:rPr>
        <w:t>通过制定项目实施方案，经项目负责人审核通过后，有序开展后续工作。</w:t>
      </w:r>
    </w:p>
    <w:p w14:paraId="7055AB8A">
      <w:pPr>
        <w:pStyle w:val="13"/>
        <w:shd w:val="clear" w:color="auto" w:fill="FFFFFF"/>
        <w:spacing w:beforeAutospacing="0" w:afterAutospacing="0" w:line="600" w:lineRule="exact"/>
        <w:ind w:firstLine="640" w:firstLineChars="200"/>
        <w:jc w:val="both"/>
        <w:rPr>
          <w:rFonts w:hint="eastAsia" w:ascii="Times New Roman" w:hAnsi="Times New Roman" w:eastAsia="仿宋_GB2312" w:cs="仿宋_GB2312"/>
          <w:b w:val="0"/>
          <w:bCs w:val="0"/>
          <w:color w:val="auto"/>
          <w:kern w:val="2"/>
          <w:sz w:val="32"/>
          <w:szCs w:val="32"/>
          <w:lang w:val="en-US" w:eastAsia="zh-CN" w:bidi="ar-SA"/>
        </w:rPr>
      </w:pPr>
      <w:r>
        <w:rPr>
          <w:rFonts w:hint="eastAsia" w:ascii="Times New Roman" w:hAnsi="Times New Roman" w:eastAsia="仿宋_GB2312"/>
          <w:b w:val="0"/>
          <w:bCs w:val="0"/>
          <w:color w:val="auto"/>
          <w:sz w:val="32"/>
        </w:rPr>
        <w:t>（2）组织实施：</w:t>
      </w:r>
      <w:r>
        <w:rPr>
          <w:rFonts w:hint="eastAsia" w:ascii="Times New Roman" w:hAnsi="Times New Roman" w:eastAsia="仿宋_GB2312" w:cs="仿宋_GB2312"/>
          <w:b w:val="0"/>
          <w:bCs w:val="0"/>
          <w:color w:val="auto"/>
          <w:kern w:val="2"/>
          <w:sz w:val="32"/>
          <w:szCs w:val="32"/>
          <w:lang w:val="en-US" w:eastAsia="zh-CN" w:bidi="ar-SA"/>
        </w:rPr>
        <w:t>资金一到位，立即根据项目要求实施项目。项目责任人按照项目实施方案要求逐一进行项目部署安排，提高项目质量及效率性。</w:t>
      </w:r>
    </w:p>
    <w:p w14:paraId="22C0D60C">
      <w:pPr>
        <w:spacing w:line="60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二、绩效评价工作开展情况</w:t>
      </w:r>
    </w:p>
    <w:p w14:paraId="5D7B5F4A">
      <w:pPr>
        <w:spacing w:line="600" w:lineRule="exact"/>
        <w:ind w:firstLine="643" w:firstLineChars="200"/>
        <w:rPr>
          <w:rFonts w:hint="eastAsia" w:ascii="Arial" w:hAnsi="Arial" w:eastAsia="楷体_GB2312" w:cs="Times New Roman"/>
          <w:b/>
          <w:bCs w:val="0"/>
          <w:color w:val="auto"/>
          <w:kern w:val="2"/>
          <w:sz w:val="32"/>
          <w:szCs w:val="24"/>
          <w:lang w:val="en-US" w:eastAsia="zh-CN" w:bidi="ar-SA"/>
        </w:rPr>
      </w:pPr>
      <w:r>
        <w:rPr>
          <w:rFonts w:hint="eastAsia" w:ascii="Arial" w:hAnsi="Arial" w:eastAsia="楷体_GB2312" w:cs="Times New Roman"/>
          <w:b/>
          <w:bCs w:val="0"/>
          <w:color w:val="auto"/>
          <w:kern w:val="2"/>
          <w:sz w:val="32"/>
          <w:szCs w:val="24"/>
          <w:lang w:val="en-US" w:eastAsia="zh-CN" w:bidi="ar-SA"/>
        </w:rPr>
        <w:t>（一）绩效评价目的、对象和范围</w:t>
      </w:r>
    </w:p>
    <w:p w14:paraId="5D9F6B98">
      <w:pPr>
        <w:spacing w:line="600" w:lineRule="exact"/>
        <w:ind w:firstLine="640" w:firstLineChars="200"/>
        <w:rPr>
          <w:rFonts w:hint="eastAsia" w:ascii="Times New Roman" w:hAnsi="Times New Roman" w:eastAsia="仿宋_GB2312" w:cs="Times New Roman"/>
          <w:b w:val="0"/>
          <w:bCs/>
          <w:color w:val="auto"/>
          <w:kern w:val="2"/>
          <w:sz w:val="32"/>
          <w:szCs w:val="24"/>
          <w:lang w:val="en-US" w:eastAsia="zh-CN" w:bidi="ar-SA"/>
        </w:rPr>
      </w:pPr>
      <w:r>
        <w:rPr>
          <w:rFonts w:hint="eastAsia" w:ascii="Times New Roman" w:hAnsi="Times New Roman" w:eastAsia="仿宋_GB2312" w:cs="Times New Roman"/>
          <w:b w:val="0"/>
          <w:bCs/>
          <w:color w:val="auto"/>
          <w:kern w:val="2"/>
          <w:sz w:val="32"/>
          <w:szCs w:val="24"/>
          <w:lang w:val="en-US" w:eastAsia="zh-CN" w:bidi="ar-SA"/>
        </w:rPr>
        <w:t>1</w:t>
      </w:r>
      <w:r>
        <w:rPr>
          <w:rFonts w:hint="eastAsia" w:cs="Times New Roman"/>
          <w:b w:val="0"/>
          <w:bCs/>
          <w:color w:val="auto"/>
          <w:kern w:val="2"/>
          <w:sz w:val="32"/>
          <w:szCs w:val="24"/>
          <w:lang w:val="en-US" w:eastAsia="zh-CN" w:bidi="ar-SA"/>
        </w:rPr>
        <w:t>、</w:t>
      </w:r>
      <w:r>
        <w:rPr>
          <w:rFonts w:hint="eastAsia" w:ascii="Times New Roman" w:hAnsi="Times New Roman" w:eastAsia="仿宋_GB2312" w:cs="Times New Roman"/>
          <w:b w:val="0"/>
          <w:bCs/>
          <w:color w:val="auto"/>
          <w:kern w:val="2"/>
          <w:sz w:val="32"/>
          <w:szCs w:val="24"/>
          <w:lang w:val="en-US" w:eastAsia="zh-CN" w:bidi="ar-SA"/>
        </w:rPr>
        <w:t>绩效评价的目的</w:t>
      </w:r>
    </w:p>
    <w:p w14:paraId="33CEC24B">
      <w:pPr>
        <w:spacing w:line="560" w:lineRule="exact"/>
        <w:ind w:firstLine="640" w:firstLineChars="200"/>
        <w:rPr>
          <w:rFonts w:eastAsia="仿宋_GB2312"/>
          <w:color w:val="auto"/>
          <w:sz w:val="32"/>
          <w:szCs w:val="32"/>
        </w:rPr>
      </w:pPr>
      <w:r>
        <w:rPr>
          <w:rFonts w:eastAsia="仿宋_GB2312"/>
          <w:color w:val="auto"/>
          <w:sz w:val="32"/>
          <w:szCs w:val="32"/>
        </w:rPr>
        <w:t>财政支出绩效评价运用科学、规范的绩效评价方法，</w:t>
      </w:r>
      <w:r>
        <w:rPr>
          <w:rFonts w:hint="eastAsia" w:ascii="仿宋_GB2312" w:hAnsi="仿宋_GB2312" w:eastAsia="仿宋_GB2312" w:cs="仿宋_GB2312"/>
          <w:color w:val="auto"/>
          <w:sz w:val="32"/>
          <w:szCs w:val="32"/>
        </w:rPr>
        <w:t>对2023年度计算机软件资格水平考试项目</w:t>
      </w:r>
      <w:r>
        <w:rPr>
          <w:rFonts w:eastAsia="仿宋_GB2312"/>
          <w:color w:val="auto"/>
          <w:sz w:val="32"/>
          <w:szCs w:val="32"/>
        </w:rPr>
        <w:t>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EF80D7A">
      <w:pPr>
        <w:numPr>
          <w:ilvl w:val="0"/>
          <w:numId w:val="1"/>
        </w:numPr>
        <w:spacing w:line="560" w:lineRule="exact"/>
        <w:ind w:firstLine="640" w:firstLineChars="200"/>
        <w:rPr>
          <w:rFonts w:eastAsia="仿宋_GB2312"/>
          <w:color w:val="auto"/>
          <w:sz w:val="32"/>
          <w:szCs w:val="32"/>
        </w:rPr>
      </w:pPr>
      <w:r>
        <w:rPr>
          <w:rFonts w:eastAsia="仿宋_GB2312"/>
          <w:color w:val="auto"/>
          <w:sz w:val="32"/>
          <w:szCs w:val="32"/>
        </w:rPr>
        <w:t>项目在实施前向项目负责人提供财政支出绩效方面的资金管理信息，促进项目支出严格按照资金管理规定进行。</w:t>
      </w:r>
    </w:p>
    <w:p w14:paraId="634C28C1">
      <w:pPr>
        <w:spacing w:line="560" w:lineRule="exact"/>
        <w:ind w:firstLine="640" w:firstLineChars="200"/>
        <w:rPr>
          <w:rFonts w:eastAsia="仿宋_GB2312"/>
          <w:color w:val="auto"/>
          <w:sz w:val="32"/>
          <w:szCs w:val="32"/>
        </w:rPr>
      </w:pPr>
      <w:r>
        <w:rPr>
          <w:rFonts w:eastAsia="仿宋_GB2312"/>
          <w:color w:val="auto"/>
          <w:sz w:val="32"/>
          <w:szCs w:val="32"/>
        </w:rPr>
        <w:t>（2）项目绩效管理财政支出运行提供及时、有效的信息。</w:t>
      </w:r>
    </w:p>
    <w:p w14:paraId="0C8D638E">
      <w:pPr>
        <w:pStyle w:val="26"/>
        <w:spacing w:line="560" w:lineRule="exact"/>
        <w:ind w:firstLine="640" w:firstLineChars="200"/>
        <w:rPr>
          <w:rFonts w:eastAsia="方正仿宋_GBK" w:cs="方正仿宋_GBK"/>
          <w:color w:val="auto"/>
          <w:sz w:val="32"/>
          <w:szCs w:val="32"/>
        </w:rPr>
      </w:pPr>
      <w:r>
        <w:rPr>
          <w:rFonts w:eastAsia="仿宋_GB2312"/>
          <w:color w:val="auto"/>
          <w:sz w:val="32"/>
          <w:szCs w:val="32"/>
        </w:rPr>
        <w:t>综合来看，通过开展有效的财政支出绩效评价管理，</w:t>
      </w:r>
      <w:r>
        <w:rPr>
          <w:rFonts w:hint="eastAsia" w:eastAsia="仿宋_GB2312"/>
          <w:color w:val="auto"/>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1DB8B3B7">
      <w:pPr>
        <w:pStyle w:val="14"/>
        <w:ind w:firstLine="643"/>
        <w:rPr>
          <w:color w:val="auto"/>
        </w:rPr>
      </w:pPr>
      <w:r>
        <w:rPr>
          <w:color w:val="auto"/>
        </w:rPr>
        <w:t>2</w:t>
      </w:r>
      <w:r>
        <w:rPr>
          <w:rFonts w:hint="eastAsia"/>
          <w:color w:val="auto"/>
        </w:rPr>
        <w:t>．</w:t>
      </w:r>
      <w:r>
        <w:rPr>
          <w:color w:val="auto"/>
        </w:rPr>
        <w:t>绩效评价的对象</w:t>
      </w:r>
    </w:p>
    <w:p w14:paraId="7CDA12E0">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b/>
          <w:bCs/>
          <w:color w:val="auto"/>
          <w:sz w:val="32"/>
          <w:szCs w:val="32"/>
        </w:rPr>
      </w:pPr>
      <w:bookmarkStart w:id="2" w:name="_Toc25102"/>
      <w:bookmarkStart w:id="3" w:name="_Toc2176"/>
      <w:r>
        <w:rPr>
          <w:rFonts w:hint="eastAsia"/>
          <w:color w:val="auto"/>
          <w:sz w:val="32"/>
          <w:szCs w:val="32"/>
        </w:rPr>
        <w:t>新疆维吾尔自治区工业和信息化培训中心（自治区计算机培训中心）计算机技术与</w:t>
      </w:r>
      <w:r>
        <w:rPr>
          <w:color w:val="auto"/>
          <w:sz w:val="32"/>
          <w:szCs w:val="32"/>
        </w:rPr>
        <w:t>软件专业技术资格（水平）考试</w:t>
      </w:r>
      <w:r>
        <w:rPr>
          <w:rFonts w:hint="eastAsia"/>
          <w:color w:val="auto"/>
          <w:sz w:val="32"/>
          <w:szCs w:val="32"/>
        </w:rPr>
        <w:t>经费项目</w:t>
      </w:r>
      <w:r>
        <w:rPr>
          <w:rFonts w:hint="eastAsia"/>
          <w:color w:val="auto"/>
          <w:sz w:val="32"/>
          <w:szCs w:val="32"/>
          <w:lang w:eastAsia="zh-CN"/>
        </w:rPr>
        <w:t>所包含的全部项目内容</w:t>
      </w:r>
      <w:r>
        <w:rPr>
          <w:rFonts w:hint="eastAsia"/>
          <w:color w:val="auto"/>
          <w:sz w:val="32"/>
          <w:szCs w:val="32"/>
        </w:rPr>
        <w:t>。</w:t>
      </w:r>
      <w:bookmarkEnd w:id="2"/>
      <w:bookmarkEnd w:id="3"/>
    </w:p>
    <w:p w14:paraId="41B674F2">
      <w:pPr>
        <w:pStyle w:val="14"/>
        <w:ind w:firstLine="643"/>
        <w:rPr>
          <w:color w:val="auto"/>
        </w:rPr>
      </w:pPr>
      <w:r>
        <w:rPr>
          <w:color w:val="auto"/>
        </w:rPr>
        <w:t>3</w:t>
      </w:r>
      <w:r>
        <w:rPr>
          <w:rFonts w:hint="eastAsia"/>
          <w:color w:val="auto"/>
        </w:rPr>
        <w:t>．</w:t>
      </w:r>
      <w:r>
        <w:rPr>
          <w:color w:val="auto"/>
        </w:rPr>
        <w:t>绩效评价的范围</w:t>
      </w:r>
    </w:p>
    <w:p w14:paraId="6F55AA3A">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本次评价从项目决策（包括绩效目标、决策过程）、项目管理（包括项目资金、项目实施）、项目产出（包括项目产出数量、产出质量、产出时效和产出成本）项目效益四个维度对</w:t>
      </w:r>
      <w:r>
        <w:rPr>
          <w:rFonts w:hint="eastAsia"/>
          <w:color w:val="auto"/>
          <w:sz w:val="32"/>
          <w:szCs w:val="32"/>
        </w:rPr>
        <w:t>新疆维吾尔自治区工业和信息化培训中心（自治区计算机培训中心）计算机技术与</w:t>
      </w:r>
      <w:r>
        <w:rPr>
          <w:color w:val="auto"/>
          <w:sz w:val="32"/>
          <w:szCs w:val="32"/>
        </w:rPr>
        <w:t>软件专业技术资格（水平）考试</w:t>
      </w:r>
      <w:r>
        <w:rPr>
          <w:rFonts w:hint="eastAsia"/>
          <w:color w:val="auto"/>
          <w:sz w:val="32"/>
          <w:szCs w:val="32"/>
        </w:rPr>
        <w:t>经费项目</w:t>
      </w:r>
      <w:r>
        <w:rPr>
          <w:rFonts w:hint="eastAsia" w:ascii="仿宋_GB2312" w:hAnsi="仿宋_GB2312" w:eastAsia="仿宋_GB2312" w:cs="仿宋_GB2312"/>
          <w:color w:val="auto"/>
          <w:sz w:val="32"/>
          <w:szCs w:val="32"/>
        </w:rPr>
        <w:t>进行评价，评价核心为专项资金的支出完成情况和效果。</w:t>
      </w:r>
    </w:p>
    <w:p w14:paraId="2A6C86EC">
      <w:pPr>
        <w:pStyle w:val="4"/>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Arial" w:hAnsi="Arial" w:eastAsia="楷体_GB2312" w:cs="Times New Roman"/>
          <w:bCs w:val="0"/>
          <w:color w:val="auto"/>
          <w:szCs w:val="24"/>
        </w:rPr>
      </w:pPr>
      <w:r>
        <w:rPr>
          <w:rFonts w:hint="eastAsia" w:ascii="Arial" w:hAnsi="Arial" w:eastAsia="楷体_GB2312" w:cs="Times New Roman"/>
          <w:bCs w:val="0"/>
          <w:color w:val="auto"/>
          <w:szCs w:val="24"/>
          <w:lang w:val="en-US" w:eastAsia="zh-CN"/>
        </w:rPr>
        <w:t>（二）</w:t>
      </w:r>
      <w:r>
        <w:rPr>
          <w:rFonts w:hint="eastAsia" w:ascii="Arial" w:hAnsi="Arial" w:eastAsia="楷体_GB2312" w:cs="Times New Roman"/>
          <w:bCs w:val="0"/>
          <w:color w:val="auto"/>
          <w:szCs w:val="24"/>
        </w:rPr>
        <w:t>绩效评价原则、评价指标体系（附表说明）、评价方法、评价标准等</w:t>
      </w:r>
    </w:p>
    <w:p w14:paraId="3E89AA57">
      <w:pPr>
        <w:pStyle w:val="5"/>
        <w:keepLines/>
        <w:pageBreakBefore w:val="0"/>
        <w:widowControl w:val="0"/>
        <w:kinsoku/>
        <w:wordWrap/>
        <w:overflowPunct/>
        <w:topLinePunct w:val="0"/>
        <w:autoSpaceDE/>
        <w:autoSpaceDN/>
        <w:bidi w:val="0"/>
        <w:adjustRightInd/>
        <w:snapToGrid/>
        <w:spacing w:line="560" w:lineRule="exact"/>
        <w:ind w:firstLine="643" w:firstLineChars="0"/>
        <w:jc w:val="both"/>
        <w:textAlignment w:val="auto"/>
        <w:rPr>
          <w:rFonts w:hint="eastAsia" w:ascii="Times New Roman" w:hAnsi="Times New Roman"/>
          <w:b w:val="0"/>
          <w:bCs/>
          <w:color w:val="auto"/>
          <w:kern w:val="2"/>
          <w:szCs w:val="24"/>
        </w:rPr>
      </w:pPr>
      <w:r>
        <w:rPr>
          <w:rFonts w:hint="eastAsia" w:ascii="Times New Roman" w:hAnsi="Times New Roman"/>
          <w:b w:val="0"/>
          <w:bCs/>
          <w:color w:val="auto"/>
          <w:kern w:val="2"/>
          <w:szCs w:val="24"/>
        </w:rPr>
        <w:t>1</w:t>
      </w:r>
      <w:r>
        <w:rPr>
          <w:rFonts w:hint="eastAsia" w:ascii="Times New Roman" w:hAnsi="Times New Roman"/>
          <w:b w:val="0"/>
          <w:bCs/>
          <w:color w:val="auto"/>
          <w:kern w:val="2"/>
          <w:szCs w:val="24"/>
          <w:lang w:eastAsia="zh-CN"/>
        </w:rPr>
        <w:t>、</w:t>
      </w:r>
      <w:r>
        <w:rPr>
          <w:rFonts w:hint="eastAsia" w:ascii="Times New Roman" w:hAnsi="Times New Roman"/>
          <w:b w:val="0"/>
          <w:bCs/>
          <w:color w:val="auto"/>
          <w:kern w:val="2"/>
          <w:szCs w:val="24"/>
        </w:rPr>
        <w:t>绩效评价原则</w:t>
      </w:r>
    </w:p>
    <w:p w14:paraId="6A135091">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color w:val="auto"/>
          <w:sz w:val="32"/>
          <w:szCs w:val="28"/>
        </w:rPr>
      </w:pPr>
      <w:r>
        <w:rPr>
          <w:rFonts w:hint="eastAsia"/>
          <w:color w:val="auto"/>
          <w:sz w:val="32"/>
          <w:szCs w:val="28"/>
        </w:rPr>
        <w:t>本次项目绩效评价遵循以下基本原则：</w:t>
      </w:r>
    </w:p>
    <w:p w14:paraId="304BC8FE">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color w:val="auto"/>
          <w:sz w:val="32"/>
          <w:szCs w:val="28"/>
        </w:rPr>
      </w:pPr>
      <w:bookmarkStart w:id="4" w:name="_Toc5876"/>
      <w:r>
        <w:rPr>
          <w:rFonts w:hint="eastAsia"/>
          <w:color w:val="auto"/>
          <w:sz w:val="32"/>
          <w:szCs w:val="28"/>
        </w:rPr>
        <w:t>（1）科学公正。绩效评价应当运用科学合理的方法，按照规范的程序，对项目绩效进行客观、公正的反映。</w:t>
      </w:r>
      <w:bookmarkEnd w:id="4"/>
    </w:p>
    <w:p w14:paraId="1746CD67">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color w:val="auto"/>
          <w:sz w:val="32"/>
          <w:szCs w:val="28"/>
        </w:rPr>
      </w:pPr>
      <w:bookmarkStart w:id="5" w:name="_Toc32656"/>
      <w:r>
        <w:rPr>
          <w:rFonts w:hint="eastAsia"/>
          <w:color w:val="auto"/>
          <w:sz w:val="32"/>
          <w:szCs w:val="28"/>
        </w:rPr>
        <w:t>（2）统筹兼顾。单位自评、部门评价和财政评价应职责明确，各有侧重，相互衔接。单位自评应由项目单位自主实施，即“谁支出、谁自评”。部门评价和财政评价应在单位自评的基础上开展。</w:t>
      </w:r>
      <w:bookmarkEnd w:id="5"/>
    </w:p>
    <w:p w14:paraId="444B6D63">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color w:val="auto"/>
          <w:sz w:val="32"/>
          <w:szCs w:val="28"/>
        </w:rPr>
      </w:pPr>
      <w:bookmarkStart w:id="6" w:name="_Toc31431"/>
      <w:r>
        <w:rPr>
          <w:rFonts w:hint="eastAsia"/>
          <w:color w:val="auto"/>
          <w:sz w:val="32"/>
          <w:szCs w:val="28"/>
        </w:rPr>
        <w:t>（3）激励约束。绩效评价结果应与预算安排、政策调整、改进管理实质性挂钩，体现奖优罚劣和激励相容导向，有效要安排、低效要压减、无效要问责。</w:t>
      </w:r>
      <w:bookmarkEnd w:id="6"/>
    </w:p>
    <w:p w14:paraId="5D5D47B6">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color w:val="auto"/>
          <w:sz w:val="32"/>
          <w:szCs w:val="28"/>
        </w:rPr>
      </w:pPr>
      <w:bookmarkStart w:id="7" w:name="_Toc30061"/>
      <w:r>
        <w:rPr>
          <w:rFonts w:hint="eastAsia"/>
          <w:color w:val="auto"/>
          <w:sz w:val="32"/>
          <w:szCs w:val="28"/>
        </w:rPr>
        <w:t>（4）公开透明。绩效评价结果应依法依规公开，并自觉接受社会监督。</w:t>
      </w:r>
      <w:bookmarkEnd w:id="7"/>
    </w:p>
    <w:p w14:paraId="2C7B6594">
      <w:pPr>
        <w:pStyle w:val="5"/>
        <w:pageBreakBefore w:val="0"/>
        <w:widowControl w:val="0"/>
        <w:kinsoku/>
        <w:wordWrap/>
        <w:overflowPunct/>
        <w:topLinePunct w:val="0"/>
        <w:autoSpaceDE/>
        <w:autoSpaceDN/>
        <w:bidi w:val="0"/>
        <w:adjustRightInd/>
        <w:snapToGrid/>
        <w:spacing w:line="560" w:lineRule="exact"/>
        <w:ind w:firstLine="643"/>
        <w:textAlignment w:val="auto"/>
        <w:rPr>
          <w:rFonts w:hint="eastAsia" w:ascii="Times New Roman" w:hAnsi="Times New Roman"/>
          <w:b w:val="0"/>
          <w:bCs/>
          <w:color w:val="auto"/>
          <w:kern w:val="2"/>
          <w:szCs w:val="24"/>
        </w:rPr>
      </w:pPr>
      <w:r>
        <w:rPr>
          <w:rFonts w:hint="eastAsia" w:ascii="Times New Roman" w:hAnsi="Times New Roman"/>
          <w:b w:val="0"/>
          <w:bCs/>
          <w:color w:val="auto"/>
          <w:kern w:val="2"/>
          <w:szCs w:val="24"/>
        </w:rPr>
        <w:t>2</w:t>
      </w:r>
      <w:r>
        <w:rPr>
          <w:rFonts w:hint="eastAsia" w:ascii="Times New Roman" w:hAnsi="Times New Roman"/>
          <w:b w:val="0"/>
          <w:bCs/>
          <w:color w:val="auto"/>
          <w:kern w:val="2"/>
          <w:szCs w:val="24"/>
          <w:lang w:eastAsia="zh-CN"/>
        </w:rPr>
        <w:t>、</w:t>
      </w:r>
      <w:r>
        <w:rPr>
          <w:rFonts w:hint="eastAsia" w:ascii="Times New Roman" w:hAnsi="Times New Roman"/>
          <w:b w:val="0"/>
          <w:bCs/>
          <w:color w:val="auto"/>
          <w:kern w:val="2"/>
          <w:szCs w:val="24"/>
        </w:rPr>
        <w:t>评价指标体系</w:t>
      </w:r>
    </w:p>
    <w:p w14:paraId="30EF89D9">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绩效评价框架是开展绩效评价的核心。绩效评价框架包括评价准则、关键评价问题、评价指标、数据来源、数据收集方法等。指标体系建立过程如下：</w:t>
      </w:r>
    </w:p>
    <w:p w14:paraId="224F50B5">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（1）确定评价指标</w:t>
      </w:r>
    </w:p>
    <w:p w14:paraId="76F1B1EE">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80D5115">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（2）确定权重</w:t>
      </w:r>
    </w:p>
    <w:p w14:paraId="7367D609">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确定各个指标相对于项目总体绩效的权重分值。在绩效评价指标体系中，项目决策类权重为20分，项目过程类权重为20分，项目产出类权重为40分，项目效益类权重为20分。</w:t>
      </w:r>
    </w:p>
    <w:p w14:paraId="4CB092C5">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（3）确定指标标准值</w:t>
      </w:r>
    </w:p>
    <w:p w14:paraId="53A1C6BC">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指标标准值是绩效评价指标的尺度，既要反映同类项目的先进水平，又要符合项目的实际绩效水平。具体采用计划标准等确定此次绩效评价指标标准值。</w:t>
      </w:r>
    </w:p>
    <w:p w14:paraId="4E8CBEF2">
      <w:pPr>
        <w:pStyle w:val="2"/>
        <w:spacing w:before="0" w:after="0" w:line="560" w:lineRule="exact"/>
        <w:ind w:firstLine="708" w:firstLineChars="200"/>
        <w:jc w:val="both"/>
        <w:rPr>
          <w:color w:val="auto"/>
        </w:rPr>
      </w:pPr>
      <w:r>
        <w:rPr>
          <w:rFonts w:ascii="Times New Roman" w:hAnsi="Times New Roman" w:eastAsia="仿宋_GB2312"/>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D8DBD0B">
      <w:pPr>
        <w:pStyle w:val="2"/>
        <w:widowControl w:val="0"/>
        <w:spacing w:before="0" w:after="0" w:line="560" w:lineRule="exact"/>
        <w:ind w:firstLine="708" w:firstLineChars="200"/>
        <w:jc w:val="both"/>
        <w:outlineLvl w:val="9"/>
        <w:rPr>
          <w:rFonts w:hint="eastAsia"/>
          <w:color w:val="auto"/>
        </w:rPr>
      </w:pPr>
      <w:r>
        <w:rPr>
          <w:rFonts w:ascii="Times New Roman" w:hAnsi="Times New Roman" w:eastAsia="仿宋_GB2312"/>
          <w:b w:val="0"/>
          <w:bCs w:val="0"/>
          <w:color w:val="auto"/>
          <w:spacing w:val="17"/>
        </w:rPr>
        <w:t>具体评价指标体系详情见附件1</w:t>
      </w:r>
    </w:p>
    <w:p w14:paraId="06A13403">
      <w:pPr>
        <w:pStyle w:val="5"/>
        <w:keepLines/>
        <w:pageBreakBefore w:val="0"/>
        <w:widowControl w:val="0"/>
        <w:kinsoku/>
        <w:wordWrap/>
        <w:overflowPunct/>
        <w:topLinePunct w:val="0"/>
        <w:autoSpaceDE/>
        <w:autoSpaceDN/>
        <w:bidi w:val="0"/>
        <w:adjustRightInd/>
        <w:snapToGrid/>
        <w:spacing w:line="560" w:lineRule="exact"/>
        <w:ind w:firstLine="643" w:firstLineChars="0"/>
        <w:jc w:val="both"/>
        <w:textAlignment w:val="auto"/>
        <w:rPr>
          <w:rFonts w:hint="eastAsia" w:ascii="Times New Roman" w:hAnsi="Times New Roman"/>
          <w:b w:val="0"/>
          <w:bCs/>
          <w:color w:val="auto"/>
          <w:kern w:val="2"/>
          <w:szCs w:val="24"/>
        </w:rPr>
      </w:pPr>
      <w:r>
        <w:rPr>
          <w:rFonts w:hint="eastAsia" w:ascii="Times New Roman" w:hAnsi="Times New Roman"/>
          <w:b w:val="0"/>
          <w:bCs/>
          <w:color w:val="auto"/>
          <w:kern w:val="2"/>
          <w:szCs w:val="24"/>
        </w:rPr>
        <w:t>3</w:t>
      </w:r>
      <w:r>
        <w:rPr>
          <w:rFonts w:hint="eastAsia" w:ascii="Times New Roman" w:hAnsi="Times New Roman"/>
          <w:b w:val="0"/>
          <w:bCs/>
          <w:color w:val="auto"/>
          <w:kern w:val="2"/>
          <w:szCs w:val="24"/>
          <w:lang w:eastAsia="zh-CN"/>
        </w:rPr>
        <w:t>、</w:t>
      </w:r>
      <w:r>
        <w:rPr>
          <w:rFonts w:hint="eastAsia" w:ascii="Times New Roman" w:hAnsi="Times New Roman"/>
          <w:b w:val="0"/>
          <w:bCs/>
          <w:color w:val="auto"/>
          <w:kern w:val="2"/>
          <w:szCs w:val="24"/>
        </w:rPr>
        <w:t>绩效评价方法</w:t>
      </w:r>
    </w:p>
    <w:p w14:paraId="285445D2">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绩效评价从项目决策、项目过程、项目产出、项目效益四个维度进行评价。评价对象为项目目标实施情况，评价核心为资金的支出完成情况和项目的产出效益。</w:t>
      </w:r>
    </w:p>
    <w:p w14:paraId="228E5B55">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本次评价指标中，既有定性指标又有定量指标，各类指标因考核内容不同和客观标准不同存在较大差异，因此核定具体指标时采用了不同方法，具体评价方法如下：</w:t>
      </w:r>
    </w:p>
    <w:p w14:paraId="733D7708">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（1）比较法</w:t>
      </w:r>
    </w:p>
    <w:p w14:paraId="5C0CF219">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通过对绩效目标与实施效果、历史与当期情况，综合分析绩效目标实现程度。对项目最终验收情况与年度绩效目标对比、预算资金执行情况等相关因素进行比较。</w:t>
      </w:r>
    </w:p>
    <w:p w14:paraId="78600D07">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（2）因素分析法</w:t>
      </w:r>
    </w:p>
    <w:p w14:paraId="6478367C">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7F2D24DC">
      <w:pPr>
        <w:pStyle w:val="2"/>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4、评价标准</w:t>
      </w:r>
    </w:p>
    <w:p w14:paraId="0D811C83">
      <w:pPr>
        <w:spacing w:line="560" w:lineRule="exact"/>
        <w:ind w:firstLine="64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绩效评价标准通常包括计划标准、行业标准、历史标准等，用于对绩效指标完成情况进行比较、分析、评价。本次评价主要采用了计划标准、行业标准、历史标准标准</w:t>
      </w:r>
      <w:r>
        <w:rPr>
          <w:rFonts w:hint="eastAsia" w:ascii="仿宋_GB2312" w:hAnsi="仿宋_GB2312" w:cs="仿宋_GB2312"/>
          <w:b w:val="0"/>
          <w:bCs w:val="0"/>
          <w:color w:val="auto"/>
          <w:kern w:val="2"/>
          <w:sz w:val="32"/>
          <w:szCs w:val="32"/>
          <w:lang w:val="en-US" w:eastAsia="zh-CN" w:bidi="ar-SA"/>
        </w:rPr>
        <w:t>。</w:t>
      </w:r>
    </w:p>
    <w:p w14:paraId="4D076C60">
      <w:pPr>
        <w:spacing w:line="560" w:lineRule="exact"/>
        <w:ind w:firstLine="640"/>
        <w:rPr>
          <w:rFonts w:hint="eastAsia" w:ascii="仿宋_GB2312" w:hAnsi="仿宋_GB2312" w:eastAsia="仿宋_GB2312" w:cs="仿宋_GB2312"/>
          <w:b w:val="0"/>
          <w:bCs w:val="0"/>
          <w:color w:val="auto"/>
          <w:kern w:val="2"/>
          <w:sz w:val="32"/>
          <w:szCs w:val="32"/>
          <w:lang w:val="en-US" w:eastAsia="zh-CN" w:bidi="ar-SA"/>
        </w:rPr>
      </w:pPr>
      <w:bookmarkStart w:id="8" w:name="_Toc17882"/>
      <w:bookmarkStart w:id="9" w:name="_Toc31464"/>
      <w:r>
        <w:rPr>
          <w:rFonts w:hint="eastAsia" w:ascii="仿宋_GB2312" w:hAnsi="仿宋_GB2312" w:eastAsia="仿宋_GB2312" w:cs="仿宋_GB2312"/>
          <w:b w:val="0"/>
          <w:bCs w:val="0"/>
          <w:color w:val="auto"/>
          <w:kern w:val="2"/>
          <w:sz w:val="32"/>
          <w:szCs w:val="32"/>
          <w:lang w:val="en-US" w:eastAsia="zh-CN" w:bidi="ar-SA"/>
        </w:rPr>
        <w:t>计划标准：指以预先制定的目标、计划、预算、定额等作为评价标准。</w:t>
      </w:r>
      <w:bookmarkEnd w:id="8"/>
      <w:bookmarkEnd w:id="9"/>
    </w:p>
    <w:p w14:paraId="57909831">
      <w:pPr>
        <w:spacing w:line="560" w:lineRule="exact"/>
        <w:ind w:firstLine="640"/>
        <w:rPr>
          <w:rFonts w:hint="eastAsia" w:ascii="仿宋_GB2312" w:hAnsi="仿宋_GB2312" w:eastAsia="仿宋_GB2312" w:cs="仿宋_GB2312"/>
          <w:b w:val="0"/>
          <w:bCs w:val="0"/>
          <w:color w:val="auto"/>
          <w:kern w:val="2"/>
          <w:sz w:val="32"/>
          <w:szCs w:val="32"/>
          <w:lang w:val="en-US" w:eastAsia="zh-CN" w:bidi="ar-SA"/>
        </w:rPr>
      </w:pPr>
      <w:bookmarkStart w:id="10" w:name="_Toc5633"/>
      <w:bookmarkStart w:id="11" w:name="_Toc2318"/>
      <w:r>
        <w:rPr>
          <w:rFonts w:hint="eastAsia" w:ascii="仿宋_GB2312" w:hAnsi="仿宋_GB2312" w:eastAsia="仿宋_GB2312" w:cs="仿宋_GB2312"/>
          <w:b w:val="0"/>
          <w:bCs w:val="0"/>
          <w:color w:val="auto"/>
          <w:kern w:val="2"/>
          <w:sz w:val="32"/>
          <w:szCs w:val="32"/>
          <w:lang w:val="en-US" w:eastAsia="zh-CN" w:bidi="ar-SA"/>
        </w:rPr>
        <w:t>行业标准：指参照国家公布的行业指标数据制定的评价标准。</w:t>
      </w:r>
      <w:bookmarkEnd w:id="10"/>
      <w:bookmarkEnd w:id="11"/>
    </w:p>
    <w:p w14:paraId="083306E6">
      <w:pPr>
        <w:spacing w:line="560" w:lineRule="exact"/>
        <w:ind w:firstLine="640"/>
        <w:rPr>
          <w:rFonts w:hint="eastAsia" w:ascii="仿宋_GB2312" w:hAnsi="仿宋_GB2312" w:eastAsia="仿宋_GB2312" w:cs="仿宋_GB2312"/>
          <w:b w:val="0"/>
          <w:bCs w:val="0"/>
          <w:color w:val="auto"/>
          <w:kern w:val="2"/>
          <w:sz w:val="32"/>
          <w:szCs w:val="32"/>
          <w:lang w:val="en-US" w:eastAsia="zh-CN" w:bidi="ar-SA"/>
        </w:rPr>
      </w:pPr>
      <w:bookmarkStart w:id="12" w:name="_Toc16028"/>
      <w:bookmarkStart w:id="13" w:name="_Toc430"/>
      <w:r>
        <w:rPr>
          <w:rFonts w:hint="eastAsia" w:ascii="仿宋_GB2312" w:hAnsi="仿宋_GB2312" w:eastAsia="仿宋_GB2312" w:cs="仿宋_GB2312"/>
          <w:b w:val="0"/>
          <w:bCs w:val="0"/>
          <w:color w:val="auto"/>
          <w:kern w:val="2"/>
          <w:sz w:val="32"/>
          <w:szCs w:val="32"/>
          <w:lang w:val="en-US" w:eastAsia="zh-CN" w:bidi="ar-SA"/>
        </w:rPr>
        <w:t>历史标准：指参照历史数据制定的评价标准，为体现绩效改进的原则，在可实现的条件下应当确定相对较高的评价标准。</w:t>
      </w:r>
      <w:bookmarkEnd w:id="12"/>
      <w:bookmarkEnd w:id="13"/>
    </w:p>
    <w:p w14:paraId="440856EF">
      <w:pPr>
        <w:pStyle w:val="4"/>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Style w:val="18"/>
          <w:rFonts w:hint="eastAsia" w:ascii="仿宋_GB2312" w:hAnsi="仿宋_GB2312" w:eastAsia="仿宋_GB2312" w:cs="仿宋_GB2312"/>
          <w:b/>
          <w:bCs w:val="0"/>
          <w:iCs/>
          <w:color w:val="auto"/>
          <w:kern w:val="0"/>
          <w:sz w:val="32"/>
          <w:szCs w:val="32"/>
        </w:rPr>
      </w:pPr>
      <w:r>
        <w:rPr>
          <w:rStyle w:val="18"/>
          <w:rFonts w:hint="eastAsia" w:ascii="仿宋_GB2312" w:hAnsi="仿宋_GB2312" w:eastAsia="仿宋_GB2312" w:cs="仿宋_GB2312"/>
          <w:b/>
          <w:bCs w:val="0"/>
          <w:iCs/>
          <w:color w:val="auto"/>
          <w:kern w:val="0"/>
          <w:sz w:val="32"/>
          <w:szCs w:val="32"/>
        </w:rPr>
        <w:t>（三）绩效评价工作过程</w:t>
      </w:r>
    </w:p>
    <w:p w14:paraId="6F32957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仿宋_GB2312" w:hAnsi="仿宋_GB2312" w:eastAsia="仿宋_GB2312" w:cs="仿宋_GB2312"/>
          <w:b w:val="0"/>
          <w:color w:val="auto"/>
          <w:spacing w:val="-4"/>
          <w:sz w:val="32"/>
          <w:szCs w:val="32"/>
        </w:rPr>
      </w:pPr>
      <w:r>
        <w:rPr>
          <w:rFonts w:hint="eastAsia" w:ascii="仿宋_GB2312" w:hAnsi="仿宋_GB2312" w:eastAsia="仿宋_GB2312" w:cs="仿宋_GB2312"/>
          <w:color w:val="auto"/>
          <w:sz w:val="32"/>
          <w:szCs w:val="32"/>
        </w:rPr>
        <w:t>1．前期准备。</w:t>
      </w:r>
      <w:r>
        <w:rPr>
          <w:rStyle w:val="18"/>
          <w:rFonts w:hint="eastAsia" w:ascii="仿宋_GB2312" w:hAnsi="仿宋_GB2312" w:eastAsia="仿宋_GB2312" w:cs="仿宋_GB2312"/>
          <w:b w:val="0"/>
          <w:color w:val="auto"/>
          <w:spacing w:val="-4"/>
          <w:sz w:val="32"/>
          <w:szCs w:val="32"/>
        </w:rPr>
        <w:t>项目实施过程中，严格按项目支出绩效及内控制度要求，落实到每个细节，做好专项资金预算，使用计划，标准等。</w:t>
      </w:r>
    </w:p>
    <w:p w14:paraId="7730B0F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仿宋_GB2312" w:hAnsi="仿宋_GB2312" w:eastAsia="仿宋_GB2312" w:cs="仿宋_GB2312"/>
          <w:b w:val="0"/>
          <w:color w:val="auto"/>
          <w:spacing w:val="-4"/>
          <w:sz w:val="32"/>
          <w:szCs w:val="32"/>
        </w:rPr>
      </w:pPr>
      <w:r>
        <w:rPr>
          <w:rFonts w:hint="eastAsia" w:ascii="仿宋_GB2312" w:hAnsi="仿宋_GB2312" w:eastAsia="仿宋_GB2312" w:cs="仿宋_GB2312"/>
          <w:color w:val="auto"/>
          <w:sz w:val="32"/>
          <w:szCs w:val="32"/>
        </w:rPr>
        <w:t>2．组织实施。</w:t>
      </w:r>
      <w:r>
        <w:rPr>
          <w:rStyle w:val="18"/>
          <w:rFonts w:hint="eastAsia" w:ascii="仿宋_GB2312" w:hAnsi="仿宋_GB2312" w:eastAsia="仿宋_GB2312" w:cs="仿宋_GB2312"/>
          <w:b w:val="0"/>
          <w:bCs w:val="0"/>
          <w:color w:val="auto"/>
          <w:spacing w:val="-4"/>
          <w:sz w:val="32"/>
          <w:szCs w:val="32"/>
        </w:rPr>
        <w:t>专项经费拨入培训中心零余额账户后，由专项经费使用部门负责人按照文件要求编制专项资金使用计划，报部门分管主任复核，最后由培训中心主任审查批准后，交财务部门备案实施。专项经费使用部门在使用专项经费时，应合理安排资金计划，专项经费不得超标准超范围使用，不得将专项经费挪作他用。专项经费使用部门在报销专项经费时，财务部门按照资金使用计划审核支出，并对票据来源是否合法，内容是否真实完整，使用是否准确，是否符合预算，审批手续是否齐全进行检查，审核无误后方可报销。</w:t>
      </w:r>
    </w:p>
    <w:p w14:paraId="28D9DC86">
      <w:pPr>
        <w:keepNext w:val="0"/>
        <w:keepLines w:val="0"/>
        <w:pageBreakBefore w:val="0"/>
        <w:widowControl w:val="0"/>
        <w:kinsoku/>
        <w:wordWrap/>
        <w:overflowPunct/>
        <w:topLinePunct w:val="0"/>
        <w:autoSpaceDE/>
        <w:autoSpaceDN/>
        <w:bidi w:val="0"/>
        <w:adjustRightInd/>
        <w:snapToGrid/>
        <w:spacing w:line="560" w:lineRule="exact"/>
        <w:ind w:firstLine="624"/>
        <w:textAlignment w:val="auto"/>
        <w:rPr>
          <w:rStyle w:val="18"/>
          <w:rFonts w:hint="eastAsia" w:ascii="仿宋_GB2312" w:hAnsi="仿宋_GB2312" w:eastAsia="仿宋_GB2312" w:cs="仿宋_GB2312"/>
          <w:b w:val="0"/>
          <w:color w:val="auto"/>
          <w:spacing w:val="-4"/>
          <w:sz w:val="32"/>
          <w:szCs w:val="32"/>
        </w:rPr>
      </w:pPr>
      <w:r>
        <w:rPr>
          <w:rStyle w:val="18"/>
          <w:rFonts w:hint="eastAsia" w:ascii="仿宋_GB2312" w:hAnsi="仿宋_GB2312" w:eastAsia="仿宋_GB2312" w:cs="仿宋_GB2312"/>
          <w:b w:val="0"/>
          <w:bCs w:val="0"/>
          <w:color w:val="auto"/>
          <w:spacing w:val="-4"/>
          <w:sz w:val="32"/>
          <w:szCs w:val="32"/>
        </w:rPr>
        <w:t>3．分析评价。对评价结果进行整改，充分运用分析评价指导项目绩效工作。</w:t>
      </w:r>
    </w:p>
    <w:p w14:paraId="105DBB0A">
      <w:pPr>
        <w:spacing w:line="60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三、综合评价情况及评价结论（附相关评分表）</w:t>
      </w:r>
    </w:p>
    <w:p w14:paraId="7B9FA16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olor w:val="auto"/>
          <w:lang w:val="en-US" w:eastAsia="zh-CN"/>
        </w:rPr>
      </w:pPr>
      <w:bookmarkStart w:id="14" w:name="_Toc22364"/>
      <w:r>
        <w:rPr>
          <w:rFonts w:hint="eastAsia" w:ascii="Times New Roman" w:hAnsi="Times New Roman" w:eastAsia="楷体_GB2312"/>
          <w:color w:val="auto"/>
          <w:lang w:eastAsia="zh-CN"/>
        </w:rPr>
        <w:t>（</w:t>
      </w:r>
      <w:r>
        <w:rPr>
          <w:rFonts w:hint="eastAsia" w:ascii="Times New Roman" w:hAnsi="Times New Roman" w:eastAsia="楷体_GB2312"/>
          <w:color w:val="auto"/>
          <w:lang w:val="en-US" w:eastAsia="zh-CN"/>
        </w:rPr>
        <w:t>一</w:t>
      </w:r>
      <w:r>
        <w:rPr>
          <w:rFonts w:hint="eastAsia" w:ascii="Times New Roman" w:hAnsi="Times New Roman" w:eastAsia="楷体_GB2312"/>
          <w:color w:val="auto"/>
          <w:lang w:eastAsia="zh-CN"/>
        </w:rPr>
        <w:t>）</w:t>
      </w:r>
      <w:r>
        <w:rPr>
          <w:rFonts w:hint="eastAsia" w:ascii="Times New Roman" w:hAnsi="Times New Roman" w:eastAsia="楷体_GB2312"/>
          <w:color w:val="auto"/>
          <w:lang w:val="en-US" w:eastAsia="zh-CN"/>
        </w:rPr>
        <w:t>评价情况</w:t>
      </w:r>
    </w:p>
    <w:p w14:paraId="0AC808A0">
      <w:pPr>
        <w:shd w:val="clear"/>
        <w:spacing w:line="600" w:lineRule="exact"/>
        <w:ind w:firstLine="640" w:firstLineChars="200"/>
        <w:outlineLvl w:val="0"/>
        <w:rPr>
          <w:rFonts w:hint="default" w:ascii="Times New Roman" w:hAnsi="Times New Roman" w:eastAsia="仿宋_GB2312" w:cs="Times New Roman"/>
          <w:b w:val="0"/>
          <w:bCs w:val="0"/>
          <w:color w:val="auto"/>
          <w:kern w:val="28"/>
          <w:sz w:val="32"/>
          <w:szCs w:val="32"/>
          <w:lang w:val="en-US" w:eastAsia="zh-CN" w:bidi="ar-SA"/>
        </w:rPr>
      </w:pPr>
      <w:r>
        <w:rPr>
          <w:rFonts w:hint="eastAsia"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71E4A5C">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Times New Roman" w:hAnsi="Times New Roman" w:eastAsia="楷体_GB2312" w:cs="Times New Roman"/>
          <w:color w:val="auto"/>
          <w:lang w:eastAsia="zh-CN"/>
        </w:rPr>
        <w:t>（</w:t>
      </w:r>
      <w:r>
        <w:rPr>
          <w:rFonts w:hint="eastAsia" w:ascii="Times New Roman" w:hAnsi="Times New Roman" w:eastAsia="楷体_GB2312" w:cs="Times New Roman"/>
          <w:color w:val="auto"/>
          <w:lang w:val="en-US" w:eastAsia="zh-CN"/>
        </w:rPr>
        <w:t>二</w:t>
      </w:r>
      <w:r>
        <w:rPr>
          <w:rFonts w:hint="eastAsia" w:ascii="Times New Roman" w:hAnsi="Times New Roman" w:eastAsia="楷体_GB2312" w:cs="Times New Roman"/>
          <w:color w:val="auto"/>
          <w:lang w:eastAsia="zh-CN"/>
        </w:rPr>
        <w:t>）</w:t>
      </w:r>
      <w:r>
        <w:rPr>
          <w:rFonts w:hint="eastAsia" w:ascii="Times New Roman" w:hAnsi="Times New Roman" w:eastAsia="楷体_GB2312" w:cs="Times New Roman"/>
          <w:color w:val="auto"/>
          <w:lang w:val="en-US" w:eastAsia="zh-CN"/>
        </w:rPr>
        <w:t>评价结论</w:t>
      </w:r>
    </w:p>
    <w:p w14:paraId="729C25E6">
      <w:pPr>
        <w:keepLines w:val="0"/>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olor w:val="auto"/>
          <w:sz w:val="30"/>
          <w:szCs w:val="30"/>
        </w:rPr>
      </w:pPr>
      <w:r>
        <w:rPr>
          <w:rFonts w:hint="eastAsia" w:ascii="仿宋_GB2312" w:hAnsi="仿宋_GB2312" w:eastAsia="仿宋_GB2312" w:cs="仿宋_GB2312"/>
          <w:color w:val="auto"/>
          <w:sz w:val="32"/>
          <w:szCs w:val="32"/>
        </w:rPr>
        <w:t>运用绩效评价组制定的评价指标体系以及财政部《项目支出绩效评价管理办法》（财预〔2020〕10号）文件的评分标准，通过数据采集、问卷调查及访谈等方式，对本项目进行客观评价，最终评分结果：总得分为9</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分，属于“优”。其中，项目决策类指标权重为20分，得分为</w:t>
      </w:r>
      <w:r>
        <w:rPr>
          <w:rFonts w:hint="eastAsia" w:ascii="仿宋_GB2312" w:hAnsi="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%。项目过程类指标权重为</w:t>
      </w:r>
      <w:r>
        <w:rPr>
          <w:rFonts w:hint="eastAsia" w:ascii="仿宋_GB2312" w:hAnsi="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分，得分为1</w:t>
      </w:r>
      <w:r>
        <w:rPr>
          <w:rFonts w:hint="eastAsia" w:ascii="仿宋_GB2312" w:hAnsi="仿宋_GB2312" w:cs="仿宋_GB2312"/>
          <w:color w:val="auto"/>
          <w:sz w:val="32"/>
          <w:szCs w:val="32"/>
          <w:lang w:val="en-US" w:eastAsia="zh-CN"/>
        </w:rPr>
        <w:t>9</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95</w:t>
      </w:r>
      <w:r>
        <w:rPr>
          <w:rFonts w:hint="eastAsia" w:ascii="仿宋_GB2312" w:hAnsi="仿宋_GB2312" w:eastAsia="仿宋_GB2312" w:cs="仿宋_GB2312"/>
          <w:color w:val="auto"/>
          <w:sz w:val="32"/>
          <w:szCs w:val="32"/>
        </w:rPr>
        <w:t>%。项目产出类指标权重为40分，得分为40分，得分率为100%。项目效益类指标权重为20分，得分为</w:t>
      </w:r>
      <w:r>
        <w:rPr>
          <w:rFonts w:hint="eastAsia" w:ascii="仿宋_GB2312" w:hAnsi="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%。具体打分情况详见：</w:t>
      </w:r>
      <w:r>
        <w:rPr>
          <w:rFonts w:hint="eastAsia" w:ascii="仿宋_GB2312" w:hAnsi="仿宋_GB2312" w:cs="仿宋_GB2312"/>
          <w:color w:val="auto"/>
          <w:sz w:val="32"/>
          <w:szCs w:val="32"/>
          <w:lang w:val="en-US" w:eastAsia="zh-CN"/>
        </w:rPr>
        <w:t>附件1综合评分表。</w:t>
      </w:r>
      <w:bookmarkEnd w:id="14"/>
      <w:bookmarkStart w:id="15" w:name="_Toc10906"/>
    </w:p>
    <w:p w14:paraId="078B7ECA">
      <w:pPr>
        <w:pStyle w:val="2"/>
        <w:widowControl w:val="0"/>
        <w:spacing w:before="0" w:after="0" w:line="600" w:lineRule="exact"/>
        <w:ind w:firstLine="602"/>
        <w:outlineLvl w:val="9"/>
        <w:rPr>
          <w:rFonts w:ascii="Times New Roman" w:hAnsi="Times New Roman" w:eastAsia="仿宋_GB2312"/>
          <w:color w:val="auto"/>
          <w:sz w:val="30"/>
          <w:szCs w:val="30"/>
        </w:rPr>
      </w:pPr>
      <w:r>
        <w:rPr>
          <w:rFonts w:ascii="Times New Roman" w:hAnsi="Times New Roman" w:eastAsia="仿宋_GB2312"/>
          <w:color w:val="auto"/>
          <w:sz w:val="30"/>
          <w:szCs w:val="30"/>
        </w:rPr>
        <w:t>表1综合评分表</w:t>
      </w:r>
      <w:bookmarkEnd w:id="15"/>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576CA4E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DDDD3FB">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23E072B">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0573170">
            <w:pPr>
              <w:jc w:val="center"/>
              <w:rPr>
                <w:b/>
                <w:bCs/>
                <w:color w:val="auto"/>
                <w:sz w:val="22"/>
              </w:rPr>
            </w:pPr>
            <w:r>
              <w:rPr>
                <w:rFonts w:hint="eastAsia"/>
                <w:b/>
                <w:bCs/>
                <w:color w:val="auto"/>
                <w:sz w:val="22"/>
              </w:rPr>
              <w:t>得分</w:t>
            </w:r>
          </w:p>
        </w:tc>
      </w:tr>
      <w:tr w14:paraId="1306850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FBB3A45">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652DCE7A">
            <w:pPr>
              <w:jc w:val="center"/>
              <w:rPr>
                <w:rFonts w:hint="default" w:eastAsia="宋体"/>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90A1F47">
            <w:pPr>
              <w:jc w:val="center"/>
              <w:rPr>
                <w:rFonts w:hint="default" w:eastAsia="仿宋_GB2312"/>
                <w:color w:val="auto"/>
                <w:sz w:val="22"/>
                <w:lang w:val="en-US" w:eastAsia="zh-CN"/>
              </w:rPr>
            </w:pPr>
            <w:r>
              <w:rPr>
                <w:rFonts w:hint="eastAsia"/>
                <w:color w:val="auto"/>
                <w:sz w:val="22"/>
                <w:lang w:val="en-US" w:eastAsia="zh-CN"/>
              </w:rPr>
              <w:t>20</w:t>
            </w:r>
          </w:p>
        </w:tc>
      </w:tr>
      <w:tr w14:paraId="4983399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6EC12CC">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5220B1F5">
            <w:pPr>
              <w:jc w:val="center"/>
              <w:rPr>
                <w:rFonts w:hint="default" w:eastAsia="宋体"/>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4016EBB">
            <w:pPr>
              <w:jc w:val="center"/>
              <w:rPr>
                <w:rFonts w:hint="default" w:eastAsia="仿宋_GB2312"/>
                <w:color w:val="auto"/>
                <w:sz w:val="22"/>
                <w:lang w:val="en-US" w:eastAsia="zh-CN"/>
              </w:rPr>
            </w:pPr>
            <w:r>
              <w:rPr>
                <w:rFonts w:hint="eastAsia"/>
                <w:color w:val="auto"/>
                <w:sz w:val="22"/>
                <w:lang w:val="en-US" w:eastAsia="zh-CN"/>
              </w:rPr>
              <w:t>19</w:t>
            </w:r>
          </w:p>
        </w:tc>
      </w:tr>
      <w:tr w14:paraId="3C4949F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2937915">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783D7429">
            <w:pPr>
              <w:jc w:val="center"/>
              <w:rPr>
                <w:rFonts w:hint="default" w:eastAsia="宋体"/>
                <w:color w:val="auto"/>
                <w:sz w:val="22"/>
                <w:lang w:val="en-US" w:eastAsia="zh-CN"/>
              </w:rPr>
            </w:pPr>
            <w:r>
              <w:rPr>
                <w:rFonts w:hint="eastAsia"/>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F03D756">
            <w:pPr>
              <w:jc w:val="center"/>
              <w:rPr>
                <w:rFonts w:hint="default" w:eastAsia="仿宋_GB2312"/>
                <w:color w:val="auto"/>
                <w:sz w:val="22"/>
                <w:lang w:val="en-US" w:eastAsia="zh-CN"/>
              </w:rPr>
            </w:pPr>
            <w:r>
              <w:rPr>
                <w:rFonts w:hint="eastAsia"/>
                <w:color w:val="auto"/>
                <w:sz w:val="22"/>
                <w:lang w:val="en-US" w:eastAsia="zh-CN"/>
              </w:rPr>
              <w:t>40</w:t>
            </w:r>
          </w:p>
        </w:tc>
      </w:tr>
      <w:tr w14:paraId="78685C9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E504E35">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186BE773">
            <w:pPr>
              <w:jc w:val="center"/>
              <w:rPr>
                <w:rFonts w:hint="default" w:eastAsia="宋体"/>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04845DA">
            <w:pPr>
              <w:jc w:val="center"/>
              <w:rPr>
                <w:rFonts w:hint="default" w:eastAsia="仿宋_GB2312"/>
                <w:color w:val="auto"/>
                <w:sz w:val="22"/>
                <w:lang w:val="en-US" w:eastAsia="zh-CN"/>
              </w:rPr>
            </w:pPr>
            <w:r>
              <w:rPr>
                <w:rFonts w:hint="eastAsia"/>
                <w:color w:val="auto"/>
                <w:sz w:val="22"/>
                <w:lang w:val="en-US" w:eastAsia="zh-CN"/>
              </w:rPr>
              <w:t>20</w:t>
            </w:r>
          </w:p>
        </w:tc>
      </w:tr>
      <w:tr w14:paraId="47613B2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1B02313">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14:paraId="2137FFD9">
            <w:pPr>
              <w:jc w:val="center"/>
              <w:rPr>
                <w:rFonts w:hint="default" w:eastAsia="宋体"/>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B09D8F9">
            <w:pPr>
              <w:jc w:val="center"/>
              <w:rPr>
                <w:rFonts w:hint="default" w:eastAsia="仿宋_GB2312"/>
                <w:b/>
                <w:bCs/>
                <w:color w:val="auto"/>
                <w:sz w:val="22"/>
                <w:lang w:val="en-US" w:eastAsia="zh-CN"/>
              </w:rPr>
            </w:pPr>
            <w:r>
              <w:rPr>
                <w:rFonts w:hint="eastAsia"/>
                <w:b/>
                <w:bCs/>
                <w:color w:val="auto"/>
                <w:sz w:val="22"/>
                <w:lang w:val="en-US" w:eastAsia="zh-CN"/>
              </w:rPr>
              <w:t>99</w:t>
            </w:r>
          </w:p>
        </w:tc>
      </w:tr>
    </w:tbl>
    <w:p w14:paraId="7527F77A">
      <w:pPr>
        <w:ind w:firstLine="0" w:firstLineChars="0"/>
        <w:rPr>
          <w:color w:val="auto"/>
        </w:rPr>
      </w:pPr>
    </w:p>
    <w:p w14:paraId="2657B7B6">
      <w:pPr>
        <w:spacing w:line="600" w:lineRule="exact"/>
        <w:ind w:firstLine="600" w:firstLineChars="200"/>
        <w:rPr>
          <w:rFonts w:ascii="黑体" w:hAnsi="黑体" w:eastAsia="黑体"/>
          <w:color w:val="auto"/>
        </w:rPr>
      </w:pPr>
      <w:r>
        <w:rPr>
          <w:rFonts w:hint="eastAsia" w:ascii="黑体" w:hAnsi="黑体" w:eastAsia="黑体"/>
          <w:color w:val="auto"/>
        </w:rPr>
        <w:t>四、绩效评价指标分析</w:t>
      </w:r>
    </w:p>
    <w:p w14:paraId="6392D5A5">
      <w:pPr>
        <w:pStyle w:val="4"/>
        <w:keepLines w:val="0"/>
        <w:pageBreakBefore w:val="0"/>
        <w:widowControl/>
        <w:kinsoku/>
        <w:wordWrap/>
        <w:overflowPunct/>
        <w:topLinePunct w:val="0"/>
        <w:autoSpaceDE/>
        <w:autoSpaceDN/>
        <w:bidi w:val="0"/>
        <w:adjustRightInd/>
        <w:snapToGrid/>
        <w:spacing w:before="0" w:after="0" w:line="560" w:lineRule="exact"/>
        <w:ind w:firstLine="643"/>
        <w:jc w:val="left"/>
        <w:textAlignment w:val="auto"/>
        <w:rPr>
          <w:rStyle w:val="18"/>
          <w:rFonts w:hint="eastAsia" w:ascii="仿宋_GB2312" w:hAnsi="仿宋_GB2312" w:eastAsia="仿宋_GB2312" w:cs="仿宋_GB2312"/>
          <w:b/>
          <w:bCs w:val="0"/>
          <w:iCs/>
          <w:color w:val="auto"/>
          <w:kern w:val="0"/>
          <w:sz w:val="32"/>
          <w:szCs w:val="32"/>
        </w:rPr>
      </w:pPr>
      <w:r>
        <w:rPr>
          <w:rStyle w:val="18"/>
          <w:rFonts w:hint="eastAsia" w:ascii="仿宋_GB2312" w:hAnsi="仿宋_GB2312" w:eastAsia="仿宋_GB2312" w:cs="仿宋_GB2312"/>
          <w:b/>
          <w:bCs w:val="0"/>
          <w:iCs/>
          <w:color w:val="auto"/>
          <w:kern w:val="0"/>
          <w:sz w:val="32"/>
          <w:szCs w:val="32"/>
        </w:rPr>
        <w:t>（一）项目决策情况</w:t>
      </w:r>
    </w:p>
    <w:p w14:paraId="375F529A">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6" w:name="_Toc21142"/>
      <w:r>
        <w:rPr>
          <w:rFonts w:hint="eastAsia" w:ascii="仿宋_GB2312" w:hAnsi="仿宋_GB2312" w:eastAsia="仿宋_GB2312" w:cs="仿宋_GB2312"/>
          <w:color w:val="auto"/>
          <w:sz w:val="32"/>
          <w:szCs w:val="32"/>
          <w:highlight w:val="none"/>
          <w:lang w:val="en-US" w:eastAsia="zh-CN"/>
        </w:rPr>
        <w:t>项目决策类指标包括项目立项、绩效目标和资金投入三方面的内容，由6个三级指标构成，权重分值为20分，实际得分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08E242EA">
      <w:pPr>
        <w:pStyle w:val="2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cs="仿宋_GB2312"/>
          <w:b/>
          <w:bCs/>
          <w:color w:val="auto"/>
          <w:sz w:val="32"/>
          <w:szCs w:val="32"/>
          <w:lang w:val="en-US" w:eastAsia="zh-CN"/>
        </w:rPr>
        <w:t>、</w:t>
      </w:r>
      <w:r>
        <w:rPr>
          <w:rFonts w:hint="eastAsia" w:ascii="仿宋_GB2312" w:hAnsi="仿宋_GB2312" w:eastAsia="仿宋_GB2312" w:cs="仿宋_GB2312"/>
          <w:b/>
          <w:bCs/>
          <w:color w:val="auto"/>
          <w:sz w:val="32"/>
          <w:szCs w:val="32"/>
          <w:lang w:val="en-US" w:eastAsia="zh-CN"/>
        </w:rPr>
        <w:t>项目立项</w:t>
      </w:r>
    </w:p>
    <w:p w14:paraId="6BB72FAE">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（1）立项依据充分性</w:t>
      </w:r>
    </w:p>
    <w:p w14:paraId="3E597C9E">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2A763DA">
      <w:pPr>
        <w:numPr>
          <w:ilvl w:val="0"/>
          <w:numId w:val="2"/>
        </w:num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立项程序规范性</w:t>
      </w:r>
    </w:p>
    <w:p w14:paraId="520D3CB5">
      <w:pPr>
        <w:shd w:val="clear"/>
        <w:spacing w:line="600" w:lineRule="exact"/>
        <w:ind w:firstLine="600" w:firstLineChars="200"/>
        <w:outlineLvl w:val="0"/>
        <w:rPr>
          <w:rFonts w:hint="eastAsia" w:ascii="仿宋_GB2312" w:hAnsi="仿宋_GB2312" w:eastAsia="仿宋_GB2312" w:cs="仿宋_GB2312"/>
          <w:color w:val="auto"/>
          <w:sz w:val="32"/>
          <w:szCs w:val="32"/>
          <w:lang w:val="en-US" w:eastAsia="zh-CN"/>
        </w:rPr>
      </w:pPr>
      <w:r>
        <w:rPr>
          <w:rFonts w:hint="eastAsia"/>
          <w:color w:val="auto"/>
          <w:lang w:val="en-US" w:eastAsia="zh-CN"/>
        </w:rPr>
        <w:t xml:space="preserve">  </w:t>
      </w:r>
      <w:r>
        <w:rPr>
          <w:rFonts w:hint="eastAsia" w:ascii="仿宋_GB2312" w:hAnsi="仿宋_GB2312" w:eastAsia="仿宋_GB2312" w:cs="仿宋_GB2312"/>
          <w:color w:val="auto"/>
          <w:sz w:val="32"/>
          <w:szCs w:val="32"/>
        </w:rPr>
        <w:t>项目申请、设立过程符合相关要求，</w:t>
      </w:r>
      <w:r>
        <w:rPr>
          <w:rFonts w:hint="eastAsia" w:ascii="仿宋_GB2312" w:hAnsi="仿宋_GB2312" w:eastAsia="仿宋_GB2312" w:cs="仿宋_GB2312"/>
          <w:color w:val="auto"/>
          <w:sz w:val="32"/>
          <w:szCs w:val="32"/>
          <w:lang w:eastAsia="zh-Hans"/>
        </w:rPr>
        <w:t>严格按照审批流程准备符合要求的文件、材料；</w:t>
      </w:r>
      <w:r>
        <w:rPr>
          <w:rFonts w:hint="eastAsia" w:ascii="仿宋_GB2312" w:hAnsi="仿宋_GB2312" w:eastAsia="仿宋_GB2312" w:cs="仿宋_GB2312"/>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w:t>
      </w:r>
      <w:r>
        <w:rPr>
          <w:rFonts w:hint="eastAsia" w:ascii="仿宋_GB2312" w:hAnsi="仿宋_GB2312" w:cs="仿宋_GB2312"/>
          <w:color w:val="auto"/>
          <w:sz w:val="32"/>
          <w:szCs w:val="32"/>
          <w:lang w:val="en-US" w:eastAsia="zh-CN"/>
        </w:rPr>
        <w:t>等</w:t>
      </w:r>
      <w:r>
        <w:rPr>
          <w:rFonts w:hint="eastAsia" w:ascii="仿宋_GB2312" w:hAnsi="仿宋_GB2312" w:eastAsia="仿宋_GB2312" w:cs="仿宋_GB2312"/>
          <w:color w:val="auto"/>
          <w:sz w:val="32"/>
          <w:szCs w:val="32"/>
          <w:lang w:val="en-US" w:eastAsia="zh-CN"/>
        </w:rPr>
        <w:t>，保障了程序的规范性。</w:t>
      </w:r>
    </w:p>
    <w:p w14:paraId="371D900B">
      <w:pPr>
        <w:pStyle w:val="2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cs="仿宋_GB2312"/>
          <w:b/>
          <w:bCs/>
          <w:color w:val="auto"/>
          <w:sz w:val="32"/>
          <w:szCs w:val="32"/>
          <w:lang w:val="en-US" w:eastAsia="zh-CN"/>
        </w:rPr>
        <w:t>、</w:t>
      </w:r>
      <w:r>
        <w:rPr>
          <w:rFonts w:hint="eastAsia" w:ascii="仿宋_GB2312" w:hAnsi="仿宋_GB2312" w:eastAsia="仿宋_GB2312" w:cs="仿宋_GB2312"/>
          <w:b/>
          <w:bCs/>
          <w:color w:val="auto"/>
          <w:sz w:val="32"/>
          <w:szCs w:val="32"/>
          <w:lang w:val="en-US" w:eastAsia="zh-CN"/>
        </w:rPr>
        <w:t>绩效目标</w:t>
      </w:r>
    </w:p>
    <w:p w14:paraId="4522A628">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（1）绩效目标合理性</w:t>
      </w:r>
    </w:p>
    <w:p w14:paraId="55F9EB89">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年初结合实际工作内容</w:t>
      </w:r>
      <w:r>
        <w:rPr>
          <w:rFonts w:hint="eastAsia" w:ascii="仿宋_GB2312" w:hAnsi="仿宋_GB2312" w:eastAsia="仿宋_GB2312" w:cs="仿宋_GB2312"/>
          <w:color w:val="auto"/>
          <w:sz w:val="32"/>
          <w:szCs w:val="32"/>
          <w:lang w:val="en-US" w:eastAsia="zh-CN"/>
        </w:rPr>
        <w:t>设定绩效目标</w:t>
      </w:r>
      <w:r>
        <w:rPr>
          <w:rFonts w:hint="eastAsia" w:ascii="仿宋_GB2312" w:hAnsi="仿宋_GB2312" w:eastAsia="仿宋_GB2312" w:cs="仿宋_GB2312"/>
          <w:color w:val="auto"/>
          <w:sz w:val="32"/>
          <w:szCs w:val="32"/>
          <w:lang w:val="en-US" w:eastAsia="zh-Hans"/>
        </w:rPr>
        <w:t>，绩效目标</w:t>
      </w:r>
      <w:r>
        <w:rPr>
          <w:rFonts w:hint="eastAsia" w:ascii="仿宋_GB2312" w:hAnsi="仿宋_GB2312" w:eastAsia="仿宋_GB2312" w:cs="仿宋_GB2312"/>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7AAE579">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（2）绩效指标明确性</w:t>
      </w:r>
    </w:p>
    <w:p w14:paraId="23DFB4EA">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200863B">
      <w:pPr>
        <w:pStyle w:val="2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cs="仿宋_GB2312"/>
          <w:b/>
          <w:bCs/>
          <w:color w:val="auto"/>
          <w:sz w:val="32"/>
          <w:szCs w:val="32"/>
          <w:lang w:val="en-US" w:eastAsia="zh-CN"/>
        </w:rPr>
        <w:t>、</w:t>
      </w:r>
      <w:r>
        <w:rPr>
          <w:rFonts w:hint="eastAsia" w:ascii="仿宋_GB2312" w:hAnsi="仿宋_GB2312" w:eastAsia="仿宋_GB2312" w:cs="仿宋_GB2312"/>
          <w:b/>
          <w:bCs/>
          <w:color w:val="auto"/>
          <w:sz w:val="32"/>
          <w:szCs w:val="32"/>
          <w:lang w:val="en-US" w:eastAsia="zh-CN"/>
        </w:rPr>
        <w:t>资金投入</w:t>
      </w:r>
    </w:p>
    <w:p w14:paraId="6ABB35BD">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（1）预算编制科学性</w:t>
      </w:r>
    </w:p>
    <w:p w14:paraId="24D461A8">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预算编制经过科学论证，提供充分的测算依据佐证资料，预算内容与项目内容相匹配。项目投资额与工作任务相匹配。</w:t>
      </w:r>
    </w:p>
    <w:p w14:paraId="033D79A9">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（2）资金分配合理性</w:t>
      </w:r>
    </w:p>
    <w:p w14:paraId="69252C59">
      <w:pPr>
        <w:shd w:val="clear"/>
        <w:spacing w:line="600" w:lineRule="exact"/>
        <w:ind w:firstLine="640" w:firstLineChars="200"/>
        <w:outlineLvl w:val="0"/>
        <w:rPr>
          <w:rFonts w:hint="eastAsia"/>
          <w:color w:val="auto"/>
        </w:rPr>
      </w:pPr>
      <w:r>
        <w:rPr>
          <w:rFonts w:hint="eastAsia" w:ascii="仿宋_GB2312" w:hAnsi="仿宋_GB2312" w:eastAsia="仿宋_GB2312" w:cs="仿宋_GB2312"/>
          <w:color w:val="auto"/>
          <w:sz w:val="32"/>
          <w:szCs w:val="32"/>
          <w:lang w:val="en-US" w:eastAsia="zh-CN"/>
        </w:rPr>
        <w:t>资金分配额度与项目单位实际工作内容相适应，资金分配额度合理，资金分配依据充分。</w:t>
      </w:r>
    </w:p>
    <w:bookmarkEnd w:id="16"/>
    <w:p w14:paraId="3AB9710D">
      <w:pPr>
        <w:pStyle w:val="4"/>
        <w:keepLines w:val="0"/>
        <w:pageBreakBefore w:val="0"/>
        <w:widowControl/>
        <w:numPr>
          <w:ilvl w:val="0"/>
          <w:numId w:val="3"/>
        </w:numPr>
        <w:kinsoku/>
        <w:wordWrap/>
        <w:overflowPunct/>
        <w:topLinePunct w:val="0"/>
        <w:autoSpaceDE/>
        <w:autoSpaceDN/>
        <w:bidi w:val="0"/>
        <w:adjustRightInd/>
        <w:snapToGrid/>
        <w:spacing w:before="0" w:after="0" w:line="560" w:lineRule="exact"/>
        <w:ind w:firstLine="643"/>
        <w:jc w:val="left"/>
        <w:textAlignment w:val="auto"/>
        <w:rPr>
          <w:rStyle w:val="18"/>
          <w:rFonts w:hint="eastAsia" w:ascii="仿宋_GB2312" w:hAnsi="仿宋_GB2312" w:eastAsia="仿宋_GB2312" w:cs="仿宋_GB2312"/>
          <w:b/>
          <w:bCs w:val="0"/>
          <w:iCs/>
          <w:color w:val="auto"/>
          <w:kern w:val="0"/>
          <w:sz w:val="32"/>
          <w:szCs w:val="32"/>
        </w:rPr>
      </w:pPr>
      <w:r>
        <w:rPr>
          <w:rStyle w:val="18"/>
          <w:rFonts w:hint="eastAsia" w:ascii="仿宋_GB2312" w:hAnsi="仿宋_GB2312" w:eastAsia="仿宋_GB2312" w:cs="仿宋_GB2312"/>
          <w:b/>
          <w:bCs w:val="0"/>
          <w:iCs/>
          <w:color w:val="auto"/>
          <w:kern w:val="0"/>
          <w:sz w:val="32"/>
          <w:szCs w:val="32"/>
        </w:rPr>
        <w:t>项目过程情况</w:t>
      </w:r>
      <w:bookmarkStart w:id="17" w:name="_Toc9804"/>
    </w:p>
    <w:p w14:paraId="4AAAC0E8">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项目过程类指标包括资金管理和组织实施两方面的内容，由</w:t>
      </w:r>
      <w:r>
        <w:rPr>
          <w:rFonts w:hint="eastAsia" w:ascii="仿宋_GB2312" w:hAnsi="仿宋_GB2312" w:eastAsia="仿宋_GB2312" w:cs="仿宋_GB2312"/>
          <w:color w:val="auto"/>
          <w:sz w:val="32"/>
          <w:szCs w:val="32"/>
          <w:highlight w:val="none"/>
          <w:lang w:val="en-US" w:eastAsia="zh-CN"/>
        </w:rPr>
        <w:t>5个</w:t>
      </w:r>
      <w:r>
        <w:rPr>
          <w:rFonts w:hint="eastAsia" w:ascii="仿宋_GB2312" w:hAnsi="仿宋_GB2312" w:eastAsia="仿宋_GB2312" w:cs="仿宋_GB2312"/>
          <w:color w:val="auto"/>
          <w:sz w:val="32"/>
          <w:szCs w:val="32"/>
          <w:lang w:val="en-US" w:eastAsia="zh-CN"/>
        </w:rPr>
        <w:t>三级指标构成，权重分值为20分，实际得分19分，得分率为95%。</w:t>
      </w:r>
    </w:p>
    <w:p w14:paraId="31BDDF0E">
      <w:pPr>
        <w:pStyle w:val="4"/>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bookmarkEnd w:id="17"/>
    </w:p>
    <w:p w14:paraId="399A6603">
      <w:pPr>
        <w:pStyle w:val="26"/>
        <w:keepNext w:val="0"/>
        <w:keepLines w:val="0"/>
        <w:pageBreakBefore w:val="0"/>
        <w:widowControl w:val="0"/>
        <w:shd w:val="clear"/>
        <w:kinsoku/>
        <w:wordWrap/>
        <w:overflowPunct/>
        <w:topLinePunct w:val="0"/>
        <w:autoSpaceDE/>
        <w:autoSpaceDN/>
        <w:bidi w:val="0"/>
        <w:adjustRightInd/>
        <w:snapToGrid/>
        <w:spacing w:line="560" w:lineRule="exact"/>
        <w:ind w:firstLine="531" w:firstLineChars="166"/>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val="0"/>
          <w:bCs w:val="0"/>
          <w:color w:val="auto"/>
          <w:kern w:val="2"/>
          <w:sz w:val="32"/>
          <w:szCs w:val="32"/>
          <w:lang w:val="en-US" w:eastAsia="zh-CN" w:bidi="ar-SA"/>
        </w:rPr>
        <w:t xml:space="preserve"> </w:t>
      </w:r>
      <w:r>
        <w:rPr>
          <w:rFonts w:hint="eastAsia" w:ascii="仿宋_GB2312" w:hAnsi="仿宋_GB2312" w:eastAsia="仿宋_GB2312" w:cs="仿宋_GB2312"/>
          <w:b/>
          <w:bCs/>
          <w:color w:val="auto"/>
          <w:sz w:val="32"/>
          <w:szCs w:val="32"/>
          <w:lang w:val="en-US" w:eastAsia="zh-CN"/>
        </w:rPr>
        <w:t>1.资金管理</w:t>
      </w:r>
    </w:p>
    <w:p w14:paraId="23C1FEEA">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（1）资金到位率</w:t>
      </w:r>
    </w:p>
    <w:p w14:paraId="761AEE36">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63.5</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14:paraId="63112149">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14:paraId="5263935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62.63</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eastAsia="仿宋_GB2312" w:cs="仿宋_GB2312"/>
          <w:b w:val="0"/>
          <w:bCs w:val="0"/>
          <w:color w:val="auto"/>
          <w:sz w:val="32"/>
          <w:szCs w:val="32"/>
          <w:highlight w:val="none"/>
          <w:lang w:val="en-US" w:eastAsia="zh-CN"/>
        </w:rPr>
        <w:t>98.63</w:t>
      </w:r>
      <w:r>
        <w:rPr>
          <w:rFonts w:hint="eastAsia" w:ascii="仿宋_GB2312" w:hAnsi="仿宋_GB2312" w:eastAsia="仿宋_GB2312" w:cs="仿宋_GB2312"/>
          <w:color w:val="auto"/>
          <w:sz w:val="32"/>
          <w:szCs w:val="32"/>
          <w:highlight w:val="none"/>
          <w:lang w:val="en-US" w:eastAsia="zh-CN"/>
        </w:rPr>
        <w:t>%。</w:t>
      </w:r>
    </w:p>
    <w:p w14:paraId="2DE8105D">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（3）资金使用合规性</w:t>
      </w:r>
    </w:p>
    <w:p w14:paraId="4A0C0C7B">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7E32ECF">
      <w:pPr>
        <w:pStyle w:val="2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2.组织实施</w:t>
      </w:r>
    </w:p>
    <w:p w14:paraId="293F4FC0">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（1）管理制度健全性</w:t>
      </w:r>
    </w:p>
    <w:p w14:paraId="2B30F229">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F2752DF">
      <w:pPr>
        <w:shd w:val="clear"/>
        <w:spacing w:line="600" w:lineRule="exact"/>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（2）制度执行有效性</w:t>
      </w:r>
    </w:p>
    <w:p w14:paraId="464B9091">
      <w:pPr>
        <w:shd w:val="clear"/>
        <w:spacing w:line="600" w:lineRule="exact"/>
        <w:ind w:firstLine="640" w:firstLineChars="200"/>
        <w:outlineLvl w:val="0"/>
        <w:rPr>
          <w:rStyle w:val="18"/>
          <w:rFonts w:hint="eastAsia" w:ascii="仿宋_GB2312" w:hAnsi="仿宋_GB2312" w:eastAsia="仿宋_GB2312" w:cs="仿宋_GB2312"/>
          <w:b/>
          <w:bCs w:val="0"/>
          <w:iCs/>
          <w:color w:val="auto"/>
          <w:kern w:val="0"/>
          <w:sz w:val="32"/>
          <w:szCs w:val="32"/>
        </w:rPr>
      </w:pPr>
      <w:r>
        <w:rPr>
          <w:rFonts w:hint="eastAsia" w:ascii="仿宋_GB2312" w:hAnsi="仿宋_GB2312" w:eastAsia="仿宋_GB2312" w:cs="仿宋_GB2312"/>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25605B74">
      <w:pPr>
        <w:pStyle w:val="4"/>
        <w:keepLines w:val="0"/>
        <w:pageBreakBefore w:val="0"/>
        <w:widowControl/>
        <w:kinsoku/>
        <w:wordWrap/>
        <w:overflowPunct/>
        <w:topLinePunct w:val="0"/>
        <w:autoSpaceDE/>
        <w:autoSpaceDN/>
        <w:bidi w:val="0"/>
        <w:adjustRightInd/>
        <w:snapToGrid/>
        <w:spacing w:before="0" w:after="0" w:line="560" w:lineRule="exact"/>
        <w:ind w:firstLine="643"/>
        <w:jc w:val="left"/>
        <w:textAlignment w:val="auto"/>
        <w:rPr>
          <w:rStyle w:val="18"/>
          <w:rFonts w:hint="eastAsia" w:ascii="仿宋_GB2312" w:hAnsi="仿宋_GB2312" w:eastAsia="仿宋_GB2312" w:cs="仿宋_GB2312"/>
          <w:b/>
          <w:bCs w:val="0"/>
          <w:iCs/>
          <w:color w:val="auto"/>
          <w:kern w:val="0"/>
          <w:sz w:val="32"/>
          <w:szCs w:val="32"/>
          <w:lang w:eastAsia="zh-CN"/>
        </w:rPr>
      </w:pPr>
      <w:r>
        <w:rPr>
          <w:rStyle w:val="18"/>
          <w:rFonts w:hint="eastAsia" w:ascii="仿宋_GB2312" w:hAnsi="仿宋_GB2312" w:eastAsia="仿宋_GB2312" w:cs="仿宋_GB2312"/>
          <w:b/>
          <w:bCs w:val="0"/>
          <w:iCs/>
          <w:color w:val="auto"/>
          <w:kern w:val="0"/>
          <w:sz w:val="32"/>
          <w:szCs w:val="32"/>
        </w:rPr>
        <w:t>（三）项目产出</w:t>
      </w:r>
      <w:r>
        <w:rPr>
          <w:rStyle w:val="18"/>
          <w:rFonts w:hint="eastAsia" w:ascii="仿宋_GB2312" w:hAnsi="仿宋_GB2312" w:eastAsia="仿宋_GB2312" w:cs="仿宋_GB2312"/>
          <w:b/>
          <w:bCs w:val="0"/>
          <w:iCs/>
          <w:color w:val="auto"/>
          <w:kern w:val="0"/>
          <w:sz w:val="32"/>
          <w:szCs w:val="32"/>
          <w:lang w:eastAsia="zh-CN"/>
        </w:rPr>
        <w:t>情况</w:t>
      </w:r>
    </w:p>
    <w:p w14:paraId="4561F9DA">
      <w:pPr>
        <w:shd w:val="clear"/>
        <w:spacing w:line="600" w:lineRule="exact"/>
        <w:ind w:firstLine="640" w:firstLineChars="200"/>
        <w:outlineLvl w:val="0"/>
        <w:rPr>
          <w:rFonts w:hint="eastAsia"/>
          <w:color w:val="auto"/>
          <w:sz w:val="32"/>
          <w:szCs w:val="28"/>
        </w:rPr>
      </w:pPr>
      <w:r>
        <w:rPr>
          <w:rFonts w:hint="eastAsia" w:ascii="仿宋_GB2312" w:hAnsi="仿宋_GB2312" w:eastAsia="仿宋_GB2312" w:cs="仿宋_GB2312"/>
          <w:color w:val="auto"/>
          <w:sz w:val="32"/>
          <w:szCs w:val="32"/>
          <w:lang w:val="en-US" w:eastAsia="zh-CN"/>
        </w:rPr>
        <w:t>项目产出类指标包括产出数量、产出质量、产出时效、产出成本四方面的内容</w:t>
      </w:r>
      <w:r>
        <w:rPr>
          <w:rFonts w:hint="eastAsia" w:ascii="仿宋_GB2312" w:hAnsi="仿宋_GB2312" w:eastAsia="仿宋_GB2312" w:cs="仿宋_GB2312"/>
          <w:color w:val="auto"/>
          <w:sz w:val="32"/>
          <w:szCs w:val="32"/>
          <w:highlight w:val="none"/>
          <w:lang w:val="en-US" w:eastAsia="zh-CN"/>
        </w:rPr>
        <w:t>，由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w:t>
      </w:r>
      <w:r>
        <w:rPr>
          <w:rFonts w:hint="eastAsia" w:ascii="仿宋_GB2312" w:hAnsi="仿宋_GB2312" w:eastAsia="仿宋_GB2312" w:cs="仿宋_GB2312"/>
          <w:color w:val="auto"/>
          <w:sz w:val="32"/>
          <w:szCs w:val="32"/>
          <w:lang w:val="en-US" w:eastAsia="zh-CN"/>
        </w:rPr>
        <w:t>体产出指标完成情况如下：</w:t>
      </w:r>
    </w:p>
    <w:p w14:paraId="619211CD">
      <w:pPr>
        <w:shd w:val="clear"/>
        <w:spacing w:line="600" w:lineRule="exact"/>
        <w:ind w:firstLine="640" w:firstLineChars="200"/>
        <w:outlineLvl w:val="0"/>
        <w:rPr>
          <w:rFonts w:hint="eastAsia"/>
          <w:color w:val="auto"/>
          <w:sz w:val="32"/>
          <w:szCs w:val="28"/>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14:paraId="7D831FD7">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eastAsia="zh-CN"/>
        </w:rPr>
      </w:pPr>
      <w:r>
        <w:rPr>
          <w:rFonts w:hint="eastAsia"/>
          <w:color w:val="auto"/>
          <w:sz w:val="32"/>
          <w:szCs w:val="28"/>
          <w:lang w:eastAsia="zh-CN"/>
        </w:rPr>
        <w:t>指标</w:t>
      </w:r>
      <w:r>
        <w:rPr>
          <w:rFonts w:hint="eastAsia"/>
          <w:color w:val="auto"/>
          <w:sz w:val="32"/>
          <w:szCs w:val="28"/>
          <w:lang w:val="en-US" w:eastAsia="zh-CN"/>
        </w:rPr>
        <w:t>1：</w:t>
      </w:r>
      <w:r>
        <w:rPr>
          <w:rFonts w:hint="eastAsia"/>
          <w:color w:val="auto"/>
          <w:sz w:val="32"/>
          <w:szCs w:val="28"/>
          <w:lang w:eastAsia="zh-CN"/>
        </w:rPr>
        <w:t>报考人数，</w:t>
      </w:r>
      <w:r>
        <w:rPr>
          <w:rFonts w:hint="eastAsia"/>
          <w:color w:val="auto"/>
          <w:sz w:val="32"/>
          <w:szCs w:val="28"/>
        </w:rPr>
        <w:t>指标</w:t>
      </w:r>
      <w:r>
        <w:rPr>
          <w:rFonts w:hint="eastAsia"/>
          <w:color w:val="auto"/>
          <w:sz w:val="32"/>
          <w:szCs w:val="28"/>
          <w:lang w:eastAsia="zh-CN"/>
        </w:rPr>
        <w:t>值：&gt;=</w:t>
      </w:r>
      <w:r>
        <w:rPr>
          <w:rFonts w:hint="eastAsia"/>
          <w:color w:val="auto"/>
          <w:sz w:val="32"/>
          <w:szCs w:val="28"/>
          <w:lang w:val="en-US" w:eastAsia="zh-CN"/>
        </w:rPr>
        <w:t>10000人</w:t>
      </w:r>
      <w:r>
        <w:rPr>
          <w:rFonts w:hint="eastAsia"/>
          <w:color w:val="auto"/>
          <w:sz w:val="32"/>
          <w:szCs w:val="28"/>
        </w:rPr>
        <w:t>，实际完成值</w:t>
      </w:r>
      <w:r>
        <w:rPr>
          <w:rFonts w:hint="eastAsia"/>
          <w:color w:val="auto"/>
          <w:sz w:val="32"/>
          <w:szCs w:val="28"/>
          <w:lang w:eastAsia="zh-CN"/>
        </w:rPr>
        <w:t>：</w:t>
      </w:r>
      <w:r>
        <w:rPr>
          <w:rFonts w:hint="eastAsia"/>
          <w:color w:val="auto"/>
          <w:sz w:val="32"/>
          <w:szCs w:val="28"/>
          <w:lang w:val="en-US" w:eastAsia="zh-CN"/>
        </w:rPr>
        <w:t>=14260人</w:t>
      </w:r>
      <w:r>
        <w:rPr>
          <w:rFonts w:hint="eastAsia"/>
          <w:color w:val="auto"/>
          <w:sz w:val="32"/>
          <w:szCs w:val="28"/>
        </w:rPr>
        <w:t>，指标完成率100%，无偏差</w:t>
      </w:r>
      <w:r>
        <w:rPr>
          <w:rFonts w:hint="eastAsia"/>
          <w:color w:val="auto"/>
          <w:sz w:val="32"/>
          <w:szCs w:val="28"/>
          <w:lang w:eastAsia="zh-CN"/>
        </w:rPr>
        <w:t>。</w:t>
      </w:r>
    </w:p>
    <w:p w14:paraId="5C521CE3">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eastAsia="zh-CN"/>
        </w:rPr>
        <w:t>指标</w:t>
      </w:r>
      <w:r>
        <w:rPr>
          <w:rFonts w:hint="eastAsia"/>
          <w:color w:val="auto"/>
          <w:sz w:val="32"/>
          <w:szCs w:val="28"/>
          <w:lang w:val="en-US" w:eastAsia="zh-CN"/>
        </w:rPr>
        <w:t>2：</w:t>
      </w:r>
      <w:r>
        <w:rPr>
          <w:rFonts w:hint="eastAsia"/>
          <w:color w:val="auto"/>
          <w:sz w:val="32"/>
          <w:szCs w:val="28"/>
          <w:lang w:eastAsia="zh-CN"/>
        </w:rPr>
        <w:t>缴费人数，指标值：&gt;=</w:t>
      </w:r>
      <w:r>
        <w:rPr>
          <w:rFonts w:hint="eastAsia"/>
          <w:color w:val="auto"/>
          <w:sz w:val="32"/>
          <w:szCs w:val="28"/>
          <w:lang w:val="en-US" w:eastAsia="zh-CN"/>
        </w:rPr>
        <w:t>10000人，指标完成值：=14260人，</w:t>
      </w:r>
      <w:r>
        <w:rPr>
          <w:rFonts w:hint="eastAsia"/>
          <w:color w:val="auto"/>
          <w:sz w:val="32"/>
          <w:szCs w:val="28"/>
        </w:rPr>
        <w:t>指标完成率100%，无偏差</w:t>
      </w:r>
      <w:r>
        <w:rPr>
          <w:rFonts w:hint="eastAsia"/>
          <w:color w:val="auto"/>
          <w:sz w:val="32"/>
          <w:szCs w:val="28"/>
          <w:lang w:val="en-US" w:eastAsia="zh-CN"/>
        </w:rPr>
        <w:t>。</w:t>
      </w:r>
    </w:p>
    <w:p w14:paraId="78C1E372">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lang w:val="en-US" w:eastAsia="zh-CN"/>
        </w:rPr>
        <w:t>指标3：</w:t>
      </w:r>
      <w:r>
        <w:rPr>
          <w:rFonts w:hint="eastAsia"/>
          <w:color w:val="auto"/>
          <w:sz w:val="32"/>
          <w:szCs w:val="28"/>
          <w:lang w:eastAsia="zh-CN"/>
        </w:rPr>
        <w:t>考场考次，指标值&lt;=</w:t>
      </w:r>
      <w:r>
        <w:rPr>
          <w:rFonts w:hint="eastAsia"/>
          <w:color w:val="auto"/>
          <w:sz w:val="32"/>
          <w:szCs w:val="28"/>
          <w:lang w:val="en-US" w:eastAsia="zh-CN"/>
        </w:rPr>
        <w:t>3批次，实际完成值：=3批次，</w:t>
      </w:r>
      <w:r>
        <w:rPr>
          <w:rFonts w:hint="eastAsia"/>
          <w:color w:val="auto"/>
          <w:sz w:val="32"/>
          <w:szCs w:val="28"/>
        </w:rPr>
        <w:t>指标完成率100%，无偏差。</w:t>
      </w:r>
    </w:p>
    <w:p w14:paraId="38E1DF33">
      <w:pPr>
        <w:shd w:val="clear"/>
        <w:spacing w:line="600" w:lineRule="exact"/>
        <w:ind w:firstLine="640" w:firstLineChars="200"/>
        <w:outlineLvl w:val="0"/>
        <w:rPr>
          <w:rFonts w:hint="eastAsia"/>
          <w:color w:val="auto"/>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14:paraId="3D8AC639">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lang w:eastAsia="zh-CN"/>
        </w:rPr>
        <w:t>职业资格率</w:t>
      </w:r>
      <w:r>
        <w:rPr>
          <w:rFonts w:hint="eastAsia"/>
          <w:color w:val="auto"/>
          <w:sz w:val="32"/>
          <w:szCs w:val="28"/>
        </w:rPr>
        <w:t>，指标值</w:t>
      </w:r>
      <w:r>
        <w:rPr>
          <w:rFonts w:hint="eastAsia"/>
          <w:color w:val="auto"/>
          <w:sz w:val="32"/>
          <w:szCs w:val="28"/>
          <w:lang w:val="en-US" w:eastAsia="zh-CN"/>
        </w:rPr>
        <w:t>:=100%</w:t>
      </w:r>
      <w:r>
        <w:rPr>
          <w:rFonts w:hint="eastAsia"/>
          <w:color w:val="auto"/>
          <w:sz w:val="32"/>
          <w:szCs w:val="28"/>
        </w:rPr>
        <w:t>，实际完成值</w:t>
      </w:r>
      <w:r>
        <w:rPr>
          <w:rFonts w:hint="eastAsia"/>
          <w:color w:val="auto"/>
          <w:sz w:val="32"/>
          <w:szCs w:val="28"/>
          <w:lang w:val="en-US" w:eastAsia="zh-CN"/>
        </w:rPr>
        <w:t>:=</w:t>
      </w:r>
      <w:r>
        <w:rPr>
          <w:rFonts w:hint="eastAsia"/>
          <w:color w:val="auto"/>
          <w:sz w:val="32"/>
          <w:szCs w:val="28"/>
        </w:rPr>
        <w:t>100%，</w:t>
      </w:r>
      <w:r>
        <w:rPr>
          <w:rFonts w:hint="eastAsia"/>
          <w:color w:val="auto"/>
          <w:sz w:val="32"/>
          <w:szCs w:val="28"/>
          <w:lang w:eastAsia="zh-CN"/>
        </w:rPr>
        <w:t>指标</w:t>
      </w:r>
      <w:r>
        <w:rPr>
          <w:rFonts w:hint="eastAsia"/>
          <w:color w:val="auto"/>
          <w:sz w:val="32"/>
          <w:szCs w:val="28"/>
        </w:rPr>
        <w:t>完成率100%，无偏差。</w:t>
      </w:r>
    </w:p>
    <w:p w14:paraId="7F1564B8">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14:paraId="09206DB5">
      <w:pPr>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auto"/>
          <w:sz w:val="32"/>
          <w:szCs w:val="28"/>
          <w:lang w:eastAsia="zh-CN"/>
        </w:rPr>
      </w:pPr>
      <w:r>
        <w:rPr>
          <w:rFonts w:hint="eastAsia"/>
          <w:color w:val="auto"/>
          <w:sz w:val="32"/>
          <w:szCs w:val="28"/>
          <w:lang w:eastAsia="zh-CN"/>
        </w:rPr>
        <w:t>考试按期完成率</w:t>
      </w:r>
      <w:r>
        <w:rPr>
          <w:rFonts w:hint="eastAsia"/>
          <w:color w:val="auto"/>
          <w:sz w:val="32"/>
          <w:szCs w:val="28"/>
        </w:rPr>
        <w:t>，</w:t>
      </w:r>
      <w:r>
        <w:rPr>
          <w:rFonts w:hint="eastAsia"/>
          <w:color w:val="auto"/>
          <w:sz w:val="32"/>
          <w:szCs w:val="28"/>
          <w:lang w:eastAsia="zh-CN"/>
        </w:rPr>
        <w:t>指标值</w:t>
      </w:r>
      <w:r>
        <w:rPr>
          <w:rFonts w:hint="eastAsia"/>
          <w:color w:val="auto"/>
          <w:sz w:val="32"/>
          <w:szCs w:val="28"/>
          <w:lang w:val="en-US" w:eastAsia="zh-CN"/>
        </w:rPr>
        <w:t>:=100%</w:t>
      </w:r>
      <w:r>
        <w:rPr>
          <w:rFonts w:hint="eastAsia"/>
          <w:color w:val="auto"/>
          <w:sz w:val="32"/>
          <w:szCs w:val="28"/>
        </w:rPr>
        <w:t>，实际完成值</w:t>
      </w:r>
      <w:r>
        <w:rPr>
          <w:rFonts w:hint="eastAsia"/>
          <w:color w:val="auto"/>
          <w:sz w:val="32"/>
          <w:szCs w:val="28"/>
          <w:lang w:val="en-US" w:eastAsia="zh-CN"/>
        </w:rPr>
        <w:t>:=</w:t>
      </w:r>
      <w:r>
        <w:rPr>
          <w:rFonts w:hint="eastAsia"/>
          <w:color w:val="auto"/>
          <w:sz w:val="32"/>
          <w:szCs w:val="28"/>
        </w:rPr>
        <w:t>100%，</w:t>
      </w:r>
      <w:r>
        <w:rPr>
          <w:rFonts w:hint="eastAsia"/>
          <w:color w:val="auto"/>
          <w:sz w:val="32"/>
          <w:szCs w:val="28"/>
          <w:lang w:eastAsia="zh-CN"/>
        </w:rPr>
        <w:t>指标</w:t>
      </w:r>
      <w:r>
        <w:rPr>
          <w:rFonts w:hint="eastAsia"/>
          <w:color w:val="auto"/>
          <w:sz w:val="32"/>
          <w:szCs w:val="28"/>
        </w:rPr>
        <w:t>完成率100%，无偏差</w:t>
      </w:r>
      <w:r>
        <w:rPr>
          <w:rFonts w:hint="eastAsia"/>
          <w:color w:val="auto"/>
          <w:sz w:val="32"/>
          <w:szCs w:val="28"/>
          <w:lang w:eastAsia="zh-CN"/>
        </w:rPr>
        <w:t>。</w:t>
      </w:r>
    </w:p>
    <w:p w14:paraId="1912A713">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14:paraId="6088B81B">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eastAsia="zh-CN"/>
        </w:rPr>
        <w:t>指标</w:t>
      </w:r>
      <w:r>
        <w:rPr>
          <w:rFonts w:hint="eastAsia"/>
          <w:color w:val="auto"/>
          <w:sz w:val="32"/>
          <w:szCs w:val="28"/>
          <w:lang w:val="en-US" w:eastAsia="zh-CN"/>
        </w:rPr>
        <w:t>1</w:t>
      </w:r>
      <w:r>
        <w:rPr>
          <w:rFonts w:hint="eastAsia"/>
          <w:color w:val="auto"/>
          <w:sz w:val="32"/>
          <w:szCs w:val="28"/>
        </w:rPr>
        <w:t>：</w:t>
      </w:r>
      <w:r>
        <w:rPr>
          <w:rFonts w:hint="eastAsia"/>
          <w:color w:val="auto"/>
          <w:sz w:val="32"/>
          <w:szCs w:val="28"/>
          <w:lang w:eastAsia="zh-CN"/>
        </w:rPr>
        <w:t>场地租赁费，指标值</w:t>
      </w:r>
      <w:r>
        <w:rPr>
          <w:rFonts w:hint="eastAsia"/>
          <w:color w:val="auto"/>
          <w:sz w:val="32"/>
          <w:szCs w:val="28"/>
          <w:lang w:val="en-US" w:eastAsia="zh-CN"/>
        </w:rPr>
        <w:t>:&lt;=41.70万元，实际完成值:=41.70万元，指标完成率100%，无偏差。</w:t>
      </w:r>
    </w:p>
    <w:p w14:paraId="538A3B04">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lang w:val="en-US" w:eastAsia="zh-CN"/>
        </w:rPr>
      </w:pPr>
      <w:r>
        <w:rPr>
          <w:rFonts w:hint="eastAsia"/>
          <w:color w:val="auto"/>
          <w:sz w:val="32"/>
          <w:szCs w:val="28"/>
          <w:lang w:val="en-US" w:eastAsia="zh-CN"/>
        </w:rPr>
        <w:t>指标2：支付考务费，</w:t>
      </w:r>
      <w:r>
        <w:rPr>
          <w:rFonts w:hint="eastAsia"/>
          <w:color w:val="auto"/>
          <w:sz w:val="32"/>
          <w:szCs w:val="28"/>
          <w:lang w:eastAsia="zh-CN"/>
        </w:rPr>
        <w:t>指标值</w:t>
      </w:r>
      <w:r>
        <w:rPr>
          <w:rFonts w:hint="eastAsia"/>
          <w:color w:val="auto"/>
          <w:sz w:val="32"/>
          <w:szCs w:val="28"/>
          <w:lang w:val="en-US" w:eastAsia="zh-CN"/>
        </w:rPr>
        <w:t>:</w:t>
      </w:r>
      <w:r>
        <w:rPr>
          <w:rFonts w:hint="eastAsia"/>
          <w:color w:val="auto"/>
          <w:sz w:val="32"/>
          <w:szCs w:val="28"/>
          <w:lang w:eastAsia="zh-CN"/>
        </w:rPr>
        <w:t>&lt;=</w:t>
      </w:r>
      <w:r>
        <w:rPr>
          <w:rFonts w:hint="eastAsia"/>
          <w:color w:val="auto"/>
          <w:sz w:val="32"/>
          <w:szCs w:val="28"/>
          <w:lang w:val="en-US" w:eastAsia="zh-CN"/>
        </w:rPr>
        <w:t>16.80万元，实际完成值:=16.80万元，指标完成率100%，无偏差。</w:t>
      </w:r>
    </w:p>
    <w:p w14:paraId="4DFB420C">
      <w:pPr>
        <w:pageBreakBefore w:val="0"/>
        <w:widowControl w:val="0"/>
        <w:kinsoku/>
        <w:wordWrap/>
        <w:overflowPunct/>
        <w:topLinePunct w:val="0"/>
        <w:autoSpaceDE/>
        <w:autoSpaceDN/>
        <w:bidi w:val="0"/>
        <w:adjustRightInd/>
        <w:snapToGrid/>
        <w:spacing w:line="560" w:lineRule="exact"/>
        <w:ind w:firstLine="640"/>
        <w:textAlignment w:val="auto"/>
        <w:rPr>
          <w:rFonts w:hint="default"/>
          <w:color w:val="auto"/>
          <w:sz w:val="32"/>
          <w:szCs w:val="28"/>
          <w:lang w:val="en-US"/>
        </w:rPr>
      </w:pPr>
      <w:r>
        <w:rPr>
          <w:rFonts w:hint="eastAsia"/>
          <w:color w:val="auto"/>
          <w:sz w:val="32"/>
          <w:szCs w:val="28"/>
          <w:lang w:val="en-US" w:eastAsia="zh-CN"/>
        </w:rPr>
        <w:t>指标3：其他费用支出，</w:t>
      </w:r>
      <w:r>
        <w:rPr>
          <w:rFonts w:hint="eastAsia"/>
          <w:color w:val="auto"/>
          <w:sz w:val="32"/>
          <w:szCs w:val="28"/>
          <w:lang w:eastAsia="zh-CN"/>
        </w:rPr>
        <w:t>指标值</w:t>
      </w:r>
      <w:r>
        <w:rPr>
          <w:rFonts w:hint="eastAsia"/>
          <w:color w:val="auto"/>
          <w:sz w:val="32"/>
          <w:szCs w:val="28"/>
          <w:lang w:val="en-US" w:eastAsia="zh-CN"/>
        </w:rPr>
        <w:t>:&lt;=5万元，实际完成值:=4.13万元，指标完成率83%。偏差原因：根据《关于2023年下半年计算机软件资格考试有关工作的调整的通知》工信教〔2023〕42号文件要求，全疆考试方式均由笔试改革为计算机化考试（机考），因此节省了年初预算安排的下半年邮寄试卷的机要费。</w:t>
      </w:r>
    </w:p>
    <w:p w14:paraId="0F67F503">
      <w:pPr>
        <w:keepLines w:val="0"/>
        <w:pageBreakBefore w:val="0"/>
        <w:kinsoku/>
        <w:wordWrap/>
        <w:overflowPunct/>
        <w:topLinePunct w:val="0"/>
        <w:autoSpaceDE/>
        <w:autoSpaceDN/>
        <w:bidi w:val="0"/>
        <w:adjustRightInd/>
        <w:snapToGrid/>
        <w:spacing w:line="560" w:lineRule="exact"/>
        <w:ind w:firstLine="643"/>
        <w:textAlignment w:val="auto"/>
        <w:rPr>
          <w:rStyle w:val="18"/>
          <w:rFonts w:hint="eastAsia" w:ascii="仿宋_GB2312" w:hAnsi="仿宋_GB2312" w:eastAsia="仿宋_GB2312" w:cs="仿宋_GB2312"/>
          <w:color w:val="auto"/>
          <w:sz w:val="32"/>
          <w:szCs w:val="32"/>
          <w:lang w:eastAsia="zh-CN"/>
        </w:rPr>
      </w:pPr>
      <w:r>
        <w:rPr>
          <w:rStyle w:val="18"/>
          <w:rFonts w:hint="eastAsia" w:ascii="仿宋_GB2312" w:hAnsi="仿宋_GB2312" w:eastAsia="仿宋_GB2312" w:cs="仿宋_GB2312"/>
          <w:color w:val="auto"/>
          <w:sz w:val="32"/>
          <w:szCs w:val="32"/>
        </w:rPr>
        <w:t>（四）项目效益</w:t>
      </w:r>
      <w:r>
        <w:rPr>
          <w:rStyle w:val="18"/>
          <w:rFonts w:hint="eastAsia" w:ascii="仿宋_GB2312" w:hAnsi="仿宋_GB2312" w:cs="仿宋_GB2312"/>
          <w:color w:val="auto"/>
          <w:sz w:val="32"/>
          <w:szCs w:val="32"/>
          <w:lang w:eastAsia="zh-CN"/>
        </w:rPr>
        <w:t>情况</w:t>
      </w:r>
    </w:p>
    <w:p w14:paraId="14CBB86A">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个三级指标构成，权重分为</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14:paraId="6394858A">
      <w:pPr>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color w:val="auto"/>
          <w:sz w:val="32"/>
          <w:szCs w:val="28"/>
          <w:highlight w:val="none"/>
          <w:lang w:val="en-US" w:eastAsia="zh-CN"/>
        </w:rPr>
      </w:pPr>
      <w:r>
        <w:rPr>
          <w:rFonts w:hint="eastAsia"/>
          <w:color w:val="auto"/>
          <w:sz w:val="32"/>
          <w:szCs w:val="28"/>
          <w:highlight w:val="none"/>
          <w:lang w:val="en-US" w:eastAsia="zh-CN"/>
        </w:rPr>
        <w:t>1.实际效益</w:t>
      </w:r>
    </w:p>
    <w:p w14:paraId="1DFD77DC">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经济效益指标：</w:t>
      </w:r>
    </w:p>
    <w:p w14:paraId="693C20BC">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我培训中心本年度未安排经济效益指标。</w:t>
      </w:r>
    </w:p>
    <w:p w14:paraId="6ADB1CBF">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rPr>
        <w:t>社会效益指标：</w:t>
      </w:r>
    </w:p>
    <w:p w14:paraId="0D0BB64E">
      <w:pPr>
        <w:pageBreakBefore w:val="0"/>
        <w:widowControl w:val="0"/>
        <w:kinsoku/>
        <w:wordWrap/>
        <w:overflowPunct/>
        <w:topLinePunct w:val="0"/>
        <w:autoSpaceDE/>
        <w:autoSpaceDN/>
        <w:bidi w:val="0"/>
        <w:adjustRightInd/>
        <w:snapToGrid/>
        <w:spacing w:line="560" w:lineRule="exact"/>
        <w:ind w:firstLine="640"/>
        <w:textAlignment w:val="auto"/>
        <w:rPr>
          <w:rFonts w:hint="eastAsia"/>
          <w:color w:val="auto"/>
          <w:sz w:val="32"/>
          <w:szCs w:val="28"/>
        </w:rPr>
      </w:pPr>
      <w:r>
        <w:rPr>
          <w:rFonts w:hint="eastAsia"/>
          <w:color w:val="auto"/>
          <w:sz w:val="32"/>
          <w:szCs w:val="28"/>
        </w:rPr>
        <w:t>社会效益指标：</w:t>
      </w:r>
      <w:r>
        <w:rPr>
          <w:rFonts w:hint="eastAsia"/>
          <w:color w:val="auto"/>
          <w:sz w:val="32"/>
          <w:szCs w:val="28"/>
          <w:lang w:eastAsia="zh-CN"/>
        </w:rPr>
        <w:t>有效提升专业技术岗位人员的水平和能力，指标值有效提升专业技术岗位人员的水平和能力，实际完成值有效提升专业技术岗位人员的水平和能力，</w:t>
      </w:r>
      <w:r>
        <w:rPr>
          <w:rFonts w:hint="eastAsia"/>
          <w:color w:val="auto"/>
          <w:sz w:val="32"/>
          <w:szCs w:val="28"/>
        </w:rPr>
        <w:t>指标完成率：</w:t>
      </w:r>
      <w:r>
        <w:rPr>
          <w:rFonts w:hint="eastAsia"/>
          <w:color w:val="auto"/>
          <w:sz w:val="32"/>
          <w:szCs w:val="28"/>
          <w:lang w:val="en-US" w:eastAsia="zh-CN"/>
        </w:rPr>
        <w:t>=</w:t>
      </w:r>
      <w:r>
        <w:rPr>
          <w:rFonts w:hint="eastAsia"/>
          <w:color w:val="auto"/>
          <w:sz w:val="32"/>
          <w:szCs w:val="28"/>
        </w:rPr>
        <w:t>100%，无偏差。</w:t>
      </w:r>
    </w:p>
    <w:p w14:paraId="71A8CC87">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③生态效益指标：</w:t>
      </w:r>
    </w:p>
    <w:p w14:paraId="434974E4">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我培训中心本年度未安排生态效益指标。</w:t>
      </w:r>
    </w:p>
    <w:p w14:paraId="2744F893">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④可持续影响指标：</w:t>
      </w:r>
    </w:p>
    <w:p w14:paraId="55DC46C3">
      <w:pPr>
        <w:shd w:val="clear"/>
        <w:spacing w:line="600" w:lineRule="exact"/>
        <w:ind w:firstLine="640" w:firstLineChars="200"/>
        <w:outlineLvl w:val="0"/>
        <w:rPr>
          <w:rFonts w:hint="eastAsia"/>
          <w:color w:val="auto"/>
          <w:sz w:val="32"/>
          <w:szCs w:val="28"/>
        </w:rPr>
      </w:pPr>
      <w:r>
        <w:rPr>
          <w:rFonts w:hint="eastAsia" w:ascii="仿宋_GB2312" w:hAnsi="仿宋_GB2312" w:cs="仿宋_GB2312"/>
          <w:color w:val="auto"/>
          <w:sz w:val="32"/>
          <w:szCs w:val="32"/>
          <w:highlight w:val="none"/>
          <w:lang w:val="en-US" w:eastAsia="zh-CN"/>
        </w:rPr>
        <w:t>我培训中心本年度未安排可持续影响指标。</w:t>
      </w:r>
    </w:p>
    <w:p w14:paraId="0F9D7F3C">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28"/>
          <w:lang w:val="en-US" w:eastAsia="zh-CN"/>
        </w:rPr>
      </w:pPr>
      <w:r>
        <w:rPr>
          <w:rFonts w:hint="eastAsia"/>
          <w:color w:val="auto"/>
          <w:sz w:val="32"/>
          <w:szCs w:val="28"/>
          <w:lang w:val="en-US" w:eastAsia="zh-CN"/>
        </w:rPr>
        <w:t>2.满意度</w:t>
      </w:r>
    </w:p>
    <w:p w14:paraId="6E3EBCEF">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28"/>
          <w:lang w:eastAsia="zh-CN"/>
        </w:rPr>
      </w:pPr>
      <w:r>
        <w:rPr>
          <w:rFonts w:hint="eastAsia"/>
          <w:color w:val="auto"/>
          <w:sz w:val="32"/>
          <w:szCs w:val="28"/>
          <w:lang w:eastAsia="zh-CN"/>
        </w:rPr>
        <w:t>考试满意度，</w:t>
      </w:r>
      <w:r>
        <w:rPr>
          <w:rFonts w:hint="eastAsia"/>
          <w:color w:val="auto"/>
          <w:sz w:val="32"/>
          <w:szCs w:val="28"/>
        </w:rPr>
        <w:t>指标值</w:t>
      </w:r>
      <w:r>
        <w:rPr>
          <w:rFonts w:hint="eastAsia"/>
          <w:color w:val="auto"/>
          <w:sz w:val="32"/>
          <w:szCs w:val="28"/>
          <w:lang w:val="en-US" w:eastAsia="zh-CN"/>
        </w:rPr>
        <w:t>:&gt;=</w:t>
      </w:r>
      <w:r>
        <w:rPr>
          <w:rFonts w:hint="eastAsia"/>
          <w:color w:val="auto"/>
          <w:sz w:val="32"/>
          <w:szCs w:val="28"/>
        </w:rPr>
        <w:t>9</w:t>
      </w:r>
      <w:r>
        <w:rPr>
          <w:rFonts w:hint="eastAsia"/>
          <w:color w:val="auto"/>
          <w:sz w:val="32"/>
          <w:szCs w:val="28"/>
          <w:lang w:val="en-US" w:eastAsia="zh-CN"/>
        </w:rPr>
        <w:t>5</w:t>
      </w:r>
      <w:r>
        <w:rPr>
          <w:rFonts w:hint="eastAsia"/>
          <w:color w:val="auto"/>
          <w:sz w:val="32"/>
          <w:szCs w:val="28"/>
        </w:rPr>
        <w:t>%，实际完成</w:t>
      </w:r>
      <w:r>
        <w:rPr>
          <w:rFonts w:hint="eastAsia"/>
          <w:color w:val="auto"/>
          <w:sz w:val="32"/>
          <w:szCs w:val="28"/>
          <w:lang w:eastAsia="zh-CN"/>
        </w:rPr>
        <w:t>值：</w:t>
      </w:r>
      <w:r>
        <w:rPr>
          <w:rFonts w:hint="eastAsia"/>
          <w:color w:val="auto"/>
          <w:sz w:val="32"/>
          <w:szCs w:val="28"/>
          <w:lang w:val="en-US" w:eastAsia="zh-CN"/>
        </w:rPr>
        <w:t>=95</w:t>
      </w:r>
      <w:r>
        <w:rPr>
          <w:rFonts w:hint="eastAsia"/>
          <w:color w:val="auto"/>
          <w:sz w:val="32"/>
          <w:szCs w:val="28"/>
        </w:rPr>
        <w:t>%，无偏差</w:t>
      </w:r>
      <w:r>
        <w:rPr>
          <w:rFonts w:hint="eastAsia"/>
          <w:color w:val="auto"/>
          <w:sz w:val="32"/>
          <w:szCs w:val="28"/>
          <w:lang w:eastAsia="zh-CN"/>
        </w:rPr>
        <w:t>。</w:t>
      </w:r>
    </w:p>
    <w:p w14:paraId="453F8C7C">
      <w:pPr>
        <w:spacing w:line="560" w:lineRule="exact"/>
        <w:ind w:firstLine="640" w:firstLineChars="200"/>
        <w:rPr>
          <w:rFonts w:hint="eastAsia" w:ascii="Times New Roman" w:hAnsi="Times New Roman" w:eastAsia="黑体" w:cs="Times New Roman"/>
          <w:color w:val="auto"/>
          <w:sz w:val="32"/>
          <w:szCs w:val="32"/>
          <w:lang w:eastAsia="zh-Hans"/>
        </w:rPr>
      </w:pPr>
      <w:r>
        <w:rPr>
          <w:rFonts w:hint="eastAsia" w:ascii="Times New Roman" w:hAnsi="Times New Roman" w:eastAsia="黑体" w:cs="Times New Roman"/>
          <w:color w:val="auto"/>
          <w:sz w:val="32"/>
          <w:szCs w:val="32"/>
          <w:lang w:eastAsia="zh-Hans"/>
        </w:rPr>
        <w:t>五、预算执行进度与绩效指标总体完成率偏差</w:t>
      </w:r>
    </w:p>
    <w:p w14:paraId="1FB4CB54">
      <w:pPr>
        <w:pStyle w:val="26"/>
        <w:spacing w:line="560" w:lineRule="exact"/>
        <w:ind w:firstLine="640"/>
        <w:rPr>
          <w:rFonts w:hint="eastAsia" w:ascii="Times New Roman" w:hAnsi="Times New Roman" w:eastAsia="仿宋_GB2312" w:cs="Times New Roman"/>
          <w:color w:val="auto"/>
          <w:kern w:val="2"/>
          <w:sz w:val="32"/>
          <w:szCs w:val="28"/>
          <w:lang w:val="en-US" w:eastAsia="zh-CN" w:bidi="ar-SA"/>
        </w:rPr>
      </w:pPr>
      <w:r>
        <w:rPr>
          <w:rFonts w:hint="eastAsia" w:ascii="Times New Roman" w:hAnsi="Times New Roman" w:eastAsia="仿宋_GB2312" w:cs="Times New Roman"/>
          <w:color w:val="auto"/>
          <w:kern w:val="2"/>
          <w:sz w:val="32"/>
          <w:szCs w:val="28"/>
          <w:lang w:val="en-US" w:eastAsia="zh-CN" w:bidi="ar-SA"/>
        </w:rPr>
        <w:t>项目年初预算63.5万元，全年预算63.5万元，实际支出62.63万元，预算执行率为98.63%，项目绩效指标总体完成率为98.3%，</w:t>
      </w:r>
      <w:r>
        <w:rPr>
          <w:rFonts w:hint="eastAsia" w:ascii="Times New Roman" w:hAnsi="Times New Roman" w:eastAsia="仿宋_GB2312" w:cs="Times New Roman"/>
          <w:color w:val="auto"/>
          <w:kern w:val="2"/>
          <w:sz w:val="32"/>
          <w:szCs w:val="28"/>
          <w:lang w:val="en-US" w:eastAsia="zh-Hans" w:bidi="ar-SA"/>
        </w:rPr>
        <w:t>总体</w:t>
      </w:r>
      <w:r>
        <w:rPr>
          <w:rFonts w:hint="eastAsia" w:ascii="Times New Roman" w:hAnsi="Times New Roman" w:eastAsia="仿宋_GB2312" w:cs="Times New Roman"/>
          <w:color w:val="auto"/>
          <w:kern w:val="2"/>
          <w:sz w:val="32"/>
          <w:szCs w:val="28"/>
          <w:lang w:val="en-US" w:eastAsia="zh-CN" w:bidi="ar-SA"/>
        </w:rPr>
        <w:t>偏差率为</w:t>
      </w:r>
      <w:r>
        <w:rPr>
          <w:rFonts w:hint="eastAsia" w:cs="Times New Roman"/>
          <w:color w:val="auto"/>
          <w:kern w:val="2"/>
          <w:sz w:val="32"/>
          <w:szCs w:val="28"/>
          <w:lang w:val="en-US" w:eastAsia="zh-CN" w:bidi="ar-SA"/>
        </w:rPr>
        <w:t>0.33</w:t>
      </w:r>
      <w:r>
        <w:rPr>
          <w:rFonts w:hint="eastAsia" w:ascii="Times New Roman" w:hAnsi="Times New Roman" w:eastAsia="仿宋_GB2312" w:cs="Times New Roman"/>
          <w:color w:val="auto"/>
          <w:kern w:val="2"/>
          <w:sz w:val="32"/>
          <w:szCs w:val="28"/>
          <w:lang w:val="en-US" w:eastAsia="zh-CN" w:bidi="ar-SA"/>
        </w:rPr>
        <w:t>%</w:t>
      </w:r>
      <w:r>
        <w:rPr>
          <w:rFonts w:hint="eastAsia" w:cs="Times New Roman"/>
          <w:color w:val="auto"/>
          <w:kern w:val="2"/>
          <w:sz w:val="32"/>
          <w:szCs w:val="28"/>
          <w:lang w:val="en-US" w:eastAsia="zh-CN" w:bidi="ar-SA"/>
        </w:rPr>
        <w:t>，</w:t>
      </w:r>
      <w:r>
        <w:rPr>
          <w:rFonts w:hint="eastAsia" w:ascii="Times New Roman" w:hAnsi="Times New Roman" w:eastAsia="仿宋_GB2312" w:cs="Times New Roman"/>
          <w:color w:val="auto"/>
          <w:kern w:val="2"/>
          <w:sz w:val="32"/>
          <w:szCs w:val="28"/>
          <w:lang w:val="en-US" w:eastAsia="zh-Hans" w:bidi="ar-SA"/>
        </w:rPr>
        <w:t>偏差</w:t>
      </w:r>
      <w:r>
        <w:rPr>
          <w:rFonts w:hint="eastAsia" w:ascii="Times New Roman" w:hAnsi="Times New Roman" w:eastAsia="仿宋_GB2312" w:cs="Times New Roman"/>
          <w:color w:val="auto"/>
          <w:kern w:val="2"/>
          <w:sz w:val="32"/>
          <w:szCs w:val="28"/>
          <w:lang w:val="en-US" w:eastAsia="zh-CN" w:bidi="ar-SA"/>
        </w:rPr>
        <w:t>原因：根据《关于2023年下半年计算机软件资格考试有关工作调整的通知》工信教[2023]42号文件要求，全疆考试方式均由笔试改革为计算机化考试（机考），因此节省了年初预算安排的下半年邮寄试卷的机要费。</w:t>
      </w:r>
    </w:p>
    <w:p w14:paraId="303A0D38">
      <w:pPr>
        <w:numPr>
          <w:ilvl w:val="0"/>
          <w:numId w:val="0"/>
        </w:numPr>
        <w:spacing w:line="600" w:lineRule="exact"/>
        <w:ind w:firstLine="640" w:firstLineChars="200"/>
        <w:rPr>
          <w:rFonts w:hint="eastAsia"/>
          <w:color w:val="auto"/>
        </w:rPr>
      </w:pPr>
      <w:r>
        <w:rPr>
          <w:rFonts w:hint="eastAsia" w:ascii="黑体" w:hAnsi="黑体" w:eastAsia="黑体"/>
          <w:color w:val="auto"/>
          <w:sz w:val="32"/>
          <w:szCs w:val="32"/>
          <w:lang w:eastAsia="zh-CN"/>
        </w:rPr>
        <w:t>六、</w:t>
      </w:r>
      <w:r>
        <w:rPr>
          <w:rFonts w:hint="eastAsia" w:ascii="黑体" w:hAnsi="黑体" w:eastAsia="黑体"/>
          <w:color w:val="auto"/>
          <w:sz w:val="32"/>
          <w:szCs w:val="32"/>
        </w:rPr>
        <w:t>主要经验及做法、存在的问题及原因分析</w:t>
      </w:r>
    </w:p>
    <w:p w14:paraId="3A66BBD7">
      <w:pPr>
        <w:pStyle w:val="4"/>
        <w:keepLines w:val="0"/>
        <w:pageBreakBefore w:val="0"/>
        <w:widowControl/>
        <w:numPr>
          <w:ilvl w:val="0"/>
          <w:numId w:val="4"/>
        </w:numPr>
        <w:kinsoku/>
        <w:wordWrap/>
        <w:overflowPunct/>
        <w:topLinePunct w:val="0"/>
        <w:autoSpaceDE/>
        <w:autoSpaceDN/>
        <w:bidi w:val="0"/>
        <w:adjustRightInd/>
        <w:snapToGrid/>
        <w:spacing w:before="0" w:after="0" w:line="560" w:lineRule="exact"/>
        <w:ind w:firstLine="643" w:firstLineChars="200"/>
        <w:jc w:val="left"/>
        <w:textAlignment w:val="auto"/>
        <w:rPr>
          <w:rStyle w:val="18"/>
          <w:rFonts w:ascii="Times New Roman" w:hAnsi="Times New Roman" w:eastAsia="楷体_GB2312" w:cs="Times New Roman"/>
          <w:b/>
          <w:bCs w:val="0"/>
          <w:iCs/>
          <w:color w:val="auto"/>
          <w:kern w:val="0"/>
          <w:szCs w:val="28"/>
        </w:rPr>
      </w:pPr>
      <w:bookmarkStart w:id="18" w:name="_Toc24471"/>
      <w:r>
        <w:rPr>
          <w:rStyle w:val="18"/>
          <w:rFonts w:ascii="Times New Roman" w:hAnsi="Times New Roman" w:eastAsia="楷体_GB2312" w:cs="Times New Roman"/>
          <w:b/>
          <w:bCs w:val="0"/>
          <w:iCs/>
          <w:color w:val="auto"/>
          <w:kern w:val="0"/>
          <w:szCs w:val="28"/>
        </w:rPr>
        <w:t>主要经验及做法</w:t>
      </w:r>
      <w:bookmarkEnd w:id="18"/>
    </w:p>
    <w:p w14:paraId="4D89C34A">
      <w:pPr>
        <w:numPr>
          <w:ilvl w:val="0"/>
          <w:numId w:val="0"/>
        </w:numPr>
        <w:spacing w:line="60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z w:val="32"/>
          <w:szCs w:val="32"/>
        </w:rPr>
        <w:t>为确保项目顺利进行，提前做好项目规划，将所列计划再三审核。在项目实施</w:t>
      </w:r>
      <w:r>
        <w:rPr>
          <w:rFonts w:hint="eastAsia" w:ascii="仿宋_GB2312" w:hAnsi="仿宋_GB2312" w:eastAsia="仿宋_GB2312" w:cs="仿宋_GB2312"/>
          <w:b w:val="0"/>
          <w:bCs w:val="0"/>
          <w:color w:val="auto"/>
          <w:sz w:val="32"/>
          <w:szCs w:val="32"/>
          <w:lang w:eastAsia="zh-CN"/>
        </w:rPr>
        <w:t>前，</w:t>
      </w:r>
      <w:r>
        <w:rPr>
          <w:rFonts w:hint="eastAsia" w:ascii="仿宋_GB2312" w:hAnsi="仿宋_GB2312" w:eastAsia="仿宋_GB2312" w:cs="仿宋_GB2312"/>
          <w:b w:val="0"/>
          <w:bCs w:val="0"/>
          <w:color w:val="auto"/>
          <w:sz w:val="32"/>
          <w:szCs w:val="32"/>
        </w:rPr>
        <w:t>成立项目小组，认真履行好安全管理和安全保密责任，统筹做好考试组织实施工作，确保考试平稳、顺利、安全、公平、公正</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制订详细、可行的考试工作方案、考务手册和突发事件应急预案，抓细抓实安全管理和组织实施工作。做好定期监督检查，严格按照项目管理规范进行，在项目资金使用过程中，严格落实把关，按照项目资金使用范围做好审核</w:t>
      </w:r>
      <w:r>
        <w:rPr>
          <w:rFonts w:hint="eastAsia" w:ascii="仿宋_GB2312" w:hAnsi="仿宋_GB2312" w:eastAsia="仿宋_GB2312" w:cs="仿宋_GB2312"/>
          <w:b w:val="0"/>
          <w:bCs w:val="0"/>
          <w:sz w:val="32"/>
          <w:szCs w:val="32"/>
        </w:rPr>
        <w:t>工作，让项目资金落于实处。在项目完成后，做好受益群众民意调查及项目防范工作。</w:t>
      </w:r>
    </w:p>
    <w:p w14:paraId="6A4090A1">
      <w:pPr>
        <w:keepLines w:val="0"/>
        <w:pageBreakBefore w:val="0"/>
        <w:kinsoku/>
        <w:wordWrap/>
        <w:overflowPunct/>
        <w:topLinePunct w:val="0"/>
        <w:autoSpaceDE/>
        <w:autoSpaceDN/>
        <w:bidi w:val="0"/>
        <w:adjustRightInd/>
        <w:snapToGrid/>
        <w:spacing w:line="560" w:lineRule="exact"/>
        <w:ind w:firstLine="640"/>
        <w:textAlignment w:val="auto"/>
        <w:rPr>
          <w:rFonts w:hint="default" w:ascii="黑体" w:hAnsi="黑体" w:eastAsia="黑体"/>
          <w:sz w:val="32"/>
          <w:szCs w:val="32"/>
          <w:lang w:val="en-US" w:eastAsia="zh-CN"/>
        </w:rPr>
      </w:pPr>
      <w:bookmarkStart w:id="19" w:name="_Toc15723"/>
      <w:r>
        <w:rPr>
          <w:bCs/>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End w:id="19"/>
    </w:p>
    <w:p w14:paraId="3087F1B3">
      <w:pPr>
        <w:pStyle w:val="4"/>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3" w:firstLineChars="0"/>
        <w:jc w:val="left"/>
        <w:textAlignment w:val="auto"/>
        <w:rPr>
          <w:rStyle w:val="18"/>
          <w:rFonts w:ascii="Times New Roman" w:hAnsi="Times New Roman" w:eastAsia="楷体_GB2312" w:cs="Times New Roman"/>
          <w:b/>
          <w:bCs w:val="0"/>
          <w:iCs/>
          <w:kern w:val="0"/>
          <w:szCs w:val="28"/>
        </w:rPr>
      </w:pPr>
      <w:bookmarkStart w:id="20" w:name="_Toc16214"/>
      <w:r>
        <w:rPr>
          <w:rFonts w:hint="eastAsia" w:ascii="Times New Roman" w:hAnsi="Times New Roman" w:eastAsia="楷体_GB2312" w:cs="Times New Roman"/>
          <w:b/>
          <w:bCs w:val="0"/>
          <w:iCs/>
          <w:kern w:val="0"/>
          <w:sz w:val="32"/>
          <w:szCs w:val="28"/>
          <w:lang w:val="en-US" w:eastAsia="zh-CN" w:bidi="ar-SA"/>
        </w:rPr>
        <w:t>（二）</w:t>
      </w:r>
      <w:r>
        <w:rPr>
          <w:rStyle w:val="18"/>
          <w:rFonts w:ascii="Times New Roman" w:hAnsi="Times New Roman" w:eastAsia="楷体_GB2312" w:cs="Times New Roman"/>
          <w:b/>
          <w:bCs w:val="0"/>
          <w:iCs/>
          <w:kern w:val="0"/>
          <w:szCs w:val="28"/>
        </w:rPr>
        <w:t>存在的问题及原因分析</w:t>
      </w:r>
      <w:bookmarkEnd w:id="20"/>
    </w:p>
    <w:p w14:paraId="18552A0E">
      <w:pPr>
        <w:pStyle w:val="4"/>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需加强</w:t>
      </w:r>
      <w:r>
        <w:rPr>
          <w:rFonts w:hint="eastAsia" w:ascii="仿宋_GB2312" w:hAnsi="仿宋_GB2312" w:eastAsia="仿宋_GB2312" w:cs="仿宋_GB2312"/>
          <w:b w:val="0"/>
          <w:bCs w:val="0"/>
          <w:color w:val="auto"/>
          <w:sz w:val="32"/>
          <w:szCs w:val="32"/>
        </w:rPr>
        <w:t>规范考务组织。考务组织管理是一项重要的工作内容，考务组织的流程、工作人员和监考人员的综合能力和责任心</w:t>
      </w:r>
      <w:r>
        <w:rPr>
          <w:rFonts w:hint="eastAsia" w:ascii="仿宋_GB2312" w:hAnsi="仿宋_GB2312" w:eastAsia="仿宋_GB2312" w:cs="仿宋_GB2312"/>
          <w:b w:val="0"/>
          <w:bCs w:val="0"/>
          <w:color w:val="auto"/>
          <w:sz w:val="32"/>
          <w:szCs w:val="32"/>
          <w:lang w:eastAsia="zh-CN"/>
        </w:rPr>
        <w:t>的</w:t>
      </w:r>
      <w:r>
        <w:rPr>
          <w:rFonts w:hint="eastAsia" w:ascii="仿宋_GB2312" w:hAnsi="仿宋_GB2312" w:eastAsia="仿宋_GB2312" w:cs="仿宋_GB2312"/>
          <w:b w:val="0"/>
          <w:bCs w:val="0"/>
          <w:color w:val="auto"/>
          <w:sz w:val="32"/>
          <w:szCs w:val="32"/>
        </w:rPr>
        <w:t>提高、考务管理制度的完善</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能够为应试人员提供更加公平的考试环境以及考试平台。</w:t>
      </w:r>
    </w:p>
    <w:p w14:paraId="2F722B19">
      <w:pPr>
        <w:numPr>
          <w:numId w:val="0"/>
        </w:numPr>
        <w:spacing w:line="600" w:lineRule="exact"/>
        <w:ind w:firstLine="640" w:firstLineChars="200"/>
        <w:rPr>
          <w:rFonts w:hint="eastAsia"/>
        </w:rPr>
      </w:pPr>
      <w:r>
        <w:rPr>
          <w:rFonts w:hint="eastAsia" w:ascii="黑体" w:hAnsi="黑体" w:eastAsia="黑体"/>
          <w:sz w:val="32"/>
          <w:szCs w:val="32"/>
          <w:lang w:val="en-US" w:eastAsia="zh-CN"/>
        </w:rPr>
        <w:t>七、</w:t>
      </w:r>
      <w:bookmarkStart w:id="28" w:name="_GoBack"/>
      <w:bookmarkEnd w:id="28"/>
      <w:r>
        <w:rPr>
          <w:rFonts w:hint="eastAsia" w:ascii="黑体" w:hAnsi="黑体" w:eastAsia="黑体"/>
          <w:sz w:val="32"/>
          <w:szCs w:val="32"/>
        </w:rPr>
        <w:t>有关建议</w:t>
      </w:r>
    </w:p>
    <w:p w14:paraId="07AF4BD9">
      <w:pPr>
        <w:pStyle w:val="2"/>
        <w:jc w:val="both"/>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无</w:t>
      </w:r>
    </w:p>
    <w:p w14:paraId="1DE830CE">
      <w:pPr>
        <w:numPr>
          <w:ilvl w:val="0"/>
          <w:numId w:val="0"/>
        </w:numPr>
        <w:spacing w:line="600" w:lineRule="exact"/>
        <w:ind w:leftChars="200"/>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、其他需要说明的问题</w:t>
      </w:r>
    </w:p>
    <w:p w14:paraId="5A5D61A9">
      <w:pPr>
        <w:pStyle w:val="15"/>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3D3AFBD3">
      <w:pPr>
        <w:numPr>
          <w:ilvl w:val="0"/>
          <w:numId w:val="0"/>
        </w:numPr>
        <w:spacing w:line="600" w:lineRule="exact"/>
        <w:ind w:leftChars="200"/>
        <w:rPr>
          <w:rFonts w:hint="eastAsia" w:ascii="仿宋_GB2312" w:hAnsi="仿宋_GB2312" w:eastAsia="仿宋_GB2312" w:cs="仿宋_GB2312"/>
          <w:b w:val="0"/>
          <w:bCs w:val="0"/>
          <w:sz w:val="32"/>
          <w:szCs w:val="32"/>
          <w:lang w:eastAsia="zh-CN"/>
        </w:rPr>
      </w:pPr>
    </w:p>
    <w:p w14:paraId="44692DB9">
      <w:pPr>
        <w:numPr>
          <w:ilvl w:val="0"/>
          <w:numId w:val="0"/>
        </w:numPr>
        <w:spacing w:line="600" w:lineRule="exact"/>
        <w:rPr>
          <w:rFonts w:hint="eastAsia" w:ascii="仿宋_GB2312" w:hAnsi="仿宋_GB2312" w:eastAsia="仿宋_GB2312" w:cs="仿宋_GB2312"/>
          <w:b w:val="0"/>
          <w:bCs w:val="0"/>
          <w:sz w:val="32"/>
          <w:szCs w:val="32"/>
          <w:lang w:eastAsia="zh-CN"/>
        </w:rPr>
      </w:pPr>
    </w:p>
    <w:p w14:paraId="56DF6175">
      <w:pPr>
        <w:pStyle w:val="2"/>
        <w:rPr>
          <w:rFonts w:hint="eastAsia" w:ascii="仿宋_GB2312" w:hAnsi="仿宋_GB2312" w:eastAsia="仿宋_GB2312" w:cs="仿宋_GB2312"/>
          <w:b w:val="0"/>
          <w:bCs w:val="0"/>
          <w:sz w:val="32"/>
          <w:szCs w:val="32"/>
          <w:lang w:eastAsia="zh-CN"/>
        </w:rPr>
      </w:pPr>
    </w:p>
    <w:p w14:paraId="47B3C5C6">
      <w:pPr>
        <w:rPr>
          <w:rFonts w:hint="eastAsia" w:ascii="仿宋_GB2312" w:hAnsi="仿宋_GB2312" w:eastAsia="仿宋_GB2312" w:cs="仿宋_GB2312"/>
          <w:b w:val="0"/>
          <w:bCs w:val="0"/>
          <w:sz w:val="32"/>
          <w:szCs w:val="32"/>
          <w:lang w:eastAsia="zh-CN"/>
        </w:rPr>
      </w:pPr>
    </w:p>
    <w:p w14:paraId="010E567F">
      <w:pPr>
        <w:pStyle w:val="2"/>
        <w:rPr>
          <w:rFonts w:hint="eastAsia"/>
          <w:lang w:eastAsia="zh-CN"/>
        </w:rPr>
      </w:pPr>
    </w:p>
    <w:p w14:paraId="204924CA">
      <w:pPr>
        <w:pStyle w:val="2"/>
        <w:rPr>
          <w:rFonts w:hint="eastAsia" w:ascii="仿宋_GB2312" w:hAnsi="仿宋_GB2312" w:eastAsia="仿宋_GB2312" w:cs="仿宋_GB2312"/>
          <w:b w:val="0"/>
          <w:bCs w:val="0"/>
          <w:sz w:val="32"/>
          <w:szCs w:val="32"/>
          <w:lang w:eastAsia="zh-CN"/>
        </w:rPr>
      </w:pPr>
    </w:p>
    <w:p w14:paraId="12642C3D">
      <w:pPr>
        <w:pStyle w:val="2"/>
        <w:ind w:left="0" w:leftChars="0" w:firstLine="0" w:firstLineChars="0"/>
        <w:jc w:val="both"/>
        <w:rPr>
          <w:rFonts w:hint="eastAsia"/>
          <w:lang w:eastAsia="zh-CN"/>
        </w:rPr>
      </w:pPr>
    </w:p>
    <w:p w14:paraId="78EECA0C">
      <w:pPr>
        <w:rPr>
          <w:rFonts w:hint="eastAsia"/>
          <w:lang w:eastAsia="zh-CN"/>
        </w:rPr>
      </w:pPr>
    </w:p>
    <w:p w14:paraId="645F9564">
      <w:pPr>
        <w:pStyle w:val="2"/>
        <w:rPr>
          <w:rFonts w:hint="eastAsia"/>
          <w:lang w:eastAsia="zh-CN"/>
        </w:rPr>
      </w:pPr>
    </w:p>
    <w:p w14:paraId="4EF2615C">
      <w:pPr>
        <w:rPr>
          <w:rFonts w:hint="eastAsia"/>
          <w:lang w:eastAsia="zh-CN"/>
        </w:rPr>
      </w:pPr>
    </w:p>
    <w:p w14:paraId="77382468">
      <w:pPr>
        <w:pStyle w:val="2"/>
        <w:rPr>
          <w:rFonts w:hint="eastAsia"/>
          <w:lang w:eastAsia="zh-CN"/>
        </w:rPr>
      </w:pPr>
    </w:p>
    <w:p w14:paraId="4EB6DA68">
      <w:pPr>
        <w:rPr>
          <w:rFonts w:hint="eastAsia"/>
          <w:lang w:eastAsia="zh-CN"/>
        </w:rPr>
      </w:pPr>
    </w:p>
    <w:p w14:paraId="34821E62">
      <w:pPr>
        <w:pStyle w:val="2"/>
        <w:rPr>
          <w:rFonts w:hint="eastAsia"/>
          <w:lang w:eastAsia="zh-CN"/>
        </w:rPr>
      </w:pPr>
    </w:p>
    <w:p w14:paraId="6C590FF4">
      <w:pPr>
        <w:pStyle w:val="2"/>
        <w:ind w:left="0" w:leftChars="0" w:firstLine="0" w:firstLineChars="0"/>
        <w:jc w:val="both"/>
        <w:rPr>
          <w:rFonts w:hint="eastAsia"/>
          <w:lang w:eastAsia="zh-CN"/>
        </w:rPr>
      </w:pPr>
    </w:p>
    <w:p w14:paraId="7DA410FD">
      <w:pPr>
        <w:rPr>
          <w:color w:val="0000FF"/>
        </w:rPr>
      </w:pPr>
    </w:p>
    <w:p w14:paraId="181960CA">
      <w:pPr>
        <w:pStyle w:val="2"/>
        <w:rPr>
          <w:color w:val="0000FF"/>
        </w:rPr>
      </w:pPr>
    </w:p>
    <w:p w14:paraId="6E5DC18F"/>
    <w:p w14:paraId="4CEB16AC">
      <w:pPr>
        <w:pStyle w:val="26"/>
        <w:ind w:left="0" w:leftChars="0" w:firstLine="0" w:firstLineChars="0"/>
        <w:jc w:val="left"/>
        <w:rPr>
          <w:rFonts w:hint="eastAsia"/>
          <w:b/>
          <w:bCs/>
          <w:sz w:val="28"/>
          <w:szCs w:val="40"/>
          <w:lang w:val="en-US" w:eastAsia="zh-CN"/>
        </w:rPr>
      </w:pPr>
      <w:bookmarkStart w:id="21" w:name="_Toc2300"/>
      <w:bookmarkStart w:id="22" w:name="_Toc1426"/>
      <w:bookmarkStart w:id="23" w:name="_Toc11976"/>
      <w:bookmarkStart w:id="24" w:name="_Toc10459"/>
      <w:bookmarkStart w:id="25" w:name="_Toc24488"/>
      <w:r>
        <w:rPr>
          <w:rFonts w:hint="eastAsia"/>
          <w:b/>
          <w:bCs/>
          <w:sz w:val="28"/>
          <w:szCs w:val="40"/>
          <w:lang w:val="en-US" w:eastAsia="zh-CN"/>
        </w:rPr>
        <w:t>附件1</w:t>
      </w:r>
      <w:bookmarkEnd w:id="21"/>
      <w:bookmarkEnd w:id="22"/>
      <w:bookmarkEnd w:id="23"/>
      <w:bookmarkEnd w:id="24"/>
      <w:bookmarkEnd w:id="25"/>
      <w:bookmarkStart w:id="26" w:name="_Toc30064_WPSOffice_Level1"/>
      <w:bookmarkStart w:id="27" w:name="_Toc26499_WPSOffice_Level2"/>
    </w:p>
    <w:p w14:paraId="630FFB97">
      <w:pPr>
        <w:pStyle w:val="26"/>
        <w:jc w:val="center"/>
        <w:rPr>
          <w:rFonts w:hint="eastAsia"/>
          <w:b/>
          <w:bCs/>
          <w:sz w:val="28"/>
          <w:szCs w:val="40"/>
        </w:rPr>
      </w:pPr>
      <w:r>
        <w:rPr>
          <w:rFonts w:hint="eastAsia"/>
          <w:b/>
          <w:bCs/>
          <w:sz w:val="28"/>
          <w:szCs w:val="40"/>
          <w:lang w:val="en-US" w:eastAsia="zh-CN"/>
        </w:rPr>
        <w:t>计算机技术与软件专业技术资格（水平）新疆区考试收费项目</w:t>
      </w:r>
      <w:r>
        <w:rPr>
          <w:rFonts w:hint="eastAsia"/>
          <w:b/>
          <w:bCs/>
          <w:sz w:val="28"/>
          <w:szCs w:val="40"/>
        </w:rPr>
        <w:t>项目</w:t>
      </w:r>
    </w:p>
    <w:p w14:paraId="33A86A9C">
      <w:pPr>
        <w:pStyle w:val="26"/>
        <w:jc w:val="center"/>
        <w:rPr>
          <w:rFonts w:hint="eastAsia" w:eastAsia="仿宋_GB2312"/>
          <w:lang w:eastAsia="zh-CN"/>
        </w:rPr>
      </w:pPr>
      <w:r>
        <w:rPr>
          <w:rFonts w:hint="eastAsia"/>
          <w:b/>
          <w:bCs/>
          <w:sz w:val="28"/>
          <w:szCs w:val="40"/>
        </w:rPr>
        <w:t>绩效评价指标体系及综合评分</w:t>
      </w:r>
      <w:bookmarkEnd w:id="26"/>
      <w:bookmarkEnd w:id="27"/>
      <w:r>
        <w:rPr>
          <w:rFonts w:hint="eastAsia"/>
          <w:b/>
          <w:bCs/>
          <w:sz w:val="28"/>
          <w:szCs w:val="40"/>
          <w:lang w:eastAsia="zh-CN"/>
        </w:rPr>
        <w:t>表</w:t>
      </w:r>
    </w:p>
    <w:tbl>
      <w:tblPr>
        <w:tblStyle w:val="16"/>
        <w:tblW w:w="499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86"/>
        <w:gridCol w:w="1040"/>
        <w:gridCol w:w="1002"/>
        <w:gridCol w:w="1942"/>
        <w:gridCol w:w="2868"/>
        <w:gridCol w:w="618"/>
        <w:gridCol w:w="599"/>
      </w:tblGrid>
      <w:tr w14:paraId="10DA4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44" w:type="pct"/>
            <w:shd w:val="clear" w:color="auto" w:fill="FFFFFF"/>
            <w:vAlign w:val="center"/>
          </w:tcPr>
          <w:p w14:paraId="2B2EF78C">
            <w:pPr>
              <w:widowControl/>
              <w:spacing w:line="0" w:lineRule="atLeast"/>
              <w:ind w:firstLine="0" w:firstLineChars="0"/>
              <w:jc w:val="both"/>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一级指标</w:t>
            </w:r>
          </w:p>
        </w:tc>
        <w:tc>
          <w:tcPr>
            <w:tcW w:w="574" w:type="pct"/>
            <w:shd w:val="clear" w:color="auto" w:fill="FFFFFF"/>
            <w:vAlign w:val="center"/>
          </w:tcPr>
          <w:p w14:paraId="092969B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二级指标</w:t>
            </w:r>
          </w:p>
        </w:tc>
        <w:tc>
          <w:tcPr>
            <w:tcW w:w="553" w:type="pct"/>
            <w:shd w:val="clear" w:color="auto" w:fill="FFFFFF"/>
            <w:vAlign w:val="center"/>
          </w:tcPr>
          <w:p w14:paraId="2E0B6189">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三级指标</w:t>
            </w:r>
          </w:p>
        </w:tc>
        <w:tc>
          <w:tcPr>
            <w:tcW w:w="1072" w:type="pct"/>
            <w:shd w:val="clear" w:color="auto" w:fill="FFFFFF"/>
            <w:vAlign w:val="center"/>
          </w:tcPr>
          <w:p w14:paraId="542A135B">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指标解释</w:t>
            </w:r>
          </w:p>
        </w:tc>
        <w:tc>
          <w:tcPr>
            <w:tcW w:w="1583" w:type="pct"/>
            <w:shd w:val="clear" w:color="auto" w:fill="FFFFFF"/>
            <w:vAlign w:val="center"/>
          </w:tcPr>
          <w:p w14:paraId="79E57D8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指标说明</w:t>
            </w:r>
          </w:p>
        </w:tc>
        <w:tc>
          <w:tcPr>
            <w:tcW w:w="341" w:type="pct"/>
            <w:shd w:val="clear" w:color="auto" w:fill="FFFFFF"/>
            <w:vAlign w:val="center"/>
          </w:tcPr>
          <w:p w14:paraId="74DCF7E9">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权重</w:t>
            </w:r>
          </w:p>
        </w:tc>
        <w:tc>
          <w:tcPr>
            <w:tcW w:w="330" w:type="pct"/>
            <w:shd w:val="clear" w:color="auto" w:fill="FFFFFF"/>
            <w:vAlign w:val="center"/>
          </w:tcPr>
          <w:p w14:paraId="5B8AFA4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得分</w:t>
            </w:r>
          </w:p>
        </w:tc>
      </w:tr>
      <w:tr w14:paraId="10935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44" w:type="pct"/>
            <w:vMerge w:val="restart"/>
            <w:shd w:val="clear" w:color="auto" w:fill="FFFFFF"/>
            <w:vAlign w:val="center"/>
          </w:tcPr>
          <w:p w14:paraId="6FDE2F8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p w14:paraId="7987133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14:paraId="098F2893">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74" w:type="pct"/>
            <w:vMerge w:val="restart"/>
            <w:shd w:val="clear" w:color="auto" w:fill="FFFFFF"/>
            <w:vAlign w:val="center"/>
          </w:tcPr>
          <w:p w14:paraId="64D3581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　</w:t>
            </w:r>
          </w:p>
        </w:tc>
        <w:tc>
          <w:tcPr>
            <w:tcW w:w="553" w:type="pct"/>
            <w:shd w:val="clear" w:color="auto" w:fill="FFFFFF"/>
            <w:vAlign w:val="center"/>
          </w:tcPr>
          <w:p w14:paraId="4176E4D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立项依据</w:t>
            </w:r>
          </w:p>
          <w:p w14:paraId="492789C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充分性</w:t>
            </w:r>
          </w:p>
        </w:tc>
        <w:tc>
          <w:tcPr>
            <w:tcW w:w="1072" w:type="pct"/>
            <w:shd w:val="clear" w:color="auto" w:fill="FFFFFF"/>
            <w:vAlign w:val="center"/>
          </w:tcPr>
          <w:p w14:paraId="259D45C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项目立项是否符合法律法规、相关政策、发展规划以及部门职责，用以反映和考核项目立项依据情况。</w:t>
            </w:r>
          </w:p>
        </w:tc>
        <w:tc>
          <w:tcPr>
            <w:tcW w:w="1583" w:type="pct"/>
            <w:shd w:val="clear" w:color="auto" w:fill="FFFFFF"/>
            <w:vAlign w:val="center"/>
          </w:tcPr>
          <w:p w14:paraId="09867446">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①项目立项是否符合国家法律法规、国民经济发展规划和相关政策；</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②项目立项是否符合行业发展规划和政策要求；</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③项目立项是否与部门职责范围相符，属于部门履职所需；</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④项目是否属于公共财政支持范围，是否符合中央、地方事权支出责任划分原则；</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⑤项目是否与相关部门同类项目或部门内部相关项目重复。</w:t>
            </w:r>
          </w:p>
        </w:tc>
        <w:tc>
          <w:tcPr>
            <w:tcW w:w="341" w:type="pct"/>
            <w:shd w:val="clear" w:color="auto" w:fill="FFFFFF"/>
            <w:vAlign w:val="center"/>
          </w:tcPr>
          <w:p w14:paraId="10F6C88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14550E9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5957C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44" w:type="pct"/>
            <w:vMerge w:val="continue"/>
            <w:shd w:val="clear" w:color="auto" w:fill="FFFFFF"/>
            <w:vAlign w:val="center"/>
          </w:tcPr>
          <w:p w14:paraId="360AC7C3">
            <w:pPr>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1F1B9E9A">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7FC9D3C1">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立项程序</w:t>
            </w:r>
          </w:p>
          <w:p w14:paraId="47C3F69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规范性</w:t>
            </w:r>
          </w:p>
        </w:tc>
        <w:tc>
          <w:tcPr>
            <w:tcW w:w="1072" w:type="pct"/>
            <w:shd w:val="clear" w:color="auto" w:fill="FFFFFF"/>
            <w:vAlign w:val="center"/>
          </w:tcPr>
          <w:p w14:paraId="73B8734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项目申请、设立过程是否符合相关要求，用以反映和考核项目立项的规范情况。</w:t>
            </w:r>
          </w:p>
        </w:tc>
        <w:tc>
          <w:tcPr>
            <w:tcW w:w="1583" w:type="pct"/>
            <w:shd w:val="clear" w:color="auto" w:fill="FFFFFF"/>
            <w:vAlign w:val="center"/>
          </w:tcPr>
          <w:p w14:paraId="117BE0C9">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①项目是否按照规定的程序申请设立；</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②审批文件、材料是否符合相关要求；</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③事前是否已经过必要的可行性研究、专家论证、风险评估、绩效评估、集体决策。</w:t>
            </w:r>
          </w:p>
        </w:tc>
        <w:tc>
          <w:tcPr>
            <w:tcW w:w="341" w:type="pct"/>
            <w:shd w:val="clear" w:color="auto" w:fill="FFFFFF"/>
            <w:vAlign w:val="center"/>
          </w:tcPr>
          <w:p w14:paraId="610122C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3B1D99D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18F99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44" w:type="pct"/>
            <w:vMerge w:val="continue"/>
            <w:shd w:val="clear" w:color="auto" w:fill="FFFFFF"/>
            <w:vAlign w:val="center"/>
          </w:tcPr>
          <w:p w14:paraId="4F842014">
            <w:pPr>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035218A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　</w:t>
            </w:r>
          </w:p>
        </w:tc>
        <w:tc>
          <w:tcPr>
            <w:tcW w:w="553" w:type="pct"/>
            <w:shd w:val="clear" w:color="auto" w:fill="FFFFFF"/>
            <w:vAlign w:val="center"/>
          </w:tcPr>
          <w:p w14:paraId="273204B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p w14:paraId="051D9A7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072" w:type="pct"/>
            <w:shd w:val="clear" w:color="000000" w:fill="FFFFFF"/>
            <w:vAlign w:val="center"/>
          </w:tcPr>
          <w:p w14:paraId="04F442B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项目所设定的绩效目标是否依据充分，是否符合客观实际，用以反映和考核项目绩效目标与项目实施的相符情况。</w:t>
            </w:r>
          </w:p>
        </w:tc>
        <w:tc>
          <w:tcPr>
            <w:tcW w:w="1583" w:type="pct"/>
            <w:shd w:val="clear" w:color="000000" w:fill="FFFFFF"/>
            <w:vAlign w:val="center"/>
          </w:tcPr>
          <w:p w14:paraId="0F113051">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（如未设定预算绩效目标，也可考核其他工作任务目标）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①项目是否有绩效目标；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②项目绩效目标与实际工作内容是否具有相关性；</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③项目预期产出效益和效果是否符合正常的业绩水平；</w:t>
            </w:r>
          </w:p>
          <w:p w14:paraId="04577F86">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④是否与预算确定的项目投资额或资金量相匹配。</w:t>
            </w:r>
          </w:p>
        </w:tc>
        <w:tc>
          <w:tcPr>
            <w:tcW w:w="341" w:type="pct"/>
            <w:shd w:val="clear" w:color="000000" w:fill="FFFFFF"/>
            <w:vAlign w:val="center"/>
          </w:tcPr>
          <w:p w14:paraId="03CC96D6">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10E411D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338FE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44" w:type="pct"/>
            <w:vMerge w:val="restart"/>
            <w:shd w:val="clear" w:color="auto" w:fill="FFFFFF"/>
            <w:vAlign w:val="center"/>
          </w:tcPr>
          <w:p w14:paraId="2EB09BD4">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tc>
        <w:tc>
          <w:tcPr>
            <w:tcW w:w="574" w:type="pct"/>
            <w:shd w:val="clear" w:color="auto" w:fill="FFFFFF"/>
            <w:vAlign w:val="center"/>
          </w:tcPr>
          <w:p w14:paraId="097D3C9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tc>
        <w:tc>
          <w:tcPr>
            <w:tcW w:w="553" w:type="pct"/>
            <w:shd w:val="clear" w:color="auto" w:fill="FFFFFF"/>
            <w:vAlign w:val="center"/>
          </w:tcPr>
          <w:p w14:paraId="7716DA8D">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绩效指标</w:t>
            </w:r>
          </w:p>
          <w:p w14:paraId="3F8E4884">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明确性</w:t>
            </w:r>
          </w:p>
        </w:tc>
        <w:tc>
          <w:tcPr>
            <w:tcW w:w="1072" w:type="pct"/>
            <w:shd w:val="clear" w:color="000000" w:fill="FFFFFF"/>
            <w:vAlign w:val="center"/>
          </w:tcPr>
          <w:p w14:paraId="76E5152B">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依据绩效目标设定的绩效指标是否清晰、细化、可衡量等，用以反映和考核项目绩效目标的明细化情况。</w:t>
            </w:r>
          </w:p>
        </w:tc>
        <w:tc>
          <w:tcPr>
            <w:tcW w:w="1583" w:type="pct"/>
            <w:shd w:val="clear" w:color="000000" w:fill="FFFFFF"/>
            <w:vAlign w:val="center"/>
          </w:tcPr>
          <w:p w14:paraId="5D57D35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①是否将项目绩效目标细化分解为具体的绩效指标；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②是否通过清晰、可衡量的指标值予以体现；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③是否与项目目标任务数或计划数相对应。</w:t>
            </w:r>
            <w:r>
              <w:rPr>
                <w:rFonts w:hint="eastAsia" w:ascii="宋体" w:hAnsi="宋体" w:eastAsia="宋体" w:cs="宋体"/>
                <w:color w:val="auto"/>
                <w:kern w:val="0"/>
                <w:sz w:val="18"/>
                <w:szCs w:val="18"/>
              </w:rPr>
              <w:br w:type="textWrapping"/>
            </w:r>
          </w:p>
        </w:tc>
        <w:tc>
          <w:tcPr>
            <w:tcW w:w="341" w:type="pct"/>
            <w:shd w:val="clear" w:color="000000" w:fill="FFFFFF"/>
            <w:vAlign w:val="center"/>
          </w:tcPr>
          <w:p w14:paraId="79EA705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000000" w:fill="FFFFFF"/>
            <w:vAlign w:val="center"/>
          </w:tcPr>
          <w:p w14:paraId="16FB1AE0">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76B78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44" w:type="pct"/>
            <w:vMerge w:val="continue"/>
            <w:shd w:val="clear" w:color="auto" w:fill="FFFFFF"/>
            <w:vAlign w:val="center"/>
          </w:tcPr>
          <w:p w14:paraId="2F39622C">
            <w:pPr>
              <w:spacing w:line="0" w:lineRule="atLeast"/>
              <w:ind w:firstLine="0" w:firstLineChars="0"/>
              <w:jc w:val="center"/>
              <w:rPr>
                <w:rFonts w:ascii="宋体" w:hAnsi="宋体" w:eastAsia="宋体" w:cs="宋体"/>
                <w:color w:val="auto"/>
                <w:kern w:val="0"/>
                <w:sz w:val="18"/>
                <w:szCs w:val="18"/>
              </w:rPr>
            </w:pPr>
          </w:p>
        </w:tc>
        <w:tc>
          <w:tcPr>
            <w:tcW w:w="574" w:type="pct"/>
            <w:vMerge w:val="restart"/>
            <w:shd w:val="clear" w:color="auto" w:fill="FFFFFF"/>
            <w:vAlign w:val="center"/>
          </w:tcPr>
          <w:p w14:paraId="734C0F52">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资金投入</w:t>
            </w:r>
          </w:p>
          <w:p w14:paraId="286ADF06">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53" w:type="pct"/>
            <w:shd w:val="clear" w:color="auto" w:fill="FFFFFF"/>
            <w:vAlign w:val="center"/>
          </w:tcPr>
          <w:p w14:paraId="643C960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预算编制</w:t>
            </w:r>
          </w:p>
          <w:p w14:paraId="750BB9C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科学性</w:t>
            </w:r>
          </w:p>
        </w:tc>
        <w:tc>
          <w:tcPr>
            <w:tcW w:w="1072" w:type="pct"/>
            <w:shd w:val="clear" w:color="auto" w:fill="FFFFFF"/>
            <w:vAlign w:val="center"/>
          </w:tcPr>
          <w:p w14:paraId="54CDD4D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项目预算编制是否经过科学论证、有明确标准，资金额度与年度目标是否相适应，用以反映和考核项目预算编制的科学性、合理性情况。</w:t>
            </w:r>
          </w:p>
        </w:tc>
        <w:tc>
          <w:tcPr>
            <w:tcW w:w="1583" w:type="pct"/>
            <w:shd w:val="clear" w:color="auto" w:fill="FFFFFF"/>
            <w:vAlign w:val="center"/>
          </w:tcPr>
          <w:p w14:paraId="590D96BF">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①预算编制是否经过科学论证；</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②预算内容与项目内容是否匹配；</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③预算额度测算依据是否充分，是否按照标准编制；</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④预算确定的项目投资额或资金量是否与工作任务相匹配。</w:t>
            </w:r>
          </w:p>
        </w:tc>
        <w:tc>
          <w:tcPr>
            <w:tcW w:w="341" w:type="pct"/>
            <w:shd w:val="clear" w:color="auto" w:fill="FFFFFF"/>
            <w:vAlign w:val="center"/>
          </w:tcPr>
          <w:p w14:paraId="767B61B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auto" w:fill="FFFFFF"/>
            <w:vAlign w:val="center"/>
          </w:tcPr>
          <w:p w14:paraId="31F1792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6DDA6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44" w:type="pct"/>
            <w:vMerge w:val="continue"/>
            <w:shd w:val="clear" w:color="auto" w:fill="FFFFFF"/>
            <w:vAlign w:val="center"/>
          </w:tcPr>
          <w:p w14:paraId="69042BB1">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1EF87A85">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6FCF155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资金分配</w:t>
            </w:r>
          </w:p>
          <w:p w14:paraId="205126A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072" w:type="pct"/>
            <w:shd w:val="clear" w:color="auto" w:fill="FFFFFF"/>
            <w:vAlign w:val="center"/>
          </w:tcPr>
          <w:p w14:paraId="57F645F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项目预算资金分配是否有测算依据，与补助单位或地方实际是否相适应，用以反映和考核项目预算资金分配的科学性、合理性情况。</w:t>
            </w:r>
          </w:p>
        </w:tc>
        <w:tc>
          <w:tcPr>
            <w:tcW w:w="1583" w:type="pct"/>
            <w:shd w:val="clear" w:color="auto" w:fill="FFFFFF"/>
            <w:vAlign w:val="center"/>
          </w:tcPr>
          <w:p w14:paraId="2F6DAB9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①预算资金分配依据是否充分；</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②资金分配额度是否合理，与项目单位或地方实际是否相适应。</w:t>
            </w:r>
          </w:p>
        </w:tc>
        <w:tc>
          <w:tcPr>
            <w:tcW w:w="341" w:type="pct"/>
            <w:shd w:val="clear" w:color="auto" w:fill="FFFFFF"/>
            <w:vAlign w:val="center"/>
          </w:tcPr>
          <w:p w14:paraId="08F24738">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330" w:type="pct"/>
            <w:shd w:val="clear" w:color="auto" w:fill="FFFFFF"/>
            <w:vAlign w:val="center"/>
          </w:tcPr>
          <w:p w14:paraId="27F260B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14:paraId="6D16A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44" w:type="pct"/>
            <w:vMerge w:val="restart"/>
            <w:shd w:val="clear" w:color="auto" w:fill="FFFFFF"/>
            <w:vAlign w:val="center"/>
          </w:tcPr>
          <w:p w14:paraId="6F214D86">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w:t>
            </w:r>
          </w:p>
        </w:tc>
        <w:tc>
          <w:tcPr>
            <w:tcW w:w="574" w:type="pct"/>
            <w:vMerge w:val="restart"/>
            <w:shd w:val="clear" w:color="auto" w:fill="FFFFFF"/>
            <w:vAlign w:val="center"/>
          </w:tcPr>
          <w:p w14:paraId="0DD2884E">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553" w:type="pct"/>
            <w:shd w:val="clear" w:color="auto" w:fill="FFFFFF"/>
            <w:vAlign w:val="center"/>
          </w:tcPr>
          <w:p w14:paraId="7CCCA9D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w:t>
            </w:r>
          </w:p>
        </w:tc>
        <w:tc>
          <w:tcPr>
            <w:tcW w:w="1072" w:type="pct"/>
            <w:shd w:val="clear" w:color="000000" w:fill="FFFFFF"/>
            <w:vAlign w:val="center"/>
          </w:tcPr>
          <w:p w14:paraId="7FFAC511">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实际到位资金与预算资金的比率，用以反映和考核资金落实情况对项目实施的总体保障程度。</w:t>
            </w:r>
          </w:p>
        </w:tc>
        <w:tc>
          <w:tcPr>
            <w:tcW w:w="1583" w:type="pct"/>
            <w:shd w:val="clear" w:color="000000" w:fill="FFFFFF"/>
            <w:vAlign w:val="center"/>
          </w:tcPr>
          <w:p w14:paraId="05036005">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资金到位率=（实际到位资金/预算资金）×100%。</w:t>
            </w:r>
          </w:p>
          <w:p w14:paraId="2D188E12">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实际到位资金：一定时期（本年度或项目期）内落实到具体项目的资金。</w:t>
            </w:r>
          </w:p>
          <w:p w14:paraId="74BB1FA1">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预算资金：一定时期（本年度或项目期）内预算安排到具体项目的资金。</w:t>
            </w:r>
          </w:p>
        </w:tc>
        <w:tc>
          <w:tcPr>
            <w:tcW w:w="341" w:type="pct"/>
            <w:shd w:val="clear" w:color="000000" w:fill="FFFFFF"/>
            <w:vAlign w:val="center"/>
          </w:tcPr>
          <w:p w14:paraId="0EFF0323">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1983DCB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74F38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44" w:type="pct"/>
            <w:vMerge w:val="continue"/>
            <w:shd w:val="clear" w:color="auto" w:fill="FFFFFF"/>
            <w:vAlign w:val="center"/>
          </w:tcPr>
          <w:p w14:paraId="36EDF582">
            <w:pPr>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407CCBCF">
            <w:pPr>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7DE64C3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预算执行率</w:t>
            </w:r>
          </w:p>
        </w:tc>
        <w:tc>
          <w:tcPr>
            <w:tcW w:w="1072" w:type="pct"/>
            <w:shd w:val="clear" w:color="auto" w:fill="FFFFFF"/>
            <w:vAlign w:val="center"/>
          </w:tcPr>
          <w:p w14:paraId="1C22A0AF">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项目预算资金是否按照计划执行，用以反映或考核项目预算执行情况。</w:t>
            </w:r>
          </w:p>
        </w:tc>
        <w:tc>
          <w:tcPr>
            <w:tcW w:w="1583" w:type="pct"/>
            <w:shd w:val="clear" w:color="auto" w:fill="FFFFFF"/>
            <w:vAlign w:val="center"/>
          </w:tcPr>
          <w:p w14:paraId="57DE9ACC">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预算执行率=（实际支出资金/实际到位资金）×100%。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实际支出资金：一定时期（本年度或项目期）内项目实际拨付的资金。</w:t>
            </w:r>
          </w:p>
        </w:tc>
        <w:tc>
          <w:tcPr>
            <w:tcW w:w="341" w:type="pct"/>
            <w:shd w:val="clear" w:color="auto" w:fill="FFFFFF"/>
            <w:vAlign w:val="center"/>
          </w:tcPr>
          <w:p w14:paraId="60AA02D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auto" w:fill="FFFFFF"/>
            <w:vAlign w:val="center"/>
          </w:tcPr>
          <w:p w14:paraId="7341860F">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3</w:t>
            </w:r>
          </w:p>
        </w:tc>
      </w:tr>
      <w:tr w14:paraId="14715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44" w:type="pct"/>
            <w:vMerge w:val="restart"/>
            <w:shd w:val="clear" w:color="auto" w:fill="FFFFFF"/>
            <w:vAlign w:val="center"/>
          </w:tcPr>
          <w:p w14:paraId="6E44439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14:paraId="31A3E0ED">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　</w:t>
            </w:r>
          </w:p>
        </w:tc>
        <w:tc>
          <w:tcPr>
            <w:tcW w:w="574" w:type="pct"/>
            <w:shd w:val="clear" w:color="auto" w:fill="FFFFFF"/>
            <w:vAlign w:val="center"/>
          </w:tcPr>
          <w:p w14:paraId="295C2523">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553" w:type="pct"/>
            <w:shd w:val="clear" w:color="auto" w:fill="FFFFFF"/>
            <w:vAlign w:val="center"/>
          </w:tcPr>
          <w:p w14:paraId="258CEAC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资金使用</w:t>
            </w:r>
          </w:p>
          <w:p w14:paraId="401233B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合规性</w:t>
            </w:r>
          </w:p>
        </w:tc>
        <w:tc>
          <w:tcPr>
            <w:tcW w:w="1072" w:type="pct"/>
            <w:shd w:val="clear" w:color="000000" w:fill="FFFFFF"/>
            <w:vAlign w:val="center"/>
          </w:tcPr>
          <w:p w14:paraId="5279279D">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项目资金使用是否符合相关的财务管理制度规定，用以反映和考核项目资金的规范运行情况。</w:t>
            </w:r>
          </w:p>
        </w:tc>
        <w:tc>
          <w:tcPr>
            <w:tcW w:w="1583" w:type="pct"/>
            <w:shd w:val="clear" w:color="000000" w:fill="FFFFFF"/>
            <w:vAlign w:val="center"/>
          </w:tcPr>
          <w:p w14:paraId="44D7A7C6">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①是否符合国家财经法规和财务管理制度以及有关专项资金管理办法的规定；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②资金的拨付是否有完整的审批程序和手续；</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③是否符合项目预算批复或合同规定的用途；</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④是否存在截留、挤占、挪用、虚列支出等情况。</w:t>
            </w:r>
          </w:p>
        </w:tc>
        <w:tc>
          <w:tcPr>
            <w:tcW w:w="341" w:type="pct"/>
            <w:shd w:val="clear" w:color="000000" w:fill="FFFFFF"/>
            <w:vAlign w:val="center"/>
          </w:tcPr>
          <w:p w14:paraId="3F859B5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6A6D4C31">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4</w:t>
            </w:r>
          </w:p>
        </w:tc>
      </w:tr>
      <w:tr w14:paraId="0ACE0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44" w:type="pct"/>
            <w:vMerge w:val="continue"/>
            <w:shd w:val="clear" w:color="auto" w:fill="FFFFFF"/>
            <w:vAlign w:val="center"/>
          </w:tcPr>
          <w:p w14:paraId="1FF5DA6D">
            <w:pPr>
              <w:spacing w:line="0" w:lineRule="atLeast"/>
              <w:ind w:firstLine="0" w:firstLineChars="0"/>
              <w:jc w:val="center"/>
              <w:rPr>
                <w:rFonts w:ascii="宋体" w:hAnsi="宋体" w:eastAsia="宋体" w:cs="宋体"/>
                <w:color w:val="auto"/>
                <w:kern w:val="0"/>
                <w:sz w:val="18"/>
                <w:szCs w:val="18"/>
              </w:rPr>
            </w:pPr>
          </w:p>
        </w:tc>
        <w:tc>
          <w:tcPr>
            <w:tcW w:w="574" w:type="pct"/>
            <w:vMerge w:val="restart"/>
            <w:shd w:val="clear" w:color="auto" w:fill="FFFFFF"/>
            <w:vAlign w:val="center"/>
          </w:tcPr>
          <w:p w14:paraId="1094922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组织实施</w:t>
            </w:r>
          </w:p>
          <w:p w14:paraId="2AB43AE1">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553" w:type="pct"/>
            <w:shd w:val="clear" w:color="auto" w:fill="FFFFFF"/>
            <w:vAlign w:val="center"/>
          </w:tcPr>
          <w:p w14:paraId="5340A812">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管理制度</w:t>
            </w:r>
          </w:p>
          <w:p w14:paraId="13A6F3CD">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健全性</w:t>
            </w:r>
          </w:p>
        </w:tc>
        <w:tc>
          <w:tcPr>
            <w:tcW w:w="1072" w:type="pct"/>
            <w:shd w:val="clear" w:color="000000" w:fill="FFFFFF"/>
            <w:vAlign w:val="center"/>
          </w:tcPr>
          <w:p w14:paraId="2C8F3F7F">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项目实施单位的财务和业务管理制度是否健全，用以反映和考核财务和业务管理制度对项目顺利实施的保障情况。</w:t>
            </w:r>
          </w:p>
        </w:tc>
        <w:tc>
          <w:tcPr>
            <w:tcW w:w="1583" w:type="pct"/>
            <w:shd w:val="clear" w:color="000000" w:fill="FFFFFF"/>
            <w:vAlign w:val="center"/>
          </w:tcPr>
          <w:p w14:paraId="7AA404BE">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①是否已制定或具有相应的财务和业务管理制度；</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②财务和业务管理制度是否合法、合规、完整。</w:t>
            </w:r>
          </w:p>
        </w:tc>
        <w:tc>
          <w:tcPr>
            <w:tcW w:w="341" w:type="pct"/>
            <w:shd w:val="clear" w:color="000000" w:fill="FFFFFF"/>
            <w:vAlign w:val="center"/>
          </w:tcPr>
          <w:p w14:paraId="78AE16ED">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5D9139CA">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4</w:t>
            </w:r>
          </w:p>
        </w:tc>
      </w:tr>
      <w:tr w14:paraId="3BC76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44" w:type="pct"/>
            <w:vMerge w:val="continue"/>
            <w:shd w:val="clear" w:color="auto" w:fill="FFFFFF"/>
            <w:vAlign w:val="center"/>
          </w:tcPr>
          <w:p w14:paraId="61BD945D">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5A62418C">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6DF6597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制度执行</w:t>
            </w:r>
          </w:p>
          <w:p w14:paraId="1D64275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有效性</w:t>
            </w:r>
          </w:p>
        </w:tc>
        <w:tc>
          <w:tcPr>
            <w:tcW w:w="1072" w:type="pct"/>
            <w:shd w:val="clear" w:color="000000" w:fill="FFFFFF"/>
            <w:vAlign w:val="center"/>
          </w:tcPr>
          <w:p w14:paraId="7555FA4F">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项目实施是否符合相关管理规定，用以反映和考核相关管理制度的有效执行情况。</w:t>
            </w:r>
          </w:p>
        </w:tc>
        <w:tc>
          <w:tcPr>
            <w:tcW w:w="1583" w:type="pct"/>
            <w:shd w:val="clear" w:color="000000" w:fill="FFFFFF"/>
            <w:vAlign w:val="center"/>
          </w:tcPr>
          <w:p w14:paraId="1338CA3B">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①是否遵守相关法律法规和相关管理规定；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②项目调整及支出调整手续是否完备；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③项目合同书、验收报告、技术鉴定等资料是否齐全并及时归档；</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④项目实施的人员条件、场地设备、信息支撑等是否落实到位。</w:t>
            </w:r>
          </w:p>
        </w:tc>
        <w:tc>
          <w:tcPr>
            <w:tcW w:w="341" w:type="pct"/>
            <w:shd w:val="clear" w:color="000000" w:fill="FFFFFF"/>
            <w:vAlign w:val="center"/>
          </w:tcPr>
          <w:p w14:paraId="2895322D">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330" w:type="pct"/>
            <w:shd w:val="clear" w:color="000000" w:fill="FFFFFF"/>
            <w:vAlign w:val="center"/>
          </w:tcPr>
          <w:p w14:paraId="1CB1C18A">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14:paraId="1912F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44" w:type="pct"/>
            <w:shd w:val="clear" w:color="auto" w:fill="FFFFFF"/>
            <w:vAlign w:val="center"/>
          </w:tcPr>
          <w:p w14:paraId="3A79C765">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574" w:type="pct"/>
            <w:shd w:val="clear" w:color="auto" w:fill="FFFFFF"/>
            <w:vAlign w:val="center"/>
          </w:tcPr>
          <w:p w14:paraId="05CC43D8">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产出数量</w:t>
            </w:r>
          </w:p>
        </w:tc>
        <w:tc>
          <w:tcPr>
            <w:tcW w:w="553" w:type="pct"/>
            <w:shd w:val="clear" w:color="auto" w:fill="FFFFFF"/>
            <w:vAlign w:val="center"/>
          </w:tcPr>
          <w:p w14:paraId="7E02BDB6">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实际完成率</w:t>
            </w:r>
          </w:p>
        </w:tc>
        <w:tc>
          <w:tcPr>
            <w:tcW w:w="1072" w:type="pct"/>
            <w:shd w:val="clear" w:color="000000" w:fill="FFFFFF"/>
            <w:vAlign w:val="center"/>
          </w:tcPr>
          <w:p w14:paraId="2D46FF8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项目实施的实际产出数与计划产出数的比率，用以反映和考核项目产出数量目标的实现程度。</w:t>
            </w:r>
          </w:p>
        </w:tc>
        <w:tc>
          <w:tcPr>
            <w:tcW w:w="1583" w:type="pct"/>
            <w:shd w:val="clear" w:color="000000" w:fill="FFFFFF"/>
            <w:vAlign w:val="center"/>
          </w:tcPr>
          <w:p w14:paraId="20AE1A19">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实际完成率=（实际产出数/计划产出数）×100%。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实际产出数：一定时期（本年度或项目期）内项目实际产出的产品或提供的服务数量。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计划产出数：项目绩效目标确定的在一定时期（本年度或项目期）内计划产出的产品或提供的服务数量。</w:t>
            </w:r>
          </w:p>
        </w:tc>
        <w:tc>
          <w:tcPr>
            <w:tcW w:w="341" w:type="pct"/>
            <w:shd w:val="clear" w:color="000000" w:fill="FFFFFF"/>
            <w:vAlign w:val="center"/>
          </w:tcPr>
          <w:p w14:paraId="5ABAC304">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3849BD4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5BB96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44" w:type="pct"/>
            <w:vMerge w:val="restart"/>
            <w:shd w:val="clear" w:color="auto" w:fill="FFFFFF"/>
            <w:vAlign w:val="center"/>
          </w:tcPr>
          <w:p w14:paraId="50DCBCE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574" w:type="pct"/>
            <w:shd w:val="clear" w:color="auto" w:fill="FFFFFF"/>
            <w:vAlign w:val="center"/>
          </w:tcPr>
          <w:p w14:paraId="55C213BC">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产出质量</w:t>
            </w:r>
          </w:p>
        </w:tc>
        <w:tc>
          <w:tcPr>
            <w:tcW w:w="553" w:type="pct"/>
            <w:shd w:val="clear" w:color="auto" w:fill="FFFFFF"/>
            <w:vAlign w:val="center"/>
          </w:tcPr>
          <w:p w14:paraId="35CB4AF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w:t>
            </w:r>
          </w:p>
        </w:tc>
        <w:tc>
          <w:tcPr>
            <w:tcW w:w="1072" w:type="pct"/>
            <w:shd w:val="clear" w:color="000000" w:fill="FFFFFF"/>
            <w:vAlign w:val="center"/>
          </w:tcPr>
          <w:p w14:paraId="55C897A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项目完成的质量达标产出数与实际产出数的比率，用以反映和考核项目产出质量目标的实现程度。</w:t>
            </w:r>
          </w:p>
        </w:tc>
        <w:tc>
          <w:tcPr>
            <w:tcW w:w="1583" w:type="pct"/>
            <w:shd w:val="clear" w:color="000000" w:fill="FFFFFF"/>
            <w:vAlign w:val="center"/>
          </w:tcPr>
          <w:p w14:paraId="6224AF50">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质量达标率=（质量达标产出数/实际产出数）×100%。</w:t>
            </w:r>
          </w:p>
          <w:p w14:paraId="0B68C956">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41" w:type="pct"/>
            <w:shd w:val="clear" w:color="000000" w:fill="FFFFFF"/>
            <w:vAlign w:val="center"/>
          </w:tcPr>
          <w:p w14:paraId="22EC52A0">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371FB72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6D37A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44" w:type="pct"/>
            <w:vMerge w:val="continue"/>
            <w:shd w:val="clear" w:color="auto" w:fill="FFFFFF"/>
            <w:vAlign w:val="center"/>
          </w:tcPr>
          <w:p w14:paraId="7DFD9468">
            <w:pPr>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1B27FE3D">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产出时效</w:t>
            </w:r>
          </w:p>
        </w:tc>
        <w:tc>
          <w:tcPr>
            <w:tcW w:w="553" w:type="pct"/>
            <w:shd w:val="clear" w:color="auto" w:fill="FFFFFF"/>
            <w:vAlign w:val="center"/>
          </w:tcPr>
          <w:p w14:paraId="1D35782B">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完成及时性</w:t>
            </w:r>
          </w:p>
        </w:tc>
        <w:tc>
          <w:tcPr>
            <w:tcW w:w="1072" w:type="pct"/>
            <w:shd w:val="clear" w:color="000000" w:fill="FFFFFF"/>
            <w:vAlign w:val="center"/>
          </w:tcPr>
          <w:p w14:paraId="4F7CA46C">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项目实际完成时间与计划完成时间的比较，用以反映和考核项目产出时效目标的实现程度。</w:t>
            </w:r>
          </w:p>
        </w:tc>
        <w:tc>
          <w:tcPr>
            <w:tcW w:w="1583" w:type="pct"/>
            <w:shd w:val="clear" w:color="000000" w:fill="FFFFFF"/>
            <w:vAlign w:val="center"/>
          </w:tcPr>
          <w:p w14:paraId="64505F88">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实际完成时间：项目实施单位完成该项目实际所耗用的时间。</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计划完成时间：按照项目实施计划或相关规定完成该项目所需的时间。</w:t>
            </w:r>
          </w:p>
        </w:tc>
        <w:tc>
          <w:tcPr>
            <w:tcW w:w="341" w:type="pct"/>
            <w:shd w:val="clear" w:color="000000" w:fill="FFFFFF"/>
            <w:vAlign w:val="center"/>
          </w:tcPr>
          <w:p w14:paraId="0388177E">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0B5C20D9">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7152D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0" w:hRule="atLeast"/>
          <w:jc w:val="center"/>
        </w:trPr>
        <w:tc>
          <w:tcPr>
            <w:tcW w:w="544" w:type="pct"/>
            <w:vMerge w:val="continue"/>
            <w:shd w:val="clear" w:color="auto" w:fill="FFFFFF"/>
            <w:vAlign w:val="center"/>
          </w:tcPr>
          <w:p w14:paraId="628DED23">
            <w:pPr>
              <w:widowControl/>
              <w:spacing w:line="0" w:lineRule="atLeast"/>
              <w:ind w:firstLine="0" w:firstLineChars="0"/>
              <w:jc w:val="center"/>
              <w:rPr>
                <w:rFonts w:ascii="宋体" w:hAnsi="宋体" w:eastAsia="宋体" w:cs="宋体"/>
                <w:color w:val="auto"/>
                <w:kern w:val="0"/>
                <w:sz w:val="18"/>
                <w:szCs w:val="18"/>
              </w:rPr>
            </w:pPr>
          </w:p>
        </w:tc>
        <w:tc>
          <w:tcPr>
            <w:tcW w:w="574" w:type="pct"/>
            <w:shd w:val="clear" w:color="auto" w:fill="FFFFFF"/>
            <w:vAlign w:val="center"/>
          </w:tcPr>
          <w:p w14:paraId="335C01E7">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产出成本</w:t>
            </w:r>
          </w:p>
        </w:tc>
        <w:tc>
          <w:tcPr>
            <w:tcW w:w="553" w:type="pct"/>
            <w:shd w:val="clear" w:color="auto" w:fill="FFFFFF"/>
            <w:vAlign w:val="center"/>
          </w:tcPr>
          <w:p w14:paraId="59AD3DBA">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成本节约率</w:t>
            </w:r>
          </w:p>
        </w:tc>
        <w:tc>
          <w:tcPr>
            <w:tcW w:w="1072" w:type="pct"/>
            <w:shd w:val="clear" w:color="000000" w:fill="FFFFFF"/>
            <w:vAlign w:val="center"/>
          </w:tcPr>
          <w:p w14:paraId="7239EE59">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完成项目计划工作目标的实际节约成本与计划成本的比率，用以反映和考核项目的成本节约程度。</w:t>
            </w:r>
          </w:p>
        </w:tc>
        <w:tc>
          <w:tcPr>
            <w:tcW w:w="1583" w:type="pct"/>
            <w:shd w:val="clear" w:color="000000" w:fill="FFFFFF"/>
            <w:vAlign w:val="center"/>
          </w:tcPr>
          <w:p w14:paraId="46D2B3C7">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成本节约率=[（计划成本-实际成本）/计划成本]×100%。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实际成本：项目实施单位如期、保质、保量完成既定工作目标实际所耗费的支出。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计划成本：项目实施单位为完成工作目标计划安排的支出，一般以项目预算为参考。</w:t>
            </w:r>
          </w:p>
        </w:tc>
        <w:tc>
          <w:tcPr>
            <w:tcW w:w="341" w:type="pct"/>
            <w:shd w:val="clear" w:color="000000" w:fill="FFFFFF"/>
            <w:vAlign w:val="center"/>
          </w:tcPr>
          <w:p w14:paraId="1DB2FA6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330" w:type="pct"/>
            <w:shd w:val="clear" w:color="000000" w:fill="FFFFFF"/>
            <w:vAlign w:val="center"/>
          </w:tcPr>
          <w:p w14:paraId="489005E1">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14:paraId="16F84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44" w:type="pct"/>
            <w:vMerge w:val="restart"/>
            <w:shd w:val="clear" w:color="auto" w:fill="FFFFFF"/>
            <w:vAlign w:val="center"/>
          </w:tcPr>
          <w:p w14:paraId="303418D9">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　</w:t>
            </w:r>
          </w:p>
        </w:tc>
        <w:tc>
          <w:tcPr>
            <w:tcW w:w="574" w:type="pct"/>
            <w:vMerge w:val="restart"/>
            <w:shd w:val="clear" w:color="auto" w:fill="FFFFFF"/>
            <w:vAlign w:val="center"/>
          </w:tcPr>
          <w:p w14:paraId="4AE707D3">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项目效益　</w:t>
            </w:r>
          </w:p>
        </w:tc>
        <w:tc>
          <w:tcPr>
            <w:tcW w:w="553" w:type="pct"/>
            <w:shd w:val="clear" w:color="auto" w:fill="FFFFFF"/>
            <w:vAlign w:val="center"/>
          </w:tcPr>
          <w:p w14:paraId="1CB629F0">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实施效益</w:t>
            </w:r>
          </w:p>
        </w:tc>
        <w:tc>
          <w:tcPr>
            <w:tcW w:w="1072" w:type="pct"/>
            <w:shd w:val="clear" w:color="auto" w:fill="FFFFFF"/>
            <w:vAlign w:val="center"/>
          </w:tcPr>
          <w:p w14:paraId="599898D1">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项目实施所产生的效益。</w:t>
            </w:r>
          </w:p>
        </w:tc>
        <w:tc>
          <w:tcPr>
            <w:tcW w:w="1583" w:type="pct"/>
            <w:shd w:val="clear" w:color="auto" w:fill="FFFFFF"/>
            <w:vAlign w:val="center"/>
          </w:tcPr>
          <w:p w14:paraId="236DF463">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项目实施所产生的社会效益、经济效益、生态效益、可持续影响等。可根据项目实际情况有选择地设置和细化。</w:t>
            </w:r>
          </w:p>
        </w:tc>
        <w:tc>
          <w:tcPr>
            <w:tcW w:w="341" w:type="pct"/>
            <w:shd w:val="clear" w:color="auto" w:fill="FFFFFF"/>
            <w:vAlign w:val="center"/>
          </w:tcPr>
          <w:p w14:paraId="31171002">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15</w:t>
            </w:r>
          </w:p>
        </w:tc>
        <w:tc>
          <w:tcPr>
            <w:tcW w:w="330" w:type="pct"/>
            <w:shd w:val="clear" w:color="auto" w:fill="FFFFFF"/>
            <w:vAlign w:val="center"/>
          </w:tcPr>
          <w:p w14:paraId="6149247F">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15</w:t>
            </w:r>
          </w:p>
        </w:tc>
      </w:tr>
      <w:tr w14:paraId="0A4B7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44" w:type="pct"/>
            <w:vMerge w:val="continue"/>
            <w:shd w:val="clear" w:color="auto" w:fill="FFFFFF"/>
            <w:vAlign w:val="center"/>
          </w:tcPr>
          <w:p w14:paraId="0DA6B053">
            <w:pPr>
              <w:widowControl/>
              <w:spacing w:line="0" w:lineRule="atLeast"/>
              <w:ind w:firstLine="0" w:firstLineChars="0"/>
              <w:jc w:val="center"/>
              <w:rPr>
                <w:rFonts w:ascii="宋体" w:hAnsi="宋体" w:eastAsia="宋体" w:cs="宋体"/>
                <w:color w:val="auto"/>
                <w:kern w:val="0"/>
                <w:sz w:val="18"/>
                <w:szCs w:val="18"/>
              </w:rPr>
            </w:pPr>
          </w:p>
        </w:tc>
        <w:tc>
          <w:tcPr>
            <w:tcW w:w="574" w:type="pct"/>
            <w:vMerge w:val="continue"/>
            <w:shd w:val="clear" w:color="auto" w:fill="FFFFFF"/>
            <w:vAlign w:val="center"/>
          </w:tcPr>
          <w:p w14:paraId="7A549678">
            <w:pPr>
              <w:widowControl/>
              <w:spacing w:line="0" w:lineRule="atLeast"/>
              <w:ind w:firstLine="0" w:firstLineChars="0"/>
              <w:jc w:val="center"/>
              <w:rPr>
                <w:rFonts w:ascii="宋体" w:hAnsi="宋体" w:eastAsia="宋体" w:cs="宋体"/>
                <w:color w:val="auto"/>
                <w:kern w:val="0"/>
                <w:sz w:val="18"/>
                <w:szCs w:val="18"/>
              </w:rPr>
            </w:pPr>
          </w:p>
        </w:tc>
        <w:tc>
          <w:tcPr>
            <w:tcW w:w="553" w:type="pct"/>
            <w:shd w:val="clear" w:color="auto" w:fill="FFFFFF"/>
            <w:vAlign w:val="center"/>
          </w:tcPr>
          <w:p w14:paraId="7FCB2F65">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tc>
        <w:tc>
          <w:tcPr>
            <w:tcW w:w="1072" w:type="pct"/>
            <w:shd w:val="clear" w:color="000000" w:fill="FFFFFF"/>
            <w:vAlign w:val="center"/>
          </w:tcPr>
          <w:p w14:paraId="109F7BA8">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社会公众或服务对象对项目实施效果的满意程度。</w:t>
            </w:r>
          </w:p>
        </w:tc>
        <w:tc>
          <w:tcPr>
            <w:tcW w:w="1583" w:type="pct"/>
            <w:shd w:val="clear" w:color="000000" w:fill="FFFFFF"/>
            <w:vAlign w:val="center"/>
          </w:tcPr>
          <w:p w14:paraId="10C6C8B4">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社会公众或服务对象是指因该项目实施而受到影响的部门（单位）、群体或个人。一般采取社会调查的方式。</w:t>
            </w:r>
          </w:p>
        </w:tc>
        <w:tc>
          <w:tcPr>
            <w:tcW w:w="341" w:type="pct"/>
            <w:shd w:val="clear" w:color="000000" w:fill="FFFFFF"/>
            <w:vAlign w:val="center"/>
          </w:tcPr>
          <w:p w14:paraId="6BF94460">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5</w:t>
            </w:r>
          </w:p>
        </w:tc>
        <w:tc>
          <w:tcPr>
            <w:tcW w:w="330" w:type="pct"/>
            <w:shd w:val="clear" w:color="000000" w:fill="FFFFFF"/>
            <w:vAlign w:val="center"/>
          </w:tcPr>
          <w:p w14:paraId="66A5AFFC">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5</w:t>
            </w:r>
          </w:p>
        </w:tc>
      </w:tr>
    </w:tbl>
    <w:p w14:paraId="3B42897A">
      <w:pPr>
        <w:numPr>
          <w:ilvl w:val="0"/>
          <w:numId w:val="0"/>
        </w:numPr>
        <w:spacing w:line="240" w:lineRule="auto"/>
        <w:rPr>
          <w:rFonts w:hint="eastAsia" w:ascii="仿宋_GB2312" w:hAnsi="仿宋_GB2312" w:eastAsia="仿宋_GB2312" w:cs="仿宋_GB2312"/>
          <w:b w:val="0"/>
          <w:bCs w:val="0"/>
          <w:sz w:val="32"/>
          <w:szCs w:val="32"/>
          <w:lang w:eastAsia="zh-CN"/>
        </w:rPr>
      </w:pPr>
    </w:p>
    <w:sectPr>
      <w:footerReference r:id="rId3"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D45DAE0-3468-4B28-B325-119E0B28066C}"/>
  </w:font>
  <w:font w:name="黑体">
    <w:panose1 w:val="02010609060101010101"/>
    <w:charset w:val="86"/>
    <w:family w:val="auto"/>
    <w:pitch w:val="default"/>
    <w:sig w:usb0="800002BF" w:usb1="38CF7CFA" w:usb2="00000016" w:usb3="00000000" w:csb0="00040001" w:csb1="00000000"/>
    <w:embedRegular r:id="rId2" w:fontKey="{9BEB659F-C25F-4B94-94EE-784414EDA1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0D846643-E16D-4D2C-BFD7-A68E66E00CEE}"/>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embedRegular r:id="rId4" w:fontKey="{692723B5-1035-484A-944A-4470C1056A97}"/>
  </w:font>
  <w:font w:name="楷体_GB2312">
    <w:panose1 w:val="02010609030101010101"/>
    <w:charset w:val="86"/>
    <w:family w:val="modern"/>
    <w:pitch w:val="default"/>
    <w:sig w:usb0="00000001" w:usb1="080E0000" w:usb2="00000000" w:usb3="00000000" w:csb0="00040000" w:csb1="00000000"/>
    <w:embedRegular r:id="rId5" w:fontKey="{B0AEA782-46A0-4A4F-9DE3-A6016D99F8C7}"/>
  </w:font>
  <w:font w:name="方正仿宋_GBK">
    <w:altName w:val="微软雅黑"/>
    <w:panose1 w:val="03000509000000000000"/>
    <w:charset w:val="86"/>
    <w:family w:val="auto"/>
    <w:pitch w:val="default"/>
    <w:sig w:usb0="00000000" w:usb1="00000000" w:usb2="00000000" w:usb3="00000000" w:csb0="00040000" w:csb1="00000000"/>
    <w:embedRegular r:id="rId6" w:fontKey="{E86D7BDD-9265-406B-883E-96EF2490736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23D5F">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FCFA8C">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EFCFA8C">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766FA"/>
    <w:multiLevelType w:val="singleLevel"/>
    <w:tmpl w:val="92A766FA"/>
    <w:lvl w:ilvl="0" w:tentative="0">
      <w:start w:val="2"/>
      <w:numFmt w:val="chineseCounting"/>
      <w:suff w:val="nothing"/>
      <w:lvlText w:val="（%1）"/>
      <w:lvlJc w:val="left"/>
      <w:rPr>
        <w:rFonts w:hint="eastAsia"/>
      </w:rPr>
    </w:lvl>
  </w:abstractNum>
  <w:abstractNum w:abstractNumId="1">
    <w:nsid w:val="B3D105BE"/>
    <w:multiLevelType w:val="singleLevel"/>
    <w:tmpl w:val="B3D105BE"/>
    <w:lvl w:ilvl="0" w:tentative="0">
      <w:start w:val="2"/>
      <w:numFmt w:val="decimal"/>
      <w:suff w:val="nothing"/>
      <w:lvlText w:val="（%1）"/>
      <w:lvlJc w:val="left"/>
    </w:lvl>
  </w:abstractNum>
  <w:abstractNum w:abstractNumId="2">
    <w:nsid w:val="D86C8F46"/>
    <w:multiLevelType w:val="singleLevel"/>
    <w:tmpl w:val="D86C8F46"/>
    <w:lvl w:ilvl="0" w:tentative="0">
      <w:start w:val="1"/>
      <w:numFmt w:val="chineseCounting"/>
      <w:suff w:val="nothing"/>
      <w:lvlText w:val="（%1）"/>
      <w:lvlJc w:val="left"/>
      <w:rPr>
        <w:rFonts w:hint="eastAsia"/>
      </w:rPr>
    </w:lvl>
  </w:abstractNum>
  <w:abstractNum w:abstractNumId="3">
    <w:nsid w:val="DEF60FE1"/>
    <w:multiLevelType w:val="singleLevel"/>
    <w:tmpl w:val="DEF60FE1"/>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50072B"/>
    <w:rsid w:val="000852AC"/>
    <w:rsid w:val="00174594"/>
    <w:rsid w:val="001956D2"/>
    <w:rsid w:val="001A35AB"/>
    <w:rsid w:val="001C3BA2"/>
    <w:rsid w:val="0024124C"/>
    <w:rsid w:val="00246AA5"/>
    <w:rsid w:val="0026347D"/>
    <w:rsid w:val="0036519A"/>
    <w:rsid w:val="00386BB7"/>
    <w:rsid w:val="003B251F"/>
    <w:rsid w:val="0050072B"/>
    <w:rsid w:val="00517036"/>
    <w:rsid w:val="00521DE2"/>
    <w:rsid w:val="00543F77"/>
    <w:rsid w:val="006C289C"/>
    <w:rsid w:val="006E5CDA"/>
    <w:rsid w:val="0071647B"/>
    <w:rsid w:val="0075203D"/>
    <w:rsid w:val="007A0BD4"/>
    <w:rsid w:val="008635BF"/>
    <w:rsid w:val="008C768D"/>
    <w:rsid w:val="00A026C0"/>
    <w:rsid w:val="00B16151"/>
    <w:rsid w:val="00B32043"/>
    <w:rsid w:val="00B533B5"/>
    <w:rsid w:val="00B951F5"/>
    <w:rsid w:val="00BB0DF2"/>
    <w:rsid w:val="00BE2AA0"/>
    <w:rsid w:val="00C04421"/>
    <w:rsid w:val="00C4100F"/>
    <w:rsid w:val="00C83EED"/>
    <w:rsid w:val="00CA01E0"/>
    <w:rsid w:val="00CA4A55"/>
    <w:rsid w:val="00CD0507"/>
    <w:rsid w:val="00D1761A"/>
    <w:rsid w:val="00DC1DDC"/>
    <w:rsid w:val="00E74430"/>
    <w:rsid w:val="00F42B1F"/>
    <w:rsid w:val="00FD5B47"/>
    <w:rsid w:val="0127533C"/>
    <w:rsid w:val="03253C2A"/>
    <w:rsid w:val="03BF1A66"/>
    <w:rsid w:val="048E3768"/>
    <w:rsid w:val="06DF3E28"/>
    <w:rsid w:val="06FD4082"/>
    <w:rsid w:val="07C14EFD"/>
    <w:rsid w:val="09576346"/>
    <w:rsid w:val="09BC53C0"/>
    <w:rsid w:val="0B200EBD"/>
    <w:rsid w:val="0CF40404"/>
    <w:rsid w:val="0D6A5399"/>
    <w:rsid w:val="0E7B6D15"/>
    <w:rsid w:val="119F7100"/>
    <w:rsid w:val="15590DFC"/>
    <w:rsid w:val="163206EF"/>
    <w:rsid w:val="169246D1"/>
    <w:rsid w:val="17966666"/>
    <w:rsid w:val="18673E19"/>
    <w:rsid w:val="18B511D5"/>
    <w:rsid w:val="1C211C54"/>
    <w:rsid w:val="1CA20D4A"/>
    <w:rsid w:val="1DB1083F"/>
    <w:rsid w:val="1F0B55D3"/>
    <w:rsid w:val="20045149"/>
    <w:rsid w:val="23193ACA"/>
    <w:rsid w:val="235C6C70"/>
    <w:rsid w:val="239857CE"/>
    <w:rsid w:val="24A43559"/>
    <w:rsid w:val="24BD2F54"/>
    <w:rsid w:val="2552384A"/>
    <w:rsid w:val="25737EE8"/>
    <w:rsid w:val="27B63E38"/>
    <w:rsid w:val="2B3703B6"/>
    <w:rsid w:val="30D31E88"/>
    <w:rsid w:val="31B5579D"/>
    <w:rsid w:val="31B71367"/>
    <w:rsid w:val="3568020C"/>
    <w:rsid w:val="37911EE3"/>
    <w:rsid w:val="3944306B"/>
    <w:rsid w:val="39E66E3B"/>
    <w:rsid w:val="3D112C05"/>
    <w:rsid w:val="3DB07863"/>
    <w:rsid w:val="3E9E16BF"/>
    <w:rsid w:val="3EAD3EAA"/>
    <w:rsid w:val="401562C9"/>
    <w:rsid w:val="41DA2500"/>
    <w:rsid w:val="457D56B7"/>
    <w:rsid w:val="45E830E4"/>
    <w:rsid w:val="45EC0627"/>
    <w:rsid w:val="46244F73"/>
    <w:rsid w:val="46B75DE7"/>
    <w:rsid w:val="46FC2BDA"/>
    <w:rsid w:val="47C12243"/>
    <w:rsid w:val="4B1F2EC0"/>
    <w:rsid w:val="4CDD68EB"/>
    <w:rsid w:val="4F08300D"/>
    <w:rsid w:val="520C0D3F"/>
    <w:rsid w:val="522517A3"/>
    <w:rsid w:val="53B50C88"/>
    <w:rsid w:val="53D44808"/>
    <w:rsid w:val="53E80BD0"/>
    <w:rsid w:val="5594498E"/>
    <w:rsid w:val="55DA7489"/>
    <w:rsid w:val="57A045FA"/>
    <w:rsid w:val="59684EBD"/>
    <w:rsid w:val="5A1D0200"/>
    <w:rsid w:val="5CFF169E"/>
    <w:rsid w:val="5D503704"/>
    <w:rsid w:val="5DA84CDF"/>
    <w:rsid w:val="5DB83694"/>
    <w:rsid w:val="5E3224E4"/>
    <w:rsid w:val="61BC10F0"/>
    <w:rsid w:val="61F75A6A"/>
    <w:rsid w:val="658E5B0E"/>
    <w:rsid w:val="65DC4201"/>
    <w:rsid w:val="67373905"/>
    <w:rsid w:val="67855221"/>
    <w:rsid w:val="681D761D"/>
    <w:rsid w:val="6C847C6A"/>
    <w:rsid w:val="6E810F58"/>
    <w:rsid w:val="701C0E4D"/>
    <w:rsid w:val="709237BE"/>
    <w:rsid w:val="7206460D"/>
    <w:rsid w:val="72D42A60"/>
    <w:rsid w:val="74C20BC3"/>
    <w:rsid w:val="75483F2B"/>
    <w:rsid w:val="77945309"/>
    <w:rsid w:val="77C26CF1"/>
    <w:rsid w:val="7D2C5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9"/>
    <w:pPr>
      <w:keepNext/>
      <w:widowControl/>
      <w:spacing w:line="600" w:lineRule="exact"/>
      <w:ind w:firstLine="640"/>
      <w:jc w:val="left"/>
      <w:outlineLvl w:val="0"/>
    </w:pPr>
    <w:rPr>
      <w:rFonts w:eastAsia="黑体" w:asciiTheme="majorHAnsi" w:hAnsiTheme="majorHAnsi"/>
      <w:bCs/>
      <w:kern w:val="32"/>
      <w:szCs w:val="32"/>
    </w:rPr>
  </w:style>
  <w:style w:type="paragraph" w:styleId="4">
    <w:name w:val="heading 2"/>
    <w:basedOn w:val="1"/>
    <w:next w:val="1"/>
    <w:link w:val="25"/>
    <w:autoRedefine/>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autoRedefine/>
    <w:qFormat/>
    <w:uiPriority w:val="9"/>
    <w:pPr>
      <w:keepNext/>
      <w:widowControl/>
      <w:spacing w:line="600" w:lineRule="exact"/>
      <w:ind w:firstLine="200" w:firstLineChars="200"/>
      <w:jc w:val="left"/>
      <w:outlineLvl w:val="2"/>
    </w:pPr>
    <w:rPr>
      <w:rFonts w:ascii="Cambria" w:hAnsi="Cambria"/>
      <w:b/>
      <w:bCs/>
      <w:kern w:val="0"/>
      <w:sz w:val="32"/>
      <w:szCs w:val="26"/>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24"/>
    <w:autoRedefine/>
    <w:qFormat/>
    <w:uiPriority w:val="10"/>
    <w:pPr>
      <w:widowControl/>
      <w:spacing w:before="240" w:after="60" w:line="560" w:lineRule="exact"/>
      <w:ind w:firstLine="200" w:firstLineChars="200"/>
      <w:jc w:val="center"/>
      <w:outlineLvl w:val="0"/>
    </w:pPr>
    <w:rPr>
      <w:rFonts w:asciiTheme="majorHAnsi" w:hAnsiTheme="majorHAnsi" w:eastAsiaTheme="majorEastAsia"/>
      <w:b/>
      <w:bCs/>
      <w:kern w:val="28"/>
      <w:sz w:val="32"/>
      <w:szCs w:val="32"/>
    </w:rPr>
  </w:style>
  <w:style w:type="paragraph" w:styleId="6">
    <w:name w:val="annotation text"/>
    <w:basedOn w:val="1"/>
    <w:autoRedefine/>
    <w:qFormat/>
    <w:uiPriority w:val="0"/>
    <w:pPr>
      <w:jc w:val="left"/>
    </w:pPr>
  </w:style>
  <w:style w:type="paragraph" w:styleId="7">
    <w:name w:val="Body Text"/>
    <w:basedOn w:val="1"/>
    <w:link w:val="22"/>
    <w:autoRedefine/>
    <w:qFormat/>
    <w:uiPriority w:val="0"/>
    <w:pPr>
      <w:spacing w:after="120"/>
    </w:pPr>
  </w:style>
  <w:style w:type="paragraph" w:styleId="8">
    <w:name w:val="Body Text Indent"/>
    <w:basedOn w:val="1"/>
    <w:autoRedefine/>
    <w:qFormat/>
    <w:uiPriority w:val="0"/>
    <w:pPr>
      <w:spacing w:after="120"/>
      <w:ind w:left="420" w:leftChars="200"/>
    </w:pPr>
    <w:rPr>
      <w:rFonts w:ascii="Calibri" w:hAnsi="Calibri"/>
    </w:rPr>
  </w:style>
  <w:style w:type="paragraph" w:styleId="9">
    <w:name w:val="footer"/>
    <w:basedOn w:val="1"/>
    <w:link w:val="20"/>
    <w:autoRedefine/>
    <w:qFormat/>
    <w:uiPriority w:val="0"/>
    <w:pPr>
      <w:tabs>
        <w:tab w:val="center" w:pos="4153"/>
        <w:tab w:val="right" w:pos="8306"/>
      </w:tabs>
      <w:snapToGrid w:val="0"/>
      <w:jc w:val="left"/>
    </w:pPr>
    <w:rPr>
      <w:sz w:val="18"/>
      <w:szCs w:val="18"/>
    </w:rPr>
  </w:style>
  <w:style w:type="paragraph" w:styleId="10">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0"/>
  </w:style>
  <w:style w:type="paragraph" w:styleId="12">
    <w:name w:val="toc 2"/>
    <w:basedOn w:val="1"/>
    <w:next w:val="1"/>
    <w:autoRedefine/>
    <w:qFormat/>
    <w:uiPriority w:val="0"/>
    <w:pPr>
      <w:ind w:left="420" w:leftChars="200"/>
    </w:pPr>
  </w:style>
  <w:style w:type="paragraph" w:styleId="13">
    <w:name w:val="Normal (Web)"/>
    <w:basedOn w:val="1"/>
    <w:autoRedefine/>
    <w:unhideWhenUsed/>
    <w:qFormat/>
    <w:uiPriority w:val="99"/>
    <w:pPr>
      <w:spacing w:beforeAutospacing="1" w:afterAutospacing="1"/>
      <w:jc w:val="left"/>
    </w:pPr>
    <w:rPr>
      <w:rFonts w:asciiTheme="minorHAnsi" w:hAnsiTheme="minorHAnsi" w:eastAsiaTheme="minorEastAsia"/>
      <w:kern w:val="0"/>
      <w:sz w:val="24"/>
      <w:szCs w:val="22"/>
    </w:rPr>
  </w:style>
  <w:style w:type="paragraph" w:styleId="14">
    <w:name w:val="Body Text First Indent"/>
    <w:basedOn w:val="7"/>
    <w:link w:val="23"/>
    <w:autoRedefine/>
    <w:qFormat/>
    <w:uiPriority w:val="0"/>
    <w:pPr>
      <w:spacing w:after="0" w:line="560" w:lineRule="exact"/>
      <w:ind w:firstLine="200" w:firstLineChars="200"/>
    </w:pPr>
    <w:rPr>
      <w:b/>
      <w:sz w:val="32"/>
    </w:rPr>
  </w:style>
  <w:style w:type="paragraph" w:styleId="15">
    <w:name w:val="Body Text First Indent 2"/>
    <w:basedOn w:val="8"/>
    <w:autoRedefine/>
    <w:qFormat/>
    <w:uiPriority w:val="0"/>
    <w:pPr>
      <w:ind w:firstLine="420" w:firstLineChars="200"/>
    </w:pPr>
  </w:style>
  <w:style w:type="character" w:styleId="18">
    <w:name w:val="Strong"/>
    <w:basedOn w:val="17"/>
    <w:autoRedefine/>
    <w:qFormat/>
    <w:uiPriority w:val="0"/>
    <w:rPr>
      <w:b/>
      <w:bCs/>
    </w:rPr>
  </w:style>
  <w:style w:type="character" w:customStyle="1" w:styleId="19">
    <w:name w:val="页眉 字符"/>
    <w:basedOn w:val="17"/>
    <w:link w:val="10"/>
    <w:autoRedefine/>
    <w:qFormat/>
    <w:uiPriority w:val="0"/>
    <w:rPr>
      <w:rFonts w:ascii="Times New Roman" w:hAnsi="Times New Roman" w:eastAsia="仿宋_GB2312" w:cs="Times New Roman"/>
      <w:kern w:val="2"/>
      <w:sz w:val="18"/>
      <w:szCs w:val="18"/>
    </w:rPr>
  </w:style>
  <w:style w:type="character" w:customStyle="1" w:styleId="20">
    <w:name w:val="页脚 字符"/>
    <w:basedOn w:val="17"/>
    <w:link w:val="9"/>
    <w:autoRedefine/>
    <w:qFormat/>
    <w:uiPriority w:val="0"/>
    <w:rPr>
      <w:rFonts w:ascii="Times New Roman" w:hAnsi="Times New Roman" w:eastAsia="仿宋_GB2312" w:cs="Times New Roman"/>
      <w:kern w:val="2"/>
      <w:sz w:val="18"/>
      <w:szCs w:val="18"/>
    </w:rPr>
  </w:style>
  <w:style w:type="character" w:customStyle="1" w:styleId="21">
    <w:name w:val="标题 3 字符"/>
    <w:basedOn w:val="17"/>
    <w:link w:val="5"/>
    <w:autoRedefine/>
    <w:qFormat/>
    <w:uiPriority w:val="9"/>
    <w:rPr>
      <w:rFonts w:ascii="Cambria" w:hAnsi="Cambria" w:eastAsia="仿宋_GB2312" w:cs="Times New Roman"/>
      <w:b/>
      <w:bCs/>
      <w:sz w:val="32"/>
      <w:szCs w:val="26"/>
    </w:rPr>
  </w:style>
  <w:style w:type="character" w:customStyle="1" w:styleId="22">
    <w:name w:val="正文文本 字符"/>
    <w:basedOn w:val="17"/>
    <w:link w:val="7"/>
    <w:autoRedefine/>
    <w:qFormat/>
    <w:uiPriority w:val="0"/>
    <w:rPr>
      <w:rFonts w:ascii="Times New Roman" w:hAnsi="Times New Roman" w:eastAsia="仿宋_GB2312" w:cs="Times New Roman"/>
      <w:kern w:val="2"/>
      <w:sz w:val="30"/>
      <w:szCs w:val="24"/>
    </w:rPr>
  </w:style>
  <w:style w:type="character" w:customStyle="1" w:styleId="23">
    <w:name w:val="正文首行缩进 字符"/>
    <w:basedOn w:val="22"/>
    <w:link w:val="14"/>
    <w:autoRedefine/>
    <w:qFormat/>
    <w:uiPriority w:val="0"/>
    <w:rPr>
      <w:rFonts w:ascii="Times New Roman" w:hAnsi="Times New Roman" w:eastAsia="仿宋_GB2312" w:cs="Times New Roman"/>
      <w:b/>
      <w:kern w:val="2"/>
      <w:sz w:val="32"/>
      <w:szCs w:val="24"/>
    </w:rPr>
  </w:style>
  <w:style w:type="character" w:customStyle="1" w:styleId="24">
    <w:name w:val="标题 字符"/>
    <w:basedOn w:val="17"/>
    <w:link w:val="2"/>
    <w:autoRedefine/>
    <w:qFormat/>
    <w:uiPriority w:val="10"/>
    <w:rPr>
      <w:rFonts w:cs="Times New Roman" w:asciiTheme="majorHAnsi" w:hAnsiTheme="majorHAnsi" w:eastAsiaTheme="majorEastAsia"/>
      <w:b/>
      <w:bCs/>
      <w:kern w:val="28"/>
      <w:sz w:val="32"/>
      <w:szCs w:val="32"/>
    </w:rPr>
  </w:style>
  <w:style w:type="character" w:customStyle="1" w:styleId="25">
    <w:name w:val="标题 2 字符"/>
    <w:basedOn w:val="17"/>
    <w:link w:val="4"/>
    <w:autoRedefine/>
    <w:semiHidden/>
    <w:qFormat/>
    <w:uiPriority w:val="0"/>
    <w:rPr>
      <w:rFonts w:asciiTheme="majorHAnsi" w:hAnsiTheme="majorHAnsi" w:eastAsiaTheme="majorEastAsia" w:cstheme="majorBidi"/>
      <w:b/>
      <w:bCs/>
      <w:kern w:val="2"/>
      <w:sz w:val="32"/>
      <w:szCs w:val="32"/>
    </w:rPr>
  </w:style>
  <w:style w:type="paragraph" w:customStyle="1" w:styleId="26">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10338</Words>
  <Characters>10893</Characters>
  <Lines>44</Lines>
  <Paragraphs>12</Paragraphs>
  <TotalTime>401</TotalTime>
  <ScaleCrop>false</ScaleCrop>
  <LinksUpToDate>false</LinksUpToDate>
  <CharactersWithSpaces>10915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2024-03-14T02:51:00Z</dcterms:created>
  <dc:creator>Administrator</dc:creator>
  <cp:lastModifiedBy>岁月无痕</cp:lastModifiedBy>
  <cp:lastPrinted>2024-05-17T02:58:00Z</cp:lastPrinted>
  <dcterms:modified xsi:type="dcterms:W3CDTF">2024-08-19T11:53:42Z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42A0B27A57E34C83941E4B8CC97F86F5_13</vt:lpwstr>
  </property>
</Properties>
</file>