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C4CD3">
      <w:pPr>
        <w:spacing w:line="540" w:lineRule="exact"/>
        <w:jc w:val="center"/>
        <w:rPr>
          <w:rFonts w:eastAsia="华文中宋"/>
          <w:b/>
          <w:kern w:val="0"/>
          <w:sz w:val="52"/>
          <w:szCs w:val="52"/>
        </w:rPr>
      </w:pPr>
    </w:p>
    <w:p w14:paraId="5C4A2CE3">
      <w:pPr>
        <w:spacing w:line="540" w:lineRule="exact"/>
        <w:rPr>
          <w:rFonts w:eastAsia="华文中宋"/>
          <w:b/>
          <w:kern w:val="0"/>
          <w:sz w:val="52"/>
          <w:szCs w:val="52"/>
        </w:rPr>
      </w:pPr>
    </w:p>
    <w:p w14:paraId="0929035C">
      <w:pPr>
        <w:spacing w:line="540" w:lineRule="exact"/>
        <w:jc w:val="center"/>
        <w:rPr>
          <w:rFonts w:eastAsia="华文中宋"/>
          <w:b/>
          <w:kern w:val="0"/>
          <w:sz w:val="52"/>
          <w:szCs w:val="52"/>
        </w:rPr>
      </w:pPr>
    </w:p>
    <w:p w14:paraId="59072808">
      <w:pPr>
        <w:spacing w:line="540" w:lineRule="exact"/>
        <w:jc w:val="center"/>
        <w:rPr>
          <w:rFonts w:eastAsia="华文中宋"/>
          <w:b/>
          <w:kern w:val="0"/>
          <w:sz w:val="52"/>
          <w:szCs w:val="52"/>
        </w:rPr>
      </w:pPr>
    </w:p>
    <w:p w14:paraId="57D81F32">
      <w:pPr>
        <w:spacing w:line="540" w:lineRule="exact"/>
        <w:jc w:val="center"/>
        <w:rPr>
          <w:rFonts w:eastAsia="方正小标宋_GBK"/>
          <w:kern w:val="0"/>
          <w:sz w:val="48"/>
          <w:szCs w:val="48"/>
        </w:rPr>
      </w:pPr>
      <w:r>
        <w:rPr>
          <w:rFonts w:hint="eastAsia" w:eastAsia="方正小标宋_GBK"/>
          <w:kern w:val="0"/>
          <w:sz w:val="48"/>
          <w:szCs w:val="48"/>
        </w:rPr>
        <w:t>卫星应用事业发展经费</w:t>
      </w:r>
      <w:r>
        <w:rPr>
          <w:rFonts w:eastAsia="方正小标宋_GBK"/>
          <w:kern w:val="0"/>
          <w:sz w:val="48"/>
          <w:szCs w:val="48"/>
        </w:rPr>
        <w:t>资金</w:t>
      </w:r>
    </w:p>
    <w:p w14:paraId="7895E2C5">
      <w:pPr>
        <w:spacing w:line="540" w:lineRule="exact"/>
        <w:jc w:val="center"/>
        <w:rPr>
          <w:rFonts w:eastAsia="方正小标宋_GBK"/>
          <w:kern w:val="0"/>
          <w:sz w:val="48"/>
          <w:szCs w:val="48"/>
        </w:rPr>
      </w:pPr>
      <w:r>
        <w:rPr>
          <w:rFonts w:eastAsia="方正小标宋_GBK"/>
          <w:kern w:val="0"/>
          <w:sz w:val="48"/>
          <w:szCs w:val="48"/>
        </w:rPr>
        <w:t>项目支出绩效评价报告</w:t>
      </w:r>
    </w:p>
    <w:p w14:paraId="3865C3DD">
      <w:pPr>
        <w:spacing w:line="540" w:lineRule="exact"/>
        <w:jc w:val="center"/>
        <w:rPr>
          <w:rFonts w:eastAsia="华文中宋"/>
          <w:b/>
          <w:kern w:val="0"/>
          <w:sz w:val="52"/>
          <w:szCs w:val="52"/>
        </w:rPr>
      </w:pPr>
    </w:p>
    <w:p w14:paraId="267FA1D8">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14:paraId="3BDAC307">
      <w:pPr>
        <w:spacing w:line="540" w:lineRule="exact"/>
        <w:jc w:val="center"/>
        <w:rPr>
          <w:rFonts w:eastAsia="仿宋_GB2312"/>
          <w:kern w:val="0"/>
          <w:sz w:val="30"/>
          <w:szCs w:val="30"/>
        </w:rPr>
      </w:pPr>
    </w:p>
    <w:p w14:paraId="0C23A54D">
      <w:pPr>
        <w:spacing w:line="540" w:lineRule="exact"/>
        <w:jc w:val="center"/>
        <w:rPr>
          <w:rFonts w:eastAsia="仿宋_GB2312"/>
          <w:kern w:val="0"/>
          <w:sz w:val="30"/>
          <w:szCs w:val="30"/>
        </w:rPr>
      </w:pPr>
    </w:p>
    <w:p w14:paraId="681675F5">
      <w:pPr>
        <w:spacing w:line="540" w:lineRule="exact"/>
        <w:jc w:val="center"/>
        <w:rPr>
          <w:rFonts w:eastAsia="仿宋_GB2312"/>
          <w:kern w:val="0"/>
          <w:sz w:val="30"/>
          <w:szCs w:val="30"/>
        </w:rPr>
      </w:pPr>
    </w:p>
    <w:p w14:paraId="608D848F">
      <w:pPr>
        <w:pStyle w:val="2"/>
      </w:pPr>
    </w:p>
    <w:p w14:paraId="2611CC7F">
      <w:pPr>
        <w:spacing w:line="540" w:lineRule="exact"/>
        <w:jc w:val="center"/>
        <w:rPr>
          <w:rFonts w:eastAsia="仿宋_GB2312"/>
          <w:kern w:val="0"/>
          <w:sz w:val="30"/>
          <w:szCs w:val="30"/>
        </w:rPr>
      </w:pPr>
    </w:p>
    <w:p w14:paraId="243E17C6">
      <w:pPr>
        <w:spacing w:line="540" w:lineRule="exact"/>
        <w:rPr>
          <w:rFonts w:eastAsia="仿宋_GB2312"/>
          <w:kern w:val="0"/>
          <w:sz w:val="30"/>
          <w:szCs w:val="30"/>
        </w:rPr>
      </w:pPr>
    </w:p>
    <w:p w14:paraId="791BE79F">
      <w:pPr>
        <w:spacing w:line="700" w:lineRule="exact"/>
        <w:ind w:firstLine="565" w:firstLineChars="157"/>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卫星应用事业发展经费</w:t>
      </w:r>
    </w:p>
    <w:p w14:paraId="42507E2E">
      <w:pPr>
        <w:spacing w:line="700" w:lineRule="exact"/>
        <w:ind w:firstLine="565" w:firstLineChars="157"/>
        <w:jc w:val="left"/>
        <w:rPr>
          <w:rFonts w:eastAsia="仿宋_GB2312"/>
          <w:kern w:val="0"/>
          <w:sz w:val="36"/>
          <w:szCs w:val="36"/>
        </w:rPr>
      </w:pPr>
      <w:r>
        <w:rPr>
          <w:rFonts w:eastAsia="仿宋_GB2312"/>
          <w:kern w:val="0"/>
          <w:sz w:val="36"/>
          <w:szCs w:val="36"/>
        </w:rPr>
        <w:t>实施单位（公章）：</w:t>
      </w:r>
      <w:r>
        <w:rPr>
          <w:rFonts w:hint="eastAsia" w:ascii="仿宋_GB2312" w:hAnsi="宋体" w:eastAsia="仿宋_GB2312" w:cs="宋体"/>
          <w:kern w:val="0"/>
          <w:sz w:val="32"/>
          <w:szCs w:val="32"/>
        </w:rPr>
        <w:t>新疆维吾尔自治区卫星应用中心</w:t>
      </w:r>
    </w:p>
    <w:p w14:paraId="4A80CF2E">
      <w:pPr>
        <w:spacing w:line="700" w:lineRule="exact"/>
        <w:ind w:firstLine="565" w:firstLineChars="157"/>
        <w:jc w:val="left"/>
        <w:rPr>
          <w:rFonts w:eastAsia="仿宋_GB2312"/>
          <w:kern w:val="0"/>
          <w:sz w:val="36"/>
          <w:szCs w:val="36"/>
        </w:rPr>
      </w:pPr>
      <w:r>
        <w:rPr>
          <w:rFonts w:eastAsia="仿宋_GB2312"/>
          <w:kern w:val="0"/>
          <w:sz w:val="36"/>
          <w:szCs w:val="36"/>
        </w:rPr>
        <w:t>主管部门（公章）：</w:t>
      </w:r>
      <w:r>
        <w:rPr>
          <w:rFonts w:hint="eastAsia" w:ascii="仿宋_GB2312" w:hAnsi="宋体" w:eastAsia="仿宋_GB2312" w:cs="宋体"/>
          <w:kern w:val="0"/>
          <w:sz w:val="32"/>
          <w:szCs w:val="32"/>
        </w:rPr>
        <w:t>新疆维吾尔自治区工业和信息化厅</w:t>
      </w:r>
    </w:p>
    <w:p w14:paraId="4476679B">
      <w:pPr>
        <w:spacing w:line="700" w:lineRule="exact"/>
        <w:ind w:firstLine="565" w:firstLineChars="157"/>
        <w:jc w:val="left"/>
        <w:rPr>
          <w:rFonts w:eastAsia="仿宋_GB2312"/>
          <w:kern w:val="0"/>
          <w:sz w:val="36"/>
          <w:szCs w:val="36"/>
        </w:rPr>
      </w:pPr>
      <w:r>
        <w:rPr>
          <w:rFonts w:eastAsia="仿宋_GB2312"/>
          <w:kern w:val="0"/>
          <w:sz w:val="36"/>
          <w:szCs w:val="36"/>
        </w:rPr>
        <w:t>项目负责人（签章）：</w:t>
      </w:r>
      <w:r>
        <w:rPr>
          <w:rFonts w:hint="eastAsia" w:ascii="仿宋_GB2312" w:hAnsi="宋体" w:eastAsia="仿宋_GB2312" w:cs="宋体"/>
          <w:kern w:val="0"/>
          <w:sz w:val="32"/>
          <w:szCs w:val="32"/>
        </w:rPr>
        <w:t>牛婷</w:t>
      </w:r>
    </w:p>
    <w:p w14:paraId="56E8840C">
      <w:pPr>
        <w:spacing w:line="700" w:lineRule="exact"/>
        <w:ind w:firstLine="565" w:firstLineChars="157"/>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2024</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8</w:t>
      </w:r>
      <w:r>
        <w:rPr>
          <w:rFonts w:eastAsia="仿宋_GB2312"/>
          <w:kern w:val="0"/>
          <w:sz w:val="36"/>
          <w:szCs w:val="36"/>
        </w:rPr>
        <w:t>日</w:t>
      </w:r>
    </w:p>
    <w:p w14:paraId="7D1CD2AF">
      <w:pPr>
        <w:spacing w:line="540" w:lineRule="exact"/>
        <w:jc w:val="center"/>
        <w:rPr>
          <w:rFonts w:eastAsia="仿宋_GB2312"/>
          <w:kern w:val="0"/>
          <w:sz w:val="30"/>
          <w:szCs w:val="30"/>
        </w:rPr>
      </w:pPr>
    </w:p>
    <w:p w14:paraId="2D72666F">
      <w:pPr>
        <w:spacing w:line="540" w:lineRule="exact"/>
        <w:rPr>
          <w:rStyle w:val="15"/>
          <w:rFonts w:eastAsia="黑体"/>
          <w:b w:val="0"/>
          <w:spacing w:val="-4"/>
          <w:sz w:val="32"/>
          <w:szCs w:val="32"/>
        </w:rPr>
      </w:pPr>
    </w:p>
    <w:p w14:paraId="6591C41C">
      <w:pPr>
        <w:spacing w:line="540" w:lineRule="exact"/>
        <w:ind w:firstLine="640"/>
        <w:rPr>
          <w:rStyle w:val="15"/>
          <w:rFonts w:eastAsia="黑体"/>
          <w:b w:val="0"/>
          <w:spacing w:val="-4"/>
          <w:sz w:val="32"/>
          <w:szCs w:val="32"/>
        </w:rPr>
      </w:pPr>
    </w:p>
    <w:p w14:paraId="199E50A9">
      <w:pPr>
        <w:spacing w:line="540" w:lineRule="exact"/>
        <w:rPr>
          <w:rStyle w:val="15"/>
          <w:rFonts w:eastAsia="黑体"/>
          <w:b w:val="0"/>
          <w:spacing w:val="-4"/>
          <w:sz w:val="32"/>
          <w:szCs w:val="32"/>
        </w:rPr>
      </w:pPr>
    </w:p>
    <w:p w14:paraId="3E74F2F9">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14:paraId="00029852">
      <w:pPr>
        <w:spacing w:line="560" w:lineRule="exact"/>
        <w:ind w:firstLine="640" w:firstLineChars="200"/>
        <w:rPr>
          <w:rFonts w:eastAsia="黑体"/>
          <w:bCs/>
          <w:sz w:val="32"/>
          <w:szCs w:val="32"/>
        </w:rPr>
      </w:pPr>
      <w:r>
        <w:rPr>
          <w:rFonts w:eastAsia="黑体"/>
          <w:bCs/>
          <w:sz w:val="32"/>
          <w:szCs w:val="32"/>
        </w:rPr>
        <w:t>一、基本情况</w:t>
      </w:r>
    </w:p>
    <w:p w14:paraId="1823729C">
      <w:pPr>
        <w:spacing w:line="560" w:lineRule="exact"/>
        <w:ind w:firstLine="643" w:firstLineChars="200"/>
        <w:rPr>
          <w:rFonts w:eastAsia="楷体_GB2312"/>
          <w:b/>
          <w:bCs/>
          <w:sz w:val="32"/>
          <w:szCs w:val="32"/>
        </w:rPr>
      </w:pPr>
      <w:r>
        <w:rPr>
          <w:rFonts w:eastAsia="楷体_GB2312"/>
          <w:b/>
          <w:bCs/>
          <w:sz w:val="32"/>
          <w:szCs w:val="32"/>
        </w:rPr>
        <w:t>（一）项目概况</w:t>
      </w:r>
    </w:p>
    <w:p w14:paraId="214F735C">
      <w:pPr>
        <w:spacing w:line="560" w:lineRule="exact"/>
        <w:ind w:firstLine="643" w:firstLineChars="200"/>
        <w:rPr>
          <w:rFonts w:hint="eastAsia" w:ascii="仿宋_GB2312" w:eastAsia="仿宋_GB2312"/>
          <w:b/>
          <w:bCs/>
          <w:sz w:val="32"/>
          <w:szCs w:val="32"/>
        </w:rPr>
      </w:pPr>
      <w:r>
        <w:rPr>
          <w:rFonts w:hint="eastAsia" w:ascii="仿宋_GB2312" w:eastAsia="仿宋_GB2312"/>
          <w:b/>
          <w:bCs/>
          <w:sz w:val="32"/>
          <w:szCs w:val="32"/>
        </w:rPr>
        <w:t>1.项目背景</w:t>
      </w:r>
    </w:p>
    <w:p w14:paraId="4B7CC1AC">
      <w:pPr>
        <w:spacing w:line="560" w:lineRule="exact"/>
        <w:ind w:firstLine="640" w:firstLineChars="200"/>
        <w:rPr>
          <w:rStyle w:val="15"/>
          <w:rFonts w:eastAsia="黑体"/>
          <w:b w:val="0"/>
          <w:spacing w:val="-4"/>
          <w:sz w:val="32"/>
          <w:szCs w:val="32"/>
          <w:highlight w:val="yellow"/>
        </w:rPr>
      </w:pPr>
      <w:r>
        <w:rPr>
          <w:rFonts w:hint="eastAsia" w:ascii="仿宋_GB2312" w:hAnsi="宋体" w:eastAsia="仿宋_GB2312" w:cs="宋体"/>
          <w:kern w:val="0"/>
          <w:sz w:val="32"/>
          <w:szCs w:val="32"/>
        </w:rPr>
        <w:t>根据《关于印发&lt;新疆维吾尔自治区经济和信息化委员会（新疆维吾尔自治区国防科学技术工业办公室）所属事业单位分类改革方案&gt;的通知》（新事改办</w:t>
      </w:r>
      <w:r>
        <w:rPr>
          <w:rFonts w:hint="eastAsia" w:cs="宋体" w:asciiTheme="minorEastAsia" w:hAnsiTheme="minorEastAsia" w:eastAsiaTheme="minorEastAsia"/>
          <w:kern w:val="0"/>
          <w:sz w:val="32"/>
          <w:szCs w:val="32"/>
        </w:rPr>
        <w:t>〔</w:t>
      </w:r>
      <w:r>
        <w:rPr>
          <w:rFonts w:hint="eastAsia" w:ascii="仿宋_GB2312" w:hAnsi="宋体" w:eastAsia="仿宋_GB2312" w:cs="宋体"/>
          <w:kern w:val="0"/>
          <w:sz w:val="32"/>
          <w:szCs w:val="32"/>
        </w:rPr>
        <w:t>2014</w:t>
      </w:r>
      <w:r>
        <w:rPr>
          <w:rFonts w:hint="eastAsia" w:cs="宋体" w:asciiTheme="minorEastAsia" w:hAnsiTheme="minorEastAsia" w:eastAsiaTheme="minorEastAsia"/>
          <w:kern w:val="0"/>
          <w:sz w:val="32"/>
          <w:szCs w:val="32"/>
        </w:rPr>
        <w:t>〕</w:t>
      </w:r>
      <w:r>
        <w:rPr>
          <w:rFonts w:hint="eastAsia" w:ascii="仿宋_GB2312" w:hAnsi="宋体" w:eastAsia="仿宋_GB2312" w:cs="宋体"/>
          <w:kern w:val="0"/>
          <w:sz w:val="32"/>
          <w:szCs w:val="32"/>
        </w:rPr>
        <w:t>11号）规定的工作职责：承担国家卫星综合应用新疆示范工程建设的事务性工作，承担国防科技领域国家重大专项的科研开发任务；统筹推进各行业卫星应用系统建设及系统集成、运行管理等；组织开展卫星应用技术研究开发、教育培训、宣传普及等开展卫星应用业务。</w:t>
      </w:r>
    </w:p>
    <w:p w14:paraId="1A0B7891">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项目主要内容</w:t>
      </w:r>
    </w:p>
    <w:p w14:paraId="262E15F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主要内容：卫星应用事业发展经费90.16万元，主要用于开展卫星应用产业规划论证、技术培训、科学普及、应用技术研发和应用服务等；项目资金主要用于高分数据处理硬件系统升级改造、中心基础设施维护及野外数据采集平台专用车辆运行维护等。</w:t>
      </w:r>
    </w:p>
    <w:p w14:paraId="388F77BA">
      <w:pPr>
        <w:spacing w:line="560" w:lineRule="exact"/>
        <w:ind w:firstLine="640" w:firstLineChars="200"/>
      </w:pPr>
      <w:r>
        <w:rPr>
          <w:rFonts w:eastAsia="仿宋_GB2312"/>
          <w:sz w:val="32"/>
          <w:szCs w:val="32"/>
        </w:rPr>
        <w:t>项目实施情况：</w:t>
      </w:r>
      <w:r>
        <w:rPr>
          <w:rFonts w:hint="eastAsia" w:ascii="仿宋_GB2312" w:hAnsi="华文仿宋" w:eastAsia="仿宋_GB2312" w:cs="仿宋_GB2312"/>
          <w:bCs/>
          <w:color w:val="000000"/>
          <w:kern w:val="0"/>
          <w:sz w:val="32"/>
          <w:szCs w:val="32"/>
        </w:rPr>
        <w:t>本年主要开展了高分卫星数据的下载、存储和处理，遥感产品的生产和分发，高分数据处理硬件系统升级改造等。</w:t>
      </w:r>
    </w:p>
    <w:p w14:paraId="57CA026A">
      <w:pPr>
        <w:spacing w:line="560" w:lineRule="exact"/>
        <w:ind w:firstLine="643" w:firstLineChars="200"/>
        <w:rPr>
          <w:rFonts w:hint="eastAsia" w:ascii="仿宋_GB2312" w:eastAsia="仿宋_GB2312"/>
          <w:b/>
          <w:bCs/>
          <w:sz w:val="32"/>
          <w:szCs w:val="32"/>
        </w:rPr>
      </w:pPr>
      <w:r>
        <w:rPr>
          <w:rFonts w:hint="eastAsia" w:ascii="仿宋_GB2312" w:eastAsia="仿宋_GB2312"/>
          <w:b/>
          <w:bCs/>
          <w:sz w:val="32"/>
          <w:szCs w:val="32"/>
        </w:rPr>
        <w:t>3.资金投入和使用情况</w:t>
      </w:r>
    </w:p>
    <w:p w14:paraId="5411B3C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（1）资金投入情况</w:t>
      </w:r>
    </w:p>
    <w:p w14:paraId="0FF3E4E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w:t>
      </w:r>
      <w:r>
        <w:rPr>
          <w:rFonts w:hint="eastAsia" w:ascii="仿宋_GB2312" w:eastAsia="仿宋_GB2312"/>
          <w:sz w:val="32"/>
          <w:szCs w:val="32"/>
        </w:rPr>
        <w:t>90</w:t>
      </w:r>
      <w:r>
        <w:rPr>
          <w:rFonts w:hint="eastAsia" w:ascii="仿宋_GB2312" w:eastAsia="仿宋_GB2312"/>
          <w:color w:val="000000" w:themeColor="text1"/>
          <w:sz w:val="32"/>
          <w:szCs w:val="32"/>
          <w14:textFill>
            <w14:solidFill>
              <w14:schemeClr w14:val="tx1"/>
            </w14:solidFill>
          </w14:textFill>
        </w:rPr>
        <w:t>.16</w:t>
      </w:r>
      <w:r>
        <w:rPr>
          <w:rFonts w:hint="eastAsia" w:ascii="仿宋_GB2312" w:hAnsi="仿宋_GB2312" w:eastAsia="仿宋_GB2312" w:cs="仿宋_GB2312"/>
          <w:sz w:val="32"/>
          <w:szCs w:val="32"/>
        </w:rPr>
        <w:t>万元，全年预算数</w:t>
      </w:r>
      <w:r>
        <w:rPr>
          <w:rFonts w:hint="eastAsia" w:ascii="仿宋_GB2312" w:eastAsia="仿宋_GB2312"/>
          <w:sz w:val="32"/>
          <w:szCs w:val="32"/>
        </w:rPr>
        <w:t>90</w:t>
      </w:r>
      <w:r>
        <w:rPr>
          <w:rFonts w:hint="eastAsia" w:ascii="仿宋_GB2312" w:eastAsia="仿宋_GB2312"/>
          <w:color w:val="000000" w:themeColor="text1"/>
          <w:sz w:val="32"/>
          <w:szCs w:val="32"/>
          <w14:textFill>
            <w14:solidFill>
              <w14:schemeClr w14:val="tx1"/>
            </w14:solidFill>
          </w14:textFill>
        </w:rPr>
        <w:t>.16</w:t>
      </w:r>
      <w:r>
        <w:rPr>
          <w:rFonts w:hint="eastAsia" w:ascii="仿宋_GB2312" w:hAnsi="仿宋_GB2312" w:eastAsia="仿宋_GB2312" w:cs="仿宋_GB2312"/>
          <w:sz w:val="32"/>
          <w:szCs w:val="32"/>
        </w:rPr>
        <w:t>万元，实际总投入</w:t>
      </w:r>
      <w:r>
        <w:rPr>
          <w:rFonts w:hint="eastAsia" w:ascii="仿宋_GB2312" w:eastAsia="仿宋_GB2312"/>
          <w:sz w:val="32"/>
          <w:szCs w:val="32"/>
        </w:rPr>
        <w:t>90</w:t>
      </w:r>
      <w:r>
        <w:rPr>
          <w:rFonts w:hint="eastAsia" w:ascii="仿宋_GB2312" w:eastAsia="仿宋_GB2312"/>
          <w:color w:val="000000" w:themeColor="text1"/>
          <w:sz w:val="32"/>
          <w:szCs w:val="32"/>
          <w14:textFill>
            <w14:solidFill>
              <w14:schemeClr w14:val="tx1"/>
            </w14:solidFill>
          </w14:textFill>
        </w:rPr>
        <w:t>.16</w:t>
      </w:r>
      <w:r>
        <w:rPr>
          <w:rFonts w:hint="eastAsia" w:ascii="仿宋_GB2312" w:hAnsi="仿宋_GB2312" w:eastAsia="仿宋_GB2312" w:cs="仿宋_GB2312"/>
          <w:sz w:val="32"/>
          <w:szCs w:val="32"/>
        </w:rPr>
        <w:t>万元，该项目资金已全部落实到位，资金来源为</w:t>
      </w:r>
      <w:r>
        <w:rPr>
          <w:rFonts w:hint="eastAsia" w:ascii="仿宋_GB2312" w:eastAsia="仿宋_GB2312"/>
          <w:bCs/>
          <w:sz w:val="32"/>
          <w:szCs w:val="32"/>
        </w:rPr>
        <w:t>其他资金</w:t>
      </w:r>
      <w:r>
        <w:rPr>
          <w:rFonts w:hint="eastAsia" w:ascii="仿宋_GB2312" w:hAnsi="仿宋_GB2312" w:eastAsia="仿宋_GB2312" w:cs="仿宋_GB2312"/>
          <w:sz w:val="32"/>
          <w:szCs w:val="32"/>
        </w:rPr>
        <w:t>。</w:t>
      </w:r>
    </w:p>
    <w:p w14:paraId="04EC2986">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p>
    <w:p w14:paraId="6F31AD5A">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w:t>
      </w:r>
      <w:r>
        <w:rPr>
          <w:rFonts w:hint="eastAsia" w:ascii="仿宋_GB2312" w:eastAsia="仿宋_GB2312"/>
          <w:sz w:val="32"/>
          <w:szCs w:val="32"/>
        </w:rPr>
        <w:t>90</w:t>
      </w:r>
      <w:r>
        <w:rPr>
          <w:rFonts w:hint="eastAsia" w:ascii="仿宋_GB2312" w:eastAsia="仿宋_GB2312"/>
          <w:color w:val="000000" w:themeColor="text1"/>
          <w:sz w:val="32"/>
          <w:szCs w:val="32"/>
          <w14:textFill>
            <w14:solidFill>
              <w14:schemeClr w14:val="tx1"/>
            </w14:solidFill>
          </w14:textFill>
        </w:rPr>
        <w:t>.16</w:t>
      </w:r>
      <w:r>
        <w:rPr>
          <w:rFonts w:hint="eastAsia" w:ascii="仿宋_GB2312" w:hAnsi="仿宋_GB2312" w:eastAsia="仿宋_GB2312" w:cs="仿宋_GB2312"/>
          <w:sz w:val="32"/>
          <w:szCs w:val="32"/>
        </w:rPr>
        <w:t>万元，全年预算数</w:t>
      </w:r>
      <w:r>
        <w:rPr>
          <w:rFonts w:hint="eastAsia" w:ascii="仿宋_GB2312" w:eastAsia="仿宋_GB2312"/>
          <w:sz w:val="32"/>
          <w:szCs w:val="32"/>
        </w:rPr>
        <w:t>90</w:t>
      </w:r>
      <w:r>
        <w:rPr>
          <w:rFonts w:hint="eastAsia" w:ascii="仿宋_GB2312" w:eastAsia="仿宋_GB2312"/>
          <w:color w:val="000000" w:themeColor="text1"/>
          <w:sz w:val="32"/>
          <w:szCs w:val="32"/>
          <w14:textFill>
            <w14:solidFill>
              <w14:schemeClr w14:val="tx1"/>
            </w14:solidFill>
          </w14:textFill>
        </w:rPr>
        <w:t>.16</w:t>
      </w:r>
      <w:r>
        <w:rPr>
          <w:rFonts w:hint="eastAsia" w:ascii="仿宋_GB2312" w:hAnsi="仿宋_GB2312" w:eastAsia="仿宋_GB2312" w:cs="仿宋_GB2312"/>
          <w:sz w:val="32"/>
          <w:szCs w:val="32"/>
        </w:rPr>
        <w:t>万元,，全年执行数</w:t>
      </w:r>
      <w:r>
        <w:rPr>
          <w:rFonts w:hint="eastAsia" w:ascii="仿宋_GB2312" w:eastAsia="仿宋_GB2312"/>
          <w:bCs/>
          <w:sz w:val="32"/>
          <w:szCs w:val="32"/>
        </w:rPr>
        <w:t>83.39</w:t>
      </w:r>
      <w:r>
        <w:rPr>
          <w:rFonts w:hint="eastAsia" w:ascii="仿宋_GB2312" w:hAnsi="仿宋_GB2312" w:eastAsia="仿宋_GB2312" w:cs="仿宋_GB2312"/>
          <w:sz w:val="32"/>
          <w:szCs w:val="32"/>
        </w:rPr>
        <w:t>万元，预算执行率为</w:t>
      </w:r>
      <w:r>
        <w:rPr>
          <w:rFonts w:hint="eastAsia" w:ascii="仿宋_GB2312" w:eastAsia="仿宋_GB2312"/>
          <w:bCs/>
          <w:sz w:val="32"/>
          <w:szCs w:val="32"/>
        </w:rPr>
        <w:t>92.49</w:t>
      </w:r>
      <w:r>
        <w:rPr>
          <w:rFonts w:hint="eastAsia" w:ascii="仿宋_GB2312" w:hAnsi="仿宋_GB2312" w:eastAsia="仿宋_GB2312" w:cs="仿宋_GB2312"/>
          <w:sz w:val="32"/>
          <w:szCs w:val="32"/>
        </w:rPr>
        <w:t>%，主要用于：</w:t>
      </w:r>
      <w:r>
        <w:rPr>
          <w:rFonts w:hint="eastAsia" w:ascii="仿宋_GB2312" w:eastAsia="仿宋_GB2312"/>
          <w:bCs/>
          <w:sz w:val="32"/>
          <w:szCs w:val="32"/>
        </w:rPr>
        <w:t>支付项目实施进程中的各项费用，</w:t>
      </w:r>
      <w:r>
        <w:rPr>
          <w:rFonts w:hint="eastAsia" w:ascii="仿宋_GB2312" w:eastAsia="仿宋_GB2312"/>
          <w:bCs/>
          <w:color w:val="000000" w:themeColor="text1"/>
          <w:sz w:val="32"/>
          <w:szCs w:val="32"/>
          <w14:textFill>
            <w14:solidFill>
              <w14:schemeClr w14:val="tx1"/>
            </w14:solidFill>
          </w14:textFill>
        </w:rPr>
        <w:t>办公费5.14万元、电费1.01万元、邮电费</w:t>
      </w:r>
      <w:r>
        <w:rPr>
          <w:rFonts w:ascii="仿宋_GB2312" w:eastAsia="仿宋_GB2312"/>
          <w:bCs/>
          <w:color w:val="000000" w:themeColor="text1"/>
          <w:sz w:val="32"/>
          <w:szCs w:val="32"/>
          <w14:textFill>
            <w14:solidFill>
              <w14:schemeClr w14:val="tx1"/>
            </w14:solidFill>
          </w14:textFill>
        </w:rPr>
        <w:t>0.07</w:t>
      </w:r>
      <w:r>
        <w:rPr>
          <w:rFonts w:hint="eastAsia" w:ascii="仿宋_GB2312" w:eastAsia="仿宋_GB2312"/>
          <w:bCs/>
          <w:color w:val="000000" w:themeColor="text1"/>
          <w:sz w:val="32"/>
          <w:szCs w:val="32"/>
          <w14:textFill>
            <w14:solidFill>
              <w14:schemeClr w14:val="tx1"/>
            </w14:solidFill>
          </w14:textFill>
        </w:rPr>
        <w:t>万元、差旅费9.87万元、维修（护）费4.97万元、租赁费8.40万元、委托业务费7.10万元、其他交通费用5.26万元、其他商品服务支出</w:t>
      </w:r>
      <w:r>
        <w:rPr>
          <w:rFonts w:hint="eastAsia" w:ascii="仿宋_GB2312" w:eastAsia="仿宋_GB2312"/>
          <w:color w:val="000000" w:themeColor="text1"/>
          <w:sz w:val="32"/>
          <w:szCs w:val="32"/>
          <w14:textFill>
            <w14:solidFill>
              <w14:schemeClr w14:val="tx1"/>
            </w14:solidFill>
          </w14:textFill>
        </w:rPr>
        <w:t>2.23万元、专用设备购置39.36万元</w:t>
      </w:r>
      <w:r>
        <w:rPr>
          <w:rFonts w:hint="eastAsia" w:ascii="仿宋_GB2312" w:eastAsia="仿宋_GB2312"/>
          <w:bCs/>
          <w:sz w:val="32"/>
          <w:szCs w:val="32"/>
        </w:rPr>
        <w:t>。</w:t>
      </w:r>
    </w:p>
    <w:p w14:paraId="0EFDF007">
      <w:pPr>
        <w:spacing w:line="560" w:lineRule="exact"/>
        <w:ind w:firstLine="643" w:firstLineChars="200"/>
        <w:rPr>
          <w:rFonts w:eastAsia="楷体_GB2312"/>
          <w:b/>
          <w:bCs/>
          <w:sz w:val="32"/>
          <w:szCs w:val="32"/>
        </w:rPr>
      </w:pPr>
      <w:r>
        <w:rPr>
          <w:rFonts w:eastAsia="楷体_GB2312"/>
          <w:b/>
          <w:bCs/>
          <w:sz w:val="32"/>
          <w:szCs w:val="32"/>
        </w:rPr>
        <w:t>（二）项目绩效目标</w:t>
      </w:r>
    </w:p>
    <w:p w14:paraId="31F1BFD6">
      <w:pPr>
        <w:spacing w:line="560" w:lineRule="exact"/>
        <w:ind w:firstLine="643" w:firstLineChars="200"/>
        <w:rPr>
          <w:rFonts w:hint="eastAsia" w:ascii="仿宋_GB2312" w:eastAsia="仿宋_GB2312"/>
          <w:b/>
          <w:bCs/>
          <w:sz w:val="32"/>
          <w:szCs w:val="32"/>
        </w:rPr>
      </w:pPr>
      <w:r>
        <w:rPr>
          <w:rFonts w:hint="eastAsia" w:ascii="仿宋_GB2312" w:eastAsia="仿宋_GB2312"/>
          <w:b/>
          <w:bCs/>
          <w:sz w:val="32"/>
          <w:szCs w:val="32"/>
        </w:rPr>
        <w:t>1.总体目标</w:t>
      </w:r>
    </w:p>
    <w:p w14:paraId="6871244F">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承担国家和自治区卫星综合应用新疆示范工程建设的事物性工作，为政府综合决策提供支持；按照高分专项有关数据政策和管理办法获取、管理、分发高分卫星数据，并承担相应的数据安全保密管理责任。</w:t>
      </w:r>
    </w:p>
    <w:p w14:paraId="346CD399">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阶段性目标</w:t>
      </w:r>
    </w:p>
    <w:p w14:paraId="2F8050EC">
      <w:pPr>
        <w:spacing w:line="560" w:lineRule="exact"/>
        <w:ind w:firstLine="640" w:firstLineChars="200"/>
        <w:rPr>
          <w:rFonts w:eastAsia="黑体"/>
          <w:bCs/>
        </w:rPr>
      </w:pPr>
      <w:r>
        <w:rPr>
          <w:rFonts w:hint="eastAsia" w:ascii="仿宋_GB2312" w:eastAsia="仿宋_GB2312"/>
          <w:bCs/>
          <w:color w:val="000000" w:themeColor="text1"/>
          <w:sz w:val="32"/>
          <w:szCs w:val="32"/>
          <w14:textFill>
            <w14:solidFill>
              <w14:schemeClr w14:val="tx1"/>
            </w14:solidFill>
          </w14:textFill>
        </w:rPr>
        <w:t>按照2023年度工作计划，在确定高分数据安全保密的情况下</w:t>
      </w:r>
      <w:r>
        <w:rPr>
          <w:rFonts w:hint="eastAsia" w:ascii="仿宋_GB2312" w:eastAsia="仿宋_GB2312"/>
          <w:color w:val="000000" w:themeColor="text1"/>
          <w:sz w:val="32"/>
          <w:szCs w:val="32"/>
          <w14:textFill>
            <w14:solidFill>
              <w14:schemeClr w14:val="tx1"/>
            </w14:solidFill>
          </w14:textFill>
        </w:rPr>
        <w:t>开展高分数据的获取、管理、分发工作，并</w:t>
      </w:r>
      <w:r>
        <w:rPr>
          <w:rFonts w:hint="eastAsia" w:ascii="仿宋_GB2312" w:eastAsia="仿宋_GB2312"/>
          <w:bCs/>
          <w:color w:val="000000" w:themeColor="text1"/>
          <w:sz w:val="32"/>
          <w:szCs w:val="32"/>
          <w14:textFill>
            <w14:solidFill>
              <w14:schemeClr w14:val="tx1"/>
            </w14:solidFill>
          </w14:textFill>
        </w:rPr>
        <w:t>完成预算执行。</w:t>
      </w:r>
    </w:p>
    <w:p w14:paraId="688D4A73">
      <w:pPr>
        <w:spacing w:line="560" w:lineRule="exact"/>
        <w:ind w:firstLine="640" w:firstLineChars="200"/>
        <w:rPr>
          <w:rFonts w:eastAsia="黑体"/>
          <w:sz w:val="32"/>
          <w:szCs w:val="32"/>
        </w:rPr>
      </w:pPr>
      <w:r>
        <w:rPr>
          <w:rFonts w:eastAsia="黑体"/>
          <w:sz w:val="32"/>
          <w:szCs w:val="32"/>
        </w:rPr>
        <w:t>二、绩效评价工作开展情况</w:t>
      </w:r>
    </w:p>
    <w:p w14:paraId="125C2682">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7EE205DD">
      <w:pPr>
        <w:spacing w:line="560" w:lineRule="exact"/>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w:t>
      </w:r>
      <w:r>
        <w:rPr>
          <w:rFonts w:ascii="仿宋_GB2312" w:eastAsia="仿宋_GB2312"/>
          <w:b/>
          <w:bCs/>
          <w:sz w:val="32"/>
          <w:szCs w:val="32"/>
        </w:rPr>
        <w:t>绩效评价的目的</w:t>
      </w:r>
    </w:p>
    <w:p w14:paraId="55E8F7AC">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C3329D8">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31A36560">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080DA8B7">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4D30ECCB">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绩效评价的对象</w:t>
      </w:r>
    </w:p>
    <w:p w14:paraId="3BDF731E">
      <w:pPr>
        <w:spacing w:line="56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卫星应用事业发展经费</w:t>
      </w:r>
      <w:r>
        <w:rPr>
          <w:rFonts w:hint="eastAsia" w:ascii="仿宋_GB2312" w:hAnsi="仿宋_GB2312" w:eastAsia="仿宋_GB2312" w:cs="仿宋_GB2312"/>
          <w:sz w:val="32"/>
          <w:szCs w:val="32"/>
        </w:rPr>
        <w:t>项目所包含的全部项目内容。</w:t>
      </w:r>
    </w:p>
    <w:p w14:paraId="2EB98E31">
      <w:pPr>
        <w:spacing w:line="560" w:lineRule="exact"/>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w:t>
      </w:r>
      <w:r>
        <w:rPr>
          <w:rFonts w:ascii="仿宋_GB2312" w:eastAsia="仿宋_GB2312"/>
          <w:b/>
          <w:bCs/>
          <w:sz w:val="32"/>
          <w:szCs w:val="32"/>
        </w:rPr>
        <w:t>绩效评价的范围</w:t>
      </w:r>
    </w:p>
    <w:p w14:paraId="348A2BA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eastAsia="仿宋_GB2312"/>
          <w:sz w:val="32"/>
          <w:szCs w:val="32"/>
        </w:rPr>
        <w:t>卫星应用事业发展经费</w:t>
      </w:r>
      <w:r>
        <w:rPr>
          <w:rFonts w:hint="eastAsia" w:ascii="仿宋_GB2312" w:hAnsi="仿宋_GB2312" w:eastAsia="仿宋_GB2312" w:cs="仿宋_GB2312"/>
          <w:sz w:val="32"/>
          <w:szCs w:val="32"/>
        </w:rPr>
        <w:t>项目进行评价，评价核心为专项资金的支出完成情况和效果。</w:t>
      </w:r>
    </w:p>
    <w:p w14:paraId="4B791788">
      <w:pPr>
        <w:spacing w:line="560" w:lineRule="exact"/>
        <w:ind w:firstLine="643" w:firstLineChars="200"/>
      </w:pPr>
      <w:r>
        <w:rPr>
          <w:rFonts w:eastAsia="楷体_GB2312"/>
          <w:b/>
          <w:bCs/>
          <w:sz w:val="32"/>
          <w:szCs w:val="32"/>
        </w:rPr>
        <w:t>（二）绩效评价原则、评价指标体系（详情见表1）、评价方法、评价标准。</w:t>
      </w:r>
    </w:p>
    <w:p w14:paraId="6CA1CA0E">
      <w:pPr>
        <w:spacing w:line="560" w:lineRule="exact"/>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w:t>
      </w:r>
      <w:r>
        <w:rPr>
          <w:rFonts w:ascii="仿宋_GB2312" w:eastAsia="仿宋_GB2312"/>
          <w:b/>
          <w:bCs/>
          <w:sz w:val="32"/>
          <w:szCs w:val="32"/>
        </w:rPr>
        <w:t>绩效评价原则</w:t>
      </w:r>
    </w:p>
    <w:p w14:paraId="43ABFDE0">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08D59BBC">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733308B1">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265AADDC">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0771A78E">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3DFA61AE">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评价指标体系</w:t>
      </w:r>
    </w:p>
    <w:p w14:paraId="34CBF0FF">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44E6E8C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1246A9E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D0DA4F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0649552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BAA7DA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21F5FDC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7B45694E">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595AC03B">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7313E8FD">
      <w:pPr>
        <w:spacing w:line="560" w:lineRule="exact"/>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w:t>
      </w:r>
      <w:r>
        <w:rPr>
          <w:rFonts w:ascii="仿宋_GB2312" w:eastAsia="仿宋_GB2312"/>
          <w:b/>
          <w:bCs/>
          <w:sz w:val="32"/>
          <w:szCs w:val="32"/>
        </w:rPr>
        <w:t>绩效评价方法</w:t>
      </w:r>
    </w:p>
    <w:p w14:paraId="0A35550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6F42B57E">
      <w:pPr>
        <w:spacing w:line="560" w:lineRule="exact"/>
        <w:ind w:firstLine="696" w:firstLineChars="200"/>
        <w:rPr>
          <w:rFonts w:eastAsia="仿宋_GB2312"/>
          <w:color w:val="000000"/>
          <w:spacing w:val="14"/>
          <w:sz w:val="32"/>
          <w:szCs w:val="32"/>
        </w:rPr>
      </w:pPr>
      <w:r>
        <w:rPr>
          <w:rFonts w:eastAsia="仿宋_GB2312"/>
          <w:color w:val="000000"/>
          <w:spacing w:val="14"/>
          <w:sz w:val="32"/>
          <w:szCs w:val="32"/>
        </w:rPr>
        <w:t>本次评价指标中，既有定性指标又有定量指标，各类指标因考核内容不同和客观标准不同存在较大差异，因此核定具体指标时采用了不同方法，具体评价方法如下：</w:t>
      </w:r>
    </w:p>
    <w:p w14:paraId="732DF65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717C9ED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55AEE56D">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1AE9A2F9">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130D10DE">
      <w:pPr>
        <w:spacing w:line="560" w:lineRule="exact"/>
        <w:ind w:firstLine="643" w:firstLineChars="200"/>
        <w:rPr>
          <w:rFonts w:ascii="仿宋_GB2312" w:eastAsia="仿宋_GB2312"/>
          <w:b/>
          <w:bCs/>
          <w:sz w:val="32"/>
          <w:szCs w:val="32"/>
        </w:rPr>
      </w:pPr>
      <w:r>
        <w:rPr>
          <w:rFonts w:ascii="仿宋_GB2312" w:eastAsia="仿宋_GB2312"/>
          <w:b/>
          <w:bCs/>
          <w:sz w:val="32"/>
          <w:szCs w:val="32"/>
        </w:rPr>
        <w:t>4</w:t>
      </w:r>
      <w:r>
        <w:rPr>
          <w:rFonts w:hint="eastAsia" w:ascii="仿宋_GB2312" w:eastAsia="仿宋_GB2312"/>
          <w:b/>
          <w:bCs/>
          <w:sz w:val="32"/>
          <w:szCs w:val="32"/>
        </w:rPr>
        <w:t>.</w:t>
      </w:r>
      <w:r>
        <w:rPr>
          <w:rFonts w:ascii="仿宋_GB2312" w:eastAsia="仿宋_GB2312"/>
          <w:b/>
          <w:bCs/>
          <w:sz w:val="32"/>
          <w:szCs w:val="32"/>
        </w:rPr>
        <w:t>评价标准</w:t>
      </w:r>
    </w:p>
    <w:p w14:paraId="06566DD4">
      <w:pPr>
        <w:spacing w:line="600" w:lineRule="exact"/>
        <w:ind w:firstLine="64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绩效评价标准通常包括计划标准、行业标准、历史标准等，用于对绩效指标完成情况进行比较、分析、评价。本次评价主要采用了计划标准和历史标准。</w:t>
      </w:r>
    </w:p>
    <w:p w14:paraId="26F9F67B">
      <w:pPr>
        <w:spacing w:line="600" w:lineRule="exact"/>
        <w:ind w:firstLine="640"/>
        <w:rPr>
          <w:rFonts w:hint="eastAsia" w:eastAsia="仿宋_GB2312"/>
          <w:color w:val="000000"/>
          <w:spacing w:val="17"/>
          <w:sz w:val="32"/>
          <w:szCs w:val="32"/>
        </w:rPr>
      </w:pPr>
      <w:bookmarkStart w:id="0" w:name="_Toc31464"/>
      <w:bookmarkStart w:id="1" w:name="_Toc17882"/>
      <w:r>
        <w:rPr>
          <w:rFonts w:hint="eastAsia" w:eastAsia="仿宋_GB2312"/>
          <w:color w:val="000000"/>
          <w:spacing w:val="17"/>
          <w:sz w:val="32"/>
          <w:szCs w:val="32"/>
        </w:rPr>
        <w:t>计划标准：指以预先制定的目标、计划、预算、定额等作为评价标准。</w:t>
      </w:r>
      <w:bookmarkEnd w:id="0"/>
      <w:bookmarkEnd w:id="1"/>
    </w:p>
    <w:p w14:paraId="434850DE">
      <w:pPr>
        <w:spacing w:line="600" w:lineRule="exact"/>
        <w:ind w:firstLine="640"/>
        <w:rPr>
          <w:rFonts w:hint="eastAsia" w:eastAsia="仿宋_GB2312"/>
          <w:color w:val="000000"/>
          <w:spacing w:val="17"/>
          <w:sz w:val="32"/>
          <w:szCs w:val="32"/>
        </w:rPr>
      </w:pPr>
      <w:bookmarkStart w:id="2" w:name="_Toc2318"/>
      <w:bookmarkStart w:id="3" w:name="_Toc5633"/>
      <w:r>
        <w:rPr>
          <w:rFonts w:hint="eastAsia" w:eastAsia="仿宋_GB2312"/>
          <w:color w:val="000000"/>
          <w:spacing w:val="17"/>
          <w:sz w:val="32"/>
          <w:szCs w:val="32"/>
        </w:rPr>
        <w:t>行业标准：指参照国家公布的行业指标数据制定的评价标准。</w:t>
      </w:r>
      <w:bookmarkEnd w:id="2"/>
      <w:bookmarkEnd w:id="3"/>
    </w:p>
    <w:p w14:paraId="1D54E5F8">
      <w:pPr>
        <w:spacing w:line="600" w:lineRule="exact"/>
        <w:ind w:firstLine="640"/>
        <w:rPr>
          <w:rFonts w:eastAsia="方正仿宋_GBK" w:cs="方正仿宋_GBK"/>
          <w:sz w:val="32"/>
          <w:szCs w:val="32"/>
        </w:rPr>
      </w:pPr>
      <w:bookmarkStart w:id="4" w:name="_Toc430"/>
      <w:bookmarkStart w:id="5" w:name="_Toc16028"/>
      <w:r>
        <w:rPr>
          <w:rFonts w:hint="eastAsia" w:eastAsia="仿宋_GB2312"/>
          <w:color w:val="000000"/>
          <w:spacing w:val="17"/>
          <w:sz w:val="32"/>
          <w:szCs w:val="32"/>
        </w:rPr>
        <w:t>历史标准：指参照历</w:t>
      </w:r>
      <w:r>
        <w:rPr>
          <w:rFonts w:hint="eastAsia" w:ascii="仿宋_GB2312" w:eastAsia="仿宋_GB2312" w:cs="方正仿宋_GBK"/>
          <w:sz w:val="32"/>
          <w:szCs w:val="32"/>
        </w:rPr>
        <w:t>史数据制定的评价标准，为体现绩效改进的原则，在可实现的条件下应当确定相对较高的评价标准。</w:t>
      </w:r>
      <w:bookmarkEnd w:id="4"/>
      <w:bookmarkEnd w:id="5"/>
    </w:p>
    <w:p w14:paraId="72BDDA27">
      <w:pPr>
        <w:pStyle w:val="2"/>
        <w:numPr>
          <w:ilvl w:val="0"/>
          <w:numId w:val="2"/>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5C4AB7AD">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1.前期准备</w:t>
      </w:r>
    </w:p>
    <w:p w14:paraId="1B52CB42">
      <w:pPr>
        <w:spacing w:line="600" w:lineRule="exact"/>
        <w:ind w:firstLine="640" w:firstLineChars="200"/>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14:paraId="2E3F9CBC">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2.组织实施</w:t>
      </w:r>
    </w:p>
    <w:p w14:paraId="2E6358BD">
      <w:pPr>
        <w:spacing w:line="600" w:lineRule="exact"/>
        <w:ind w:firstLine="640" w:firstLineChars="200"/>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14:paraId="30311146">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3.分析评价</w:t>
      </w:r>
    </w:p>
    <w:p w14:paraId="4EE09DC5">
      <w:pPr>
        <w:spacing w:line="600" w:lineRule="exact"/>
        <w:ind w:firstLine="640" w:firstLineChars="200"/>
        <w:rPr>
          <w:sz w:val="32"/>
          <w:szCs w:val="32"/>
        </w:rPr>
      </w:pPr>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14:paraId="1ABA0417">
      <w:pPr>
        <w:numPr>
          <w:ilvl w:val="0"/>
          <w:numId w:val="3"/>
        </w:numPr>
        <w:spacing w:line="600" w:lineRule="exact"/>
        <w:ind w:firstLine="640" w:firstLineChars="200"/>
        <w:rPr>
          <w:rFonts w:eastAsia="黑体"/>
          <w:sz w:val="32"/>
          <w:szCs w:val="32"/>
        </w:rPr>
      </w:pPr>
      <w:r>
        <w:rPr>
          <w:rFonts w:eastAsia="黑体"/>
          <w:sz w:val="32"/>
          <w:szCs w:val="32"/>
        </w:rPr>
        <w:t>综合评价情况及评价结论（附相关评分表）</w:t>
      </w:r>
    </w:p>
    <w:p w14:paraId="758A42AD">
      <w:pPr>
        <w:pStyle w:val="2"/>
        <w:spacing w:before="0" w:after="0" w:line="600" w:lineRule="exact"/>
        <w:ind w:firstLine="643" w:firstLineChars="200"/>
        <w:jc w:val="both"/>
        <w:rPr>
          <w:rFonts w:ascii="Times New Roman" w:hAnsi="Times New Roman" w:eastAsia="楷体_GB2312"/>
        </w:rPr>
      </w:pPr>
      <w:r>
        <w:rPr>
          <w:rFonts w:hint="eastAsia" w:ascii="Times New Roman" w:hAnsi="Times New Roman" w:eastAsia="楷体_GB2312"/>
        </w:rPr>
        <w:t>（一）评价情况</w:t>
      </w:r>
    </w:p>
    <w:p w14:paraId="6CCDA2B2">
      <w:pPr>
        <w:spacing w:line="600" w:lineRule="exact"/>
        <w:ind w:firstLine="640" w:firstLineChars="200"/>
        <w:outlineLvl w:val="0"/>
        <w:rPr>
          <w:rFonts w:eastAsia="仿宋_GB2312"/>
          <w:kern w:val="28"/>
          <w:sz w:val="32"/>
          <w:szCs w:val="32"/>
        </w:rPr>
      </w:pPr>
      <w:r>
        <w:rPr>
          <w:rFonts w:hint="eastAsia" w:eastAsia="仿宋_GB2312"/>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28798264">
      <w:pPr>
        <w:pStyle w:val="2"/>
        <w:spacing w:before="0" w:after="0" w:line="600" w:lineRule="exact"/>
        <w:ind w:firstLine="643" w:firstLineChars="200"/>
        <w:jc w:val="both"/>
        <w:rPr>
          <w:rFonts w:ascii="Times New Roman" w:hAnsi="Times New Roman" w:eastAsia="楷体_GB2312"/>
        </w:rPr>
      </w:pPr>
      <w:r>
        <w:rPr>
          <w:rFonts w:hint="eastAsia" w:ascii="Times New Roman" w:hAnsi="Times New Roman" w:eastAsia="楷体_GB2312"/>
        </w:rPr>
        <w:t>（二）评价结论</w:t>
      </w:r>
    </w:p>
    <w:p w14:paraId="6B70229A">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仿宋_GB2312" w:hAnsi="Times New Roman" w:eastAsia="仿宋_GB2312"/>
          <w:b w:val="0"/>
          <w:bCs w:val="0"/>
        </w:rPr>
        <w:t>95.70</w:t>
      </w:r>
      <w:r>
        <w:rPr>
          <w:rFonts w:hint="eastAsia" w:ascii="Times New Roman" w:hAnsi="Times New Roman" w:eastAsia="仿宋_GB2312"/>
          <w:b w:val="0"/>
          <w:bCs w:val="0"/>
        </w:rPr>
        <w:t>分，属于“优”。其中，项目决策类指标权重为20分，得分为18分，得分率为90%。项目过程类指标权重为20分，得分为17.70分，得分率为88.50%。项目产出类指标权重为40分，得分为40分，得分率为100%。项目效益类指标权重为20分，得分为20分，得分率为100%。具体打分情况详见：附件1综合评分表。</w:t>
      </w:r>
    </w:p>
    <w:p w14:paraId="3FBE5F66">
      <w:pPr>
        <w:pStyle w:val="2"/>
        <w:spacing w:before="0" w:after="0"/>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786111CE">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69BDC87">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9C15513">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ACF55F2">
            <w:pPr>
              <w:jc w:val="center"/>
              <w:rPr>
                <w:b/>
                <w:bCs/>
                <w:color w:val="000000"/>
                <w:sz w:val="22"/>
              </w:rPr>
            </w:pPr>
            <w:r>
              <w:rPr>
                <w:rFonts w:hint="eastAsia"/>
                <w:b/>
                <w:bCs/>
                <w:color w:val="000000"/>
                <w:sz w:val="22"/>
              </w:rPr>
              <w:t>得分</w:t>
            </w:r>
          </w:p>
        </w:tc>
      </w:tr>
      <w:tr w14:paraId="08E7ADA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1DF269E">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0E52E1F3">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18241503">
            <w:pPr>
              <w:jc w:val="center"/>
              <w:rPr>
                <w:color w:val="000000"/>
                <w:sz w:val="22"/>
              </w:rPr>
            </w:pPr>
            <w:r>
              <w:rPr>
                <w:rFonts w:hint="eastAsia"/>
                <w:color w:val="000000"/>
                <w:sz w:val="22"/>
              </w:rPr>
              <w:t>18</w:t>
            </w:r>
          </w:p>
        </w:tc>
      </w:tr>
      <w:tr w14:paraId="763BFA3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FAE1CB4">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21C8018B">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4A841343">
            <w:pPr>
              <w:jc w:val="center"/>
              <w:rPr>
                <w:color w:val="000000"/>
                <w:sz w:val="22"/>
              </w:rPr>
            </w:pPr>
            <w:r>
              <w:rPr>
                <w:rFonts w:hint="eastAsia"/>
                <w:color w:val="000000"/>
                <w:sz w:val="22"/>
              </w:rPr>
              <w:t>17.70</w:t>
            </w:r>
          </w:p>
        </w:tc>
      </w:tr>
      <w:tr w14:paraId="1D517A2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2C81839">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1FADE981">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14:paraId="5F6BEDFE">
            <w:pPr>
              <w:jc w:val="center"/>
              <w:rPr>
                <w:color w:val="000000"/>
                <w:sz w:val="22"/>
              </w:rPr>
            </w:pPr>
            <w:r>
              <w:rPr>
                <w:rFonts w:hint="eastAsia"/>
                <w:color w:val="000000"/>
                <w:sz w:val="22"/>
              </w:rPr>
              <w:t>40</w:t>
            </w:r>
          </w:p>
        </w:tc>
      </w:tr>
      <w:tr w14:paraId="435EE01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ACFE228">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255B7E16">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74E7D8A1">
            <w:pPr>
              <w:jc w:val="center"/>
              <w:rPr>
                <w:color w:val="000000"/>
                <w:sz w:val="22"/>
              </w:rPr>
            </w:pPr>
            <w:r>
              <w:rPr>
                <w:rFonts w:hint="eastAsia"/>
                <w:color w:val="000000"/>
                <w:sz w:val="22"/>
              </w:rPr>
              <w:t>20</w:t>
            </w:r>
          </w:p>
        </w:tc>
      </w:tr>
      <w:tr w14:paraId="6001A81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8BDA323">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40965495">
            <w:pPr>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14:paraId="7CEEFB54">
            <w:pPr>
              <w:jc w:val="center"/>
              <w:rPr>
                <w:b/>
                <w:bCs/>
                <w:color w:val="000000"/>
                <w:sz w:val="22"/>
              </w:rPr>
            </w:pPr>
            <w:r>
              <w:rPr>
                <w:rFonts w:hint="eastAsia"/>
                <w:b/>
                <w:bCs/>
                <w:color w:val="000000"/>
                <w:sz w:val="22"/>
              </w:rPr>
              <w:t>95.70</w:t>
            </w:r>
          </w:p>
        </w:tc>
      </w:tr>
    </w:tbl>
    <w:p w14:paraId="2ABE11D8">
      <w:pPr>
        <w:spacing w:line="560" w:lineRule="exact"/>
        <w:ind w:firstLine="640" w:firstLineChars="200"/>
        <w:rPr>
          <w:rFonts w:eastAsia="黑体"/>
          <w:sz w:val="32"/>
          <w:szCs w:val="32"/>
        </w:rPr>
      </w:pPr>
      <w:r>
        <w:rPr>
          <w:rFonts w:eastAsia="黑体"/>
          <w:sz w:val="32"/>
          <w:szCs w:val="32"/>
        </w:rPr>
        <w:t>四、绩效评价指标分析</w:t>
      </w:r>
    </w:p>
    <w:p w14:paraId="6EBDDAD1">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7E79874D">
      <w:pPr>
        <w:spacing w:line="600" w:lineRule="exact"/>
        <w:ind w:firstLine="600" w:firstLineChars="200"/>
        <w:outlineLvl w:val="0"/>
        <w:rPr>
          <w:rFonts w:ascii="仿宋_GB2312" w:hAnsi="仿宋_GB2312" w:eastAsia="仿宋_GB2312" w:cs="仿宋_GB2312"/>
          <w:sz w:val="30"/>
          <w:szCs w:val="30"/>
        </w:rPr>
      </w:pPr>
      <w:r>
        <w:rPr>
          <w:rFonts w:hint="eastAsia" w:ascii="仿宋_GB2312" w:hAnsi="仿宋_GB2312" w:eastAsia="仿宋_GB2312" w:cs="仿宋_GB2312"/>
          <w:sz w:val="30"/>
          <w:szCs w:val="30"/>
        </w:rPr>
        <w:t>项目决策类指标包括项目立项、绩效目标和资金投入三方面的内容，由6个三级指标构成，权重分值为20分，实际得分18分，得分率为90%。</w:t>
      </w:r>
    </w:p>
    <w:p w14:paraId="561A968C">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1.项目立项</w:t>
      </w:r>
    </w:p>
    <w:p w14:paraId="1F473A2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（1）立项依据充分性</w:t>
      </w:r>
    </w:p>
    <w:p w14:paraId="1C33F978">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8092C1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（2）立项程序规范性</w:t>
      </w:r>
    </w:p>
    <w:p w14:paraId="232A6505">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B7D9C92">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2.绩效目标</w:t>
      </w:r>
    </w:p>
    <w:p w14:paraId="6678CE78">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14:paraId="37BC69A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31F12EA">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（2）绩效指标明确性</w:t>
      </w:r>
    </w:p>
    <w:p w14:paraId="7B10FD1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项目设置了明确的预期产出效益和效果，将绩效目标细化分解为具体的绩效指标，绩效目标与项目目标任务数相对应，绩效目标设定的绩效指标清晰、细化、可衡量。</w:t>
      </w:r>
    </w:p>
    <w:p w14:paraId="67D541B3">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w:t>
      </w:r>
    </w:p>
    <w:p w14:paraId="082FC6B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（1）预算编制科学性</w:t>
      </w:r>
    </w:p>
    <w:p w14:paraId="2AA9072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预算编制经过科学论证，提供充分的测算依据佐证资料，预算内容与项目内容相匹配。项目投资额与工作任务相匹配。</w:t>
      </w:r>
    </w:p>
    <w:p w14:paraId="74E3677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（2）资金分配合理性</w:t>
      </w:r>
    </w:p>
    <w:p w14:paraId="2F02211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资金分配额度与项目单位实际工作内容相适应，资金分配额度合理，资金分配依据充分。</w:t>
      </w:r>
    </w:p>
    <w:p w14:paraId="4A9CA4DB">
      <w:pPr>
        <w:pStyle w:val="2"/>
        <w:numPr>
          <w:ilvl w:val="0"/>
          <w:numId w:val="4"/>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4CDD5B01">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项目过程类指标包括资金管理和组织实施两方面的内容，由5个三级指标构成，权重分值为20分，实际得分17.70分，得分率为88.50%。</w:t>
      </w:r>
    </w:p>
    <w:p w14:paraId="6E636B79">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14:paraId="2FE4499B">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1.资金管理</w:t>
      </w:r>
    </w:p>
    <w:p w14:paraId="1C67A90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（1）资金到位率</w:t>
      </w:r>
    </w:p>
    <w:p w14:paraId="65BCD06E">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本项目总投资90.16万元，财政资金及时足额到位，到位率100%，预算资金按计划进度执行。</w:t>
      </w:r>
    </w:p>
    <w:p w14:paraId="594F6E4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（2）预算执行率</w:t>
      </w:r>
    </w:p>
    <w:p w14:paraId="48CF28D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预算编制较为详细，项目资金支出总体能够按照预算执行，预算资金支出83.39万元，预算执行率为92.49%。</w:t>
      </w:r>
    </w:p>
    <w:p w14:paraId="1D2B6B27">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（3）资金使用合规性</w:t>
      </w:r>
    </w:p>
    <w:p w14:paraId="78CCC918">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01256CBC">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2.组织实施</w:t>
      </w:r>
    </w:p>
    <w:p w14:paraId="4F2B8171">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（1）管理制度健全性</w:t>
      </w:r>
    </w:p>
    <w:p w14:paraId="2F5371D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0E6CC0AF">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（2）制度执行有效性</w:t>
      </w:r>
    </w:p>
    <w:p w14:paraId="7920000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14:paraId="65CE69DE">
      <w:pPr>
        <w:pStyle w:val="11"/>
        <w:numPr>
          <w:ilvl w:val="0"/>
          <w:numId w:val="4"/>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rPr>
        <w:t>情况</w:t>
      </w:r>
    </w:p>
    <w:p w14:paraId="54290798">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项目产出类指标包括产出数量、产出质量、产出时效、产出成本四方面的内容，由7个三级指标构成，权重分为40分，实际得分40分，得分率为100%。具体产出指标完成情况如下：</w:t>
      </w:r>
    </w:p>
    <w:p w14:paraId="0F50A06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数量指标：</w:t>
      </w:r>
    </w:p>
    <w:p w14:paraId="4F05834E">
      <w:pPr>
        <w:spacing w:line="600" w:lineRule="exact"/>
        <w:ind w:firstLine="640" w:firstLineChars="200"/>
        <w:outlineLvl w:val="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指标1：</w:t>
      </w:r>
      <w:r>
        <w:rPr>
          <w:rFonts w:hint="eastAsia" w:ascii="仿宋_GB2312" w:hAnsi="宋体" w:eastAsia="仿宋_GB2312" w:cs="宋体"/>
          <w:color w:val="000000"/>
          <w:kern w:val="0"/>
          <w:sz w:val="32"/>
          <w:szCs w:val="32"/>
        </w:rPr>
        <w:t>扩建数据自动化处理平台</w:t>
      </w:r>
      <w:r>
        <w:rPr>
          <w:rFonts w:hint="eastAsia" w:ascii="仿宋_GB2312" w:hAnsi="仿宋_GB2312" w:eastAsia="仿宋_GB2312" w:cs="仿宋_GB2312"/>
          <w:sz w:val="32"/>
          <w:szCs w:val="32"/>
        </w:rPr>
        <w:t>，指标值：1套，实际完成值：1套，指标完成率100%。</w:t>
      </w:r>
    </w:p>
    <w:p w14:paraId="4C1577F3">
      <w:pPr>
        <w:spacing w:line="600" w:lineRule="exact"/>
        <w:ind w:firstLine="640" w:firstLineChars="200"/>
        <w:outlineLvl w:val="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指标2：</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自治区各行业厅局高分卫星影像应用次数</w:t>
      </w:r>
      <w:r>
        <w:rPr>
          <w:rFonts w:hint="eastAsia" w:ascii="仿宋_GB2312" w:hAnsi="仿宋_GB2312" w:eastAsia="仿宋_GB2312" w:cs="仿宋_GB2312"/>
          <w:sz w:val="32"/>
          <w:szCs w:val="32"/>
        </w:rPr>
        <w:t>，指标值：10，实际完成值：11，指标完成率110%，偏差原因：本年自治区各行业厅局高分卫星影像应用实际完成11次。</w:t>
      </w:r>
    </w:p>
    <w:p w14:paraId="2526F813">
      <w:pPr>
        <w:spacing w:line="600" w:lineRule="exact"/>
        <w:ind w:firstLine="640" w:firstLineChars="200"/>
        <w:outlineLvl w:val="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指标3：</w:t>
      </w:r>
      <w:r>
        <w:rPr>
          <w:rFonts w:hint="eastAsia" w:ascii="仿宋_GB2312" w:eastAsia="仿宋_GB2312"/>
          <w:sz w:val="32"/>
          <w:szCs w:val="32"/>
        </w:rPr>
        <w:t>数据的更新检验和入库数量</w:t>
      </w:r>
      <w:r>
        <w:rPr>
          <w:rFonts w:hint="eastAsia" w:ascii="仿宋_GB2312" w:hAnsi="仿宋_GB2312" w:eastAsia="仿宋_GB2312" w:cs="仿宋_GB2312"/>
          <w:sz w:val="32"/>
          <w:szCs w:val="32"/>
        </w:rPr>
        <w:t>，指标值：3000幅，实际完成值：3125幅，指标完成率104%，偏差原因：本年</w:t>
      </w:r>
      <w:r>
        <w:rPr>
          <w:rFonts w:hint="eastAsia" w:ascii="仿宋_GB2312" w:eastAsia="仿宋_GB2312"/>
          <w:sz w:val="32"/>
          <w:szCs w:val="32"/>
        </w:rPr>
        <w:t>数据的更新检验和入库数量</w:t>
      </w:r>
      <w:r>
        <w:rPr>
          <w:rFonts w:hint="eastAsia" w:ascii="仿宋_GB2312" w:hAnsi="仿宋_GB2312" w:eastAsia="仿宋_GB2312" w:cs="仿宋_GB2312"/>
          <w:sz w:val="32"/>
          <w:szCs w:val="32"/>
        </w:rPr>
        <w:t>实际完成3125幅。</w:t>
      </w:r>
    </w:p>
    <w:p w14:paraId="49BDAB29">
      <w:pPr>
        <w:pStyle w:val="2"/>
        <w:widowControl w:val="0"/>
        <w:snapToGrid w:val="0"/>
        <w:spacing w:before="0" w:after="0" w:line="580" w:lineRule="exact"/>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rPr>
        <w:t>指标4：</w:t>
      </w:r>
      <w:r>
        <w:rPr>
          <w:rFonts w:hint="eastAsia" w:ascii="仿宋_GB2312" w:eastAsia="仿宋_GB2312"/>
          <w:b w:val="0"/>
          <w:bCs w:val="0"/>
          <w:kern w:val="2"/>
        </w:rPr>
        <w:t>扩容高分数据存储平台</w:t>
      </w:r>
      <w:r>
        <w:rPr>
          <w:rFonts w:hint="eastAsia" w:ascii="仿宋_GB2312" w:hAnsi="仿宋_GB2312" w:eastAsia="仿宋_GB2312" w:cs="仿宋_GB2312"/>
          <w:b w:val="0"/>
          <w:bCs w:val="0"/>
        </w:rPr>
        <w:t>，指标值：1套，实际完成值：1套，指标完成率100%。</w:t>
      </w:r>
    </w:p>
    <w:p w14:paraId="4A2F090A">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质量指标：</w:t>
      </w:r>
    </w:p>
    <w:p w14:paraId="75AB8C6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指标1：</w:t>
      </w:r>
      <w:r>
        <w:rPr>
          <w:rStyle w:val="15"/>
          <w:rFonts w:hint="eastAsia" w:ascii="仿宋_GB2312" w:hAnsi="仿宋_GB2312" w:eastAsia="仿宋_GB2312" w:cs="仿宋_GB2312"/>
          <w:b w:val="0"/>
          <w:color w:val="000000" w:themeColor="text1"/>
          <w:spacing w:val="-4"/>
          <w:sz w:val="32"/>
          <w:szCs w:val="32"/>
          <w14:textFill>
            <w14:solidFill>
              <w14:schemeClr w14:val="tx1"/>
            </w14:solidFill>
          </w14:textFill>
        </w:rPr>
        <w:t>数据更新合格率</w:t>
      </w:r>
      <w:r>
        <w:rPr>
          <w:rFonts w:hint="eastAsia" w:ascii="仿宋_GB2312" w:hAnsi="仿宋_GB2312" w:eastAsia="仿宋_GB2312" w:cs="仿宋_GB2312"/>
          <w:sz w:val="32"/>
          <w:szCs w:val="32"/>
        </w:rPr>
        <w:t>，指标值：</w:t>
      </w:r>
      <w:r>
        <w:rPr>
          <w:rFonts w:hint="eastAsia" w:ascii="仿宋_GB2312" w:eastAsia="仿宋_GB2312"/>
          <w:sz w:val="32"/>
          <w:szCs w:val="32"/>
        </w:rPr>
        <w:t>大于等于</w:t>
      </w:r>
      <w:r>
        <w:rPr>
          <w:rFonts w:hint="eastAsia" w:ascii="仿宋_GB2312" w:hAnsi="仿宋_GB2312" w:eastAsia="仿宋_GB2312" w:cs="仿宋_GB2312"/>
          <w:sz w:val="32"/>
          <w:szCs w:val="32"/>
        </w:rPr>
        <w:t>90%，实际完成值：</w:t>
      </w:r>
      <w:r>
        <w:rPr>
          <w:rFonts w:hint="eastAsia" w:ascii="仿宋_GB2312" w:eastAsia="仿宋_GB2312"/>
          <w:sz w:val="32"/>
          <w:szCs w:val="32"/>
        </w:rPr>
        <w:t>大于等于</w:t>
      </w:r>
      <w:r>
        <w:rPr>
          <w:rFonts w:hint="eastAsia" w:ascii="仿宋_GB2312" w:hAnsi="仿宋_GB2312" w:eastAsia="仿宋_GB2312" w:cs="仿宋_GB2312"/>
          <w:sz w:val="32"/>
          <w:szCs w:val="32"/>
        </w:rPr>
        <w:t>90%，指标完成率100%。</w:t>
      </w:r>
    </w:p>
    <w:p w14:paraId="6AEC3254">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时效指标：</w:t>
      </w:r>
    </w:p>
    <w:p w14:paraId="7BFE1D6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指标1：</w:t>
      </w:r>
      <w:r>
        <w:rPr>
          <w:rStyle w:val="15"/>
          <w:rFonts w:hint="eastAsia" w:ascii="仿宋_GB2312" w:hAnsi="仿宋_GB2312" w:eastAsia="仿宋_GB2312" w:cs="仿宋_GB2312"/>
          <w:b w:val="0"/>
          <w:color w:val="000000" w:themeColor="text1"/>
          <w:spacing w:val="-4"/>
          <w:sz w:val="32"/>
          <w:szCs w:val="32"/>
          <w14:textFill>
            <w14:solidFill>
              <w14:schemeClr w14:val="tx1"/>
            </w14:solidFill>
          </w14:textFill>
        </w:rPr>
        <w:t>数据处理时间</w:t>
      </w:r>
      <w:r>
        <w:rPr>
          <w:rFonts w:hint="eastAsia" w:ascii="仿宋_GB2312" w:hAnsi="仿宋_GB2312" w:eastAsia="仿宋_GB2312" w:cs="仿宋_GB2312"/>
          <w:sz w:val="32"/>
          <w:szCs w:val="32"/>
        </w:rPr>
        <w:t>，指标值：</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小于等</w:t>
      </w:r>
      <w:r>
        <w:rPr>
          <w:rStyle w:val="15"/>
          <w:rFonts w:hint="eastAsia" w:ascii="仿宋_GB2312" w:hAnsi="仿宋_GB2312" w:eastAsia="仿宋_GB2312" w:cs="仿宋_GB2312"/>
          <w:color w:val="000000" w:themeColor="text1"/>
          <w:spacing w:val="-4"/>
          <w:sz w:val="32"/>
          <w:szCs w:val="32"/>
          <w14:textFill>
            <w14:solidFill>
              <w14:schemeClr w14:val="tx1"/>
            </w14:solidFill>
          </w14:textFill>
        </w:rPr>
        <w:t>于</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7天</w:t>
      </w:r>
      <w:r>
        <w:rPr>
          <w:rFonts w:hint="eastAsia" w:ascii="仿宋_GB2312" w:hAnsi="仿宋_GB2312" w:eastAsia="仿宋_GB2312" w:cs="仿宋_GB2312"/>
          <w:sz w:val="32"/>
          <w:szCs w:val="32"/>
        </w:rPr>
        <w:t>，实际完成值：</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小于等</w:t>
      </w:r>
      <w:r>
        <w:rPr>
          <w:rStyle w:val="15"/>
          <w:rFonts w:hint="eastAsia" w:ascii="仿宋_GB2312" w:hAnsi="仿宋_GB2312" w:eastAsia="仿宋_GB2312" w:cs="仿宋_GB2312"/>
          <w:color w:val="000000" w:themeColor="text1"/>
          <w:spacing w:val="-4"/>
          <w:sz w:val="32"/>
          <w:szCs w:val="32"/>
          <w14:textFill>
            <w14:solidFill>
              <w14:schemeClr w14:val="tx1"/>
            </w14:solidFill>
          </w14:textFill>
        </w:rPr>
        <w:t>于</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7天</w:t>
      </w:r>
      <w:r>
        <w:rPr>
          <w:rFonts w:hint="eastAsia" w:ascii="仿宋_GB2312" w:hAnsi="仿宋_GB2312" w:eastAsia="仿宋_GB2312" w:cs="仿宋_GB2312"/>
          <w:sz w:val="32"/>
          <w:szCs w:val="32"/>
        </w:rPr>
        <w:t>，指标完成率100%。</w:t>
      </w:r>
    </w:p>
    <w:p w14:paraId="1A82534F">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成本指标：</w:t>
      </w:r>
    </w:p>
    <w:p w14:paraId="60F5575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指标1：</w:t>
      </w:r>
      <w:r>
        <w:rPr>
          <w:rFonts w:hint="eastAsia" w:ascii="仿宋_GB2312" w:eastAsia="仿宋_GB2312"/>
          <w:sz w:val="32"/>
          <w:szCs w:val="32"/>
        </w:rPr>
        <w:t>预算控制率</w:t>
      </w:r>
      <w:r>
        <w:rPr>
          <w:rFonts w:hint="eastAsia" w:ascii="仿宋_GB2312" w:hAnsi="仿宋_GB2312" w:eastAsia="仿宋_GB2312" w:cs="仿宋_GB2312"/>
          <w:sz w:val="32"/>
          <w:szCs w:val="32"/>
        </w:rPr>
        <w:t>，指标值：</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小于等</w:t>
      </w:r>
      <w:r>
        <w:rPr>
          <w:rStyle w:val="15"/>
          <w:rFonts w:hint="eastAsia" w:ascii="仿宋_GB2312" w:hAnsi="仿宋_GB2312" w:eastAsia="仿宋_GB2312" w:cs="仿宋_GB2312"/>
          <w:color w:val="000000" w:themeColor="text1"/>
          <w:spacing w:val="-4"/>
          <w:sz w:val="32"/>
          <w:szCs w:val="32"/>
          <w14:textFill>
            <w14:solidFill>
              <w14:schemeClr w14:val="tx1"/>
            </w14:solidFill>
          </w14:textFill>
        </w:rPr>
        <w:t>于</w:t>
      </w:r>
      <w:r>
        <w:rPr>
          <w:rFonts w:hint="eastAsia" w:ascii="仿宋_GB2312" w:eastAsia="仿宋_GB2312"/>
          <w:sz w:val="32"/>
          <w:szCs w:val="32"/>
        </w:rPr>
        <w:t>100%</w:t>
      </w:r>
      <w:r>
        <w:rPr>
          <w:rFonts w:hint="eastAsia" w:ascii="仿宋_GB2312" w:hAnsi="仿宋_GB2312" w:eastAsia="仿宋_GB2312" w:cs="仿宋_GB2312"/>
          <w:sz w:val="32"/>
          <w:szCs w:val="32"/>
        </w:rPr>
        <w:t>，实际完成值：</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小于等</w:t>
      </w:r>
      <w:r>
        <w:rPr>
          <w:rStyle w:val="15"/>
          <w:rFonts w:hint="eastAsia" w:ascii="仿宋_GB2312" w:hAnsi="仿宋_GB2312" w:eastAsia="仿宋_GB2312" w:cs="仿宋_GB2312"/>
          <w:color w:val="000000" w:themeColor="text1"/>
          <w:spacing w:val="-4"/>
          <w:sz w:val="32"/>
          <w:szCs w:val="32"/>
          <w14:textFill>
            <w14:solidFill>
              <w14:schemeClr w14:val="tx1"/>
            </w14:solidFill>
          </w14:textFill>
        </w:rPr>
        <w:t>于</w:t>
      </w:r>
      <w:r>
        <w:rPr>
          <w:rFonts w:hint="eastAsia" w:ascii="仿宋_GB2312" w:eastAsia="仿宋_GB2312"/>
          <w:sz w:val="32"/>
          <w:szCs w:val="32"/>
        </w:rPr>
        <w:t>100%</w:t>
      </w:r>
      <w:r>
        <w:rPr>
          <w:rFonts w:hint="eastAsia" w:ascii="仿宋_GB2312" w:hAnsi="仿宋_GB2312" w:eastAsia="仿宋_GB2312" w:cs="仿宋_GB2312"/>
          <w:sz w:val="32"/>
          <w:szCs w:val="32"/>
        </w:rPr>
        <w:t>，指标完成率100%。</w:t>
      </w:r>
    </w:p>
    <w:p w14:paraId="7952980C">
      <w:pPr>
        <w:pStyle w:val="11"/>
        <w:numPr>
          <w:ilvl w:val="0"/>
          <w:numId w:val="4"/>
        </w:numPr>
        <w:spacing w:line="560" w:lineRule="exact"/>
        <w:ind w:firstLine="643"/>
        <w:rPr>
          <w:rFonts w:eastAsia="楷体_GB2312"/>
          <w:b/>
          <w:bCs/>
          <w:sz w:val="32"/>
          <w:szCs w:val="32"/>
        </w:rPr>
      </w:pPr>
      <w:r>
        <w:rPr>
          <w:rFonts w:hint="eastAsia" w:eastAsia="楷体_GB2312"/>
          <w:b/>
          <w:bCs/>
          <w:sz w:val="32"/>
          <w:szCs w:val="32"/>
        </w:rPr>
        <w:t>项目效益情况</w:t>
      </w:r>
    </w:p>
    <w:p w14:paraId="3B6CC85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项目效益类指标包括项目实施效益和满意度两方面的内容，由1个三级指标构成，权重分为20分，实际得分20分，得分率为100%。具体效益指标及满意度指标完成情况如下：</w:t>
      </w:r>
    </w:p>
    <w:p w14:paraId="2BDD55E5">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1.实施效益</w:t>
      </w:r>
    </w:p>
    <w:p w14:paraId="5791B93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①经济效益指标：</w:t>
      </w:r>
    </w:p>
    <w:p w14:paraId="52472AB6">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532483E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②社会效益指标：</w:t>
      </w:r>
    </w:p>
    <w:p w14:paraId="06C7D42E">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5180D7B5">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③生态效益指标：</w:t>
      </w:r>
    </w:p>
    <w:p w14:paraId="22E865A9">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37C395E4">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④可持续影响指标：</w:t>
      </w:r>
    </w:p>
    <w:p w14:paraId="58D9D776">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6A97B760">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2.满意度</w:t>
      </w:r>
    </w:p>
    <w:p w14:paraId="07013189">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满意度指标：</w:t>
      </w:r>
      <w:r>
        <w:rPr>
          <w:rFonts w:hint="eastAsia" w:ascii="仿宋_GB2312" w:eastAsia="仿宋_GB2312"/>
          <w:sz w:val="32"/>
          <w:szCs w:val="32"/>
        </w:rPr>
        <w:t>使用人员满意度</w:t>
      </w:r>
      <w:r>
        <w:rPr>
          <w:rFonts w:hint="eastAsia" w:ascii="仿宋_GB2312" w:hAnsi="仿宋_GB2312" w:eastAsia="仿宋_GB2312" w:cs="仿宋_GB2312"/>
          <w:sz w:val="32"/>
          <w:szCs w:val="32"/>
        </w:rPr>
        <w:t>，指标值：</w:t>
      </w:r>
      <w:r>
        <w:rPr>
          <w:rFonts w:hint="eastAsia" w:ascii="仿宋_GB2312" w:eastAsia="仿宋_GB2312"/>
          <w:sz w:val="32"/>
          <w:szCs w:val="32"/>
        </w:rPr>
        <w:t>大于等于90%</w:t>
      </w:r>
      <w:r>
        <w:rPr>
          <w:rFonts w:hint="eastAsia" w:ascii="仿宋_GB2312" w:hAnsi="仿宋_GB2312" w:eastAsia="仿宋_GB2312" w:cs="仿宋_GB2312"/>
          <w:sz w:val="32"/>
          <w:szCs w:val="32"/>
        </w:rPr>
        <w:t>，实际完成值：</w:t>
      </w:r>
      <w:r>
        <w:rPr>
          <w:rFonts w:hint="eastAsia" w:ascii="仿宋_GB2312" w:eastAsia="仿宋_GB2312"/>
          <w:sz w:val="32"/>
          <w:szCs w:val="32"/>
        </w:rPr>
        <w:t>大于等于90%</w:t>
      </w:r>
      <w:r>
        <w:rPr>
          <w:rFonts w:hint="eastAsia" w:ascii="仿宋_GB2312" w:hAnsi="仿宋_GB2312" w:eastAsia="仿宋_GB2312" w:cs="仿宋_GB2312"/>
          <w:sz w:val="32"/>
          <w:szCs w:val="32"/>
        </w:rPr>
        <w:t>，指标完成率100%。</w:t>
      </w:r>
    </w:p>
    <w:p w14:paraId="12D36BA7">
      <w:pPr>
        <w:spacing w:line="560" w:lineRule="exact"/>
        <w:ind w:firstLine="640" w:firstLineChars="200"/>
        <w:rPr>
          <w:rFonts w:eastAsia="黑体"/>
          <w:sz w:val="32"/>
          <w:szCs w:val="32"/>
          <w:lang w:eastAsia="zh-Hans"/>
        </w:rPr>
      </w:pPr>
      <w:r>
        <w:rPr>
          <w:rFonts w:hint="eastAsia" w:eastAsia="黑体"/>
          <w:sz w:val="32"/>
          <w:szCs w:val="32"/>
          <w:lang w:eastAsia="zh-Hans"/>
        </w:rPr>
        <w:t>五、预算执行进度与绩效指标总体完成率偏差</w:t>
      </w:r>
    </w:p>
    <w:p w14:paraId="4B30382E">
      <w:pPr>
        <w:pStyle w:val="18"/>
        <w:spacing w:line="560" w:lineRule="exact"/>
        <w:ind w:firstLine="640"/>
        <w:rPr>
          <w:rFonts w:ascii="仿宋_GB2312" w:eastAsia="仿宋_GB2312" w:cs="方正仿宋_GBK"/>
          <w:sz w:val="32"/>
          <w:szCs w:val="32"/>
        </w:rPr>
      </w:pPr>
      <w:r>
        <w:rPr>
          <w:rFonts w:hint="eastAsia" w:ascii="仿宋_GB2312" w:hAnsi="宋体" w:eastAsia="仿宋_GB2312" w:cs="宋体"/>
          <w:color w:val="000000"/>
          <w:sz w:val="32"/>
          <w:szCs w:val="32"/>
        </w:rPr>
        <w:t>卫星应用事业发展经费</w:t>
      </w:r>
      <w:r>
        <w:rPr>
          <w:rFonts w:hint="eastAsia" w:ascii="仿宋_GB2312" w:eastAsia="仿宋_GB2312" w:cs="方正仿宋_GBK"/>
          <w:sz w:val="32"/>
          <w:szCs w:val="32"/>
        </w:rPr>
        <w:t>项目年初预算90.16万元，全年预算90.16万元，实际支出83.39万元，预算执行率为92.49%，项目绩效指标总体完成率为101.75%，</w:t>
      </w:r>
      <w:r>
        <w:rPr>
          <w:rFonts w:hint="eastAsia" w:ascii="仿宋_GB2312" w:eastAsia="仿宋_GB2312" w:cs="方正仿宋_GBK"/>
          <w:sz w:val="32"/>
          <w:szCs w:val="32"/>
          <w:lang w:eastAsia="zh-Hans"/>
        </w:rPr>
        <w:t>总体</w:t>
      </w:r>
      <w:r>
        <w:rPr>
          <w:rFonts w:hint="eastAsia" w:ascii="仿宋_GB2312" w:eastAsia="仿宋_GB2312" w:cs="方正仿宋_GBK"/>
          <w:sz w:val="32"/>
          <w:szCs w:val="32"/>
        </w:rPr>
        <w:t>偏差率为-9.26%,</w:t>
      </w:r>
      <w:r>
        <w:rPr>
          <w:rFonts w:hint="eastAsia" w:ascii="仿宋_GB2312" w:eastAsia="仿宋_GB2312" w:cs="方正仿宋_GBK"/>
          <w:sz w:val="32"/>
          <w:szCs w:val="32"/>
          <w:lang w:eastAsia="zh-Hans"/>
        </w:rPr>
        <w:t>偏差</w:t>
      </w:r>
      <w:r>
        <w:rPr>
          <w:rFonts w:hint="eastAsia" w:ascii="仿宋_GB2312" w:eastAsia="仿宋_GB2312" w:cs="方正仿宋_GBK"/>
          <w:sz w:val="32"/>
          <w:szCs w:val="32"/>
        </w:rPr>
        <w:t>原因产出数量指标实际完成</w:t>
      </w:r>
      <w:r>
        <w:rPr>
          <w:rFonts w:hint="eastAsia" w:ascii="仿宋_GB2312" w:hAnsi="微软雅黑" w:eastAsia="仿宋_GB2312" w:cs="微软雅黑"/>
          <w:sz w:val="32"/>
          <w:szCs w:val="32"/>
        </w:rPr>
        <w:t>值超出目标值</w:t>
      </w:r>
      <w:r>
        <w:rPr>
          <w:rFonts w:hint="eastAsia" w:ascii="仿宋_GB2312" w:eastAsia="仿宋_GB2312" w:cs="方正仿宋_GBK"/>
          <w:sz w:val="32"/>
          <w:szCs w:val="32"/>
        </w:rPr>
        <w:t>，</w:t>
      </w:r>
      <w:r>
        <w:rPr>
          <w:rFonts w:hint="eastAsia" w:ascii="仿宋_GB2312" w:eastAsia="仿宋_GB2312" w:cs="方正仿宋_GBK"/>
          <w:sz w:val="32"/>
          <w:szCs w:val="32"/>
          <w:lang w:eastAsia="zh-Hans"/>
        </w:rPr>
        <w:t>改进</w:t>
      </w:r>
      <w:r>
        <w:rPr>
          <w:rFonts w:hint="eastAsia" w:ascii="仿宋_GB2312" w:eastAsia="仿宋_GB2312" w:cs="方正仿宋_GBK"/>
          <w:sz w:val="32"/>
          <w:szCs w:val="32"/>
        </w:rPr>
        <w:t>措施业务工作按照项目绩效目标值计划数量完成。</w:t>
      </w:r>
    </w:p>
    <w:p w14:paraId="308BEB51">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24212068">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36AF07A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一是领导高度重视，成立绩效自评工作领导小组，主要领导负总责，分管领导具体负责，安排专人具体办理，形成一级抓一级，层层抓落实；二是严格执行相关财经法律法规，项目经费专款专用，抓好项目实施和绩效评价；三是科学制定方案。为使绩效评价工作平稳有序进行，在正式评价开展前拟定了详细的工作方案，方案内容包括评价内容、评价方法、评价依据、时间安排、工作步骤、工作要求等方面；四是业务人员工作积极、认真负责，抓好项目实施的绩效评价。</w:t>
      </w:r>
    </w:p>
    <w:p w14:paraId="69AA0ECD">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69E30FD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存在的问题及原因分析：</w:t>
      </w:r>
      <w:r>
        <w:rPr>
          <w:rFonts w:hint="eastAsia" w:ascii="仿宋_GB2312" w:eastAsia="仿宋_GB2312"/>
          <w:sz w:val="32"/>
          <w:szCs w:val="32"/>
        </w:rPr>
        <w:t>根据本次绩效评价情况，发现预算绩效申报存在绩效目标设置不科学、不合理的问题。原因为编制的项目自评指标体系不够精细，绩效目标不具体，绩效目标未完全细化，分解工作任务不够具体，部分绩效指标不清晰，在经费支出过程中经济功能精确度有待提高。</w:t>
      </w:r>
    </w:p>
    <w:p w14:paraId="49562CF2">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3DDF9FAF">
      <w:pPr>
        <w:pStyle w:val="2"/>
        <w:widowControl w:val="0"/>
        <w:snapToGrid w:val="0"/>
        <w:spacing w:before="0" w:after="0" w:line="580" w:lineRule="exact"/>
        <w:ind w:firstLine="640" w:firstLineChars="200"/>
        <w:jc w:val="both"/>
        <w:rPr>
          <w:rFonts w:ascii="仿宋_GB2312" w:hAnsi="Times New Roman" w:eastAsia="仿宋_GB2312"/>
          <w:b w:val="0"/>
          <w:kern w:val="2"/>
        </w:rPr>
      </w:pPr>
      <w:r>
        <w:rPr>
          <w:rFonts w:hint="eastAsia" w:ascii="仿宋_GB2312" w:hAnsi="Times New Roman" w:eastAsia="仿宋_GB2312"/>
          <w:b w:val="0"/>
          <w:kern w:val="2"/>
        </w:rPr>
        <w:t>（一）在今后的预算绩效申报时，相关业务科室将全年工作任务细化分解为具体的工作目标，并尽量采取定量的方式制定清晰、可衡量的绩效指标，提高项目使用经济功能精确度。</w:t>
      </w:r>
    </w:p>
    <w:p w14:paraId="31F3A021">
      <w:pPr>
        <w:pStyle w:val="2"/>
        <w:widowControl w:val="0"/>
        <w:snapToGrid w:val="0"/>
        <w:spacing w:before="0" w:after="0" w:line="580" w:lineRule="exact"/>
        <w:ind w:firstLine="640" w:firstLineChars="200"/>
        <w:jc w:val="both"/>
        <w:rPr>
          <w:rFonts w:eastAsia="黑体"/>
        </w:rPr>
      </w:pPr>
      <w:r>
        <w:rPr>
          <w:rFonts w:hint="eastAsia" w:ascii="仿宋_GB2312" w:hAnsi="Times New Roman" w:eastAsia="仿宋_GB2312"/>
          <w:b w:val="0"/>
          <w:bCs w:val="0"/>
          <w:kern w:val="2"/>
        </w:rPr>
        <w:t>（二）进一步加强对绩效管理工作的组织领导，提高对预算绩效管理工作重要性的认识，总结经验查找问题，抓紧研究制定更全面更完善的绩效评价管理办法。结合各项工作考核建立绩效工作考核制度，加大全局对全面实施预算绩效管理和绩效管理工作的学习力度，让“花钱必问效，无效必问责”的理念深入工作每个环节。</w:t>
      </w:r>
    </w:p>
    <w:p w14:paraId="48C43086">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14:paraId="2463C30A">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无。</w:t>
      </w:r>
    </w:p>
    <w:p w14:paraId="73A905C0">
      <w:pPr>
        <w:pStyle w:val="2"/>
        <w:jc w:val="both"/>
        <w:rPr>
          <w:rFonts w:ascii="Times New Roman" w:hAnsi="Times New Roman"/>
        </w:rPr>
        <w:sectPr>
          <w:pgSz w:w="11906" w:h="16838"/>
          <w:pgMar w:top="1440" w:right="1558" w:bottom="1440" w:left="1800" w:header="851" w:footer="992" w:gutter="0"/>
          <w:cols w:space="425" w:num="1"/>
          <w:docGrid w:type="lines" w:linePitch="312" w:charSpace="0"/>
        </w:sectPr>
      </w:pPr>
      <w:bookmarkStart w:id="9" w:name="_GoBack"/>
      <w:bookmarkEnd w:id="9"/>
    </w:p>
    <w:p w14:paraId="4F0A51E1">
      <w:pPr>
        <w:spacing w:line="600" w:lineRule="exact"/>
        <w:rPr>
          <w:rFonts w:ascii="黑体" w:hAnsi="黑体" w:eastAsia="黑体" w:cs="黑体"/>
        </w:rPr>
      </w:pPr>
      <w:r>
        <w:rPr>
          <w:rFonts w:hint="eastAsia" w:ascii="黑体" w:hAnsi="黑体" w:eastAsia="黑体" w:cs="黑体"/>
          <w:bCs/>
          <w:sz w:val="32"/>
          <w:szCs w:val="32"/>
        </w:rPr>
        <w:t>附件1</w:t>
      </w:r>
    </w:p>
    <w:p w14:paraId="4E1D6F66">
      <w:pPr>
        <w:pStyle w:val="18"/>
        <w:ind w:firstLine="562"/>
        <w:jc w:val="center"/>
        <w:rPr>
          <w:b/>
          <w:bCs/>
          <w:sz w:val="28"/>
          <w:szCs w:val="40"/>
        </w:rPr>
      </w:pPr>
      <w:bookmarkStart w:id="7" w:name="_Toc30064_WPSOffice_Level1"/>
      <w:bookmarkStart w:id="8" w:name="_Toc26499_WPSOffice_Level2"/>
      <w:r>
        <w:rPr>
          <w:rFonts w:hint="eastAsia"/>
          <w:b/>
          <w:bCs/>
          <w:sz w:val="28"/>
          <w:szCs w:val="40"/>
        </w:rPr>
        <w:t>卫星应用事业发展经费项目绩效评价指标体系及综合评分表</w:t>
      </w:r>
      <w:bookmarkEnd w:id="7"/>
      <w:bookmarkEnd w:id="8"/>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2"/>
        <w:gridCol w:w="766"/>
        <w:gridCol w:w="873"/>
        <w:gridCol w:w="2846"/>
        <w:gridCol w:w="5953"/>
        <w:gridCol w:w="667"/>
        <w:gridCol w:w="746"/>
      </w:tblGrid>
      <w:tr w14:paraId="48751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8" w:type="pct"/>
            <w:shd w:val="clear" w:color="auto" w:fill="FFFFFF"/>
            <w:vAlign w:val="center"/>
          </w:tcPr>
          <w:p w14:paraId="1E5D978D">
            <w:pPr>
              <w:widowControl/>
              <w:snapToGrid w:val="0"/>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6F715423">
            <w:pPr>
              <w:widowControl/>
              <w:snapToGrid w:val="0"/>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398747E0">
            <w:pPr>
              <w:widowControl/>
              <w:snapToGrid w:val="0"/>
              <w:jc w:val="center"/>
              <w:rPr>
                <w:b/>
                <w:bCs/>
                <w:color w:val="000000"/>
                <w:kern w:val="0"/>
                <w:sz w:val="22"/>
                <w:szCs w:val="22"/>
              </w:rPr>
            </w:pPr>
            <w:r>
              <w:rPr>
                <w:b/>
                <w:bCs/>
                <w:color w:val="000000"/>
                <w:kern w:val="0"/>
                <w:sz w:val="22"/>
                <w:szCs w:val="22"/>
              </w:rPr>
              <w:t>三级指标</w:t>
            </w:r>
          </w:p>
        </w:tc>
        <w:tc>
          <w:tcPr>
            <w:tcW w:w="1122" w:type="pct"/>
            <w:shd w:val="clear" w:color="auto" w:fill="FFFFFF"/>
            <w:vAlign w:val="center"/>
          </w:tcPr>
          <w:p w14:paraId="520BABA1">
            <w:pPr>
              <w:widowControl/>
              <w:snapToGrid w:val="0"/>
              <w:jc w:val="center"/>
              <w:rPr>
                <w:b/>
                <w:bCs/>
                <w:color w:val="000000"/>
                <w:kern w:val="0"/>
                <w:sz w:val="22"/>
                <w:szCs w:val="22"/>
              </w:rPr>
            </w:pPr>
            <w:r>
              <w:rPr>
                <w:b/>
                <w:bCs/>
                <w:color w:val="000000"/>
                <w:kern w:val="0"/>
                <w:sz w:val="22"/>
                <w:szCs w:val="22"/>
              </w:rPr>
              <w:t>指标解释</w:t>
            </w:r>
          </w:p>
        </w:tc>
        <w:tc>
          <w:tcPr>
            <w:tcW w:w="2347" w:type="pct"/>
            <w:shd w:val="clear" w:color="auto" w:fill="FFFFFF"/>
            <w:vAlign w:val="center"/>
          </w:tcPr>
          <w:p w14:paraId="7737B1E0">
            <w:pPr>
              <w:widowControl/>
              <w:snapToGrid w:val="0"/>
              <w:jc w:val="center"/>
              <w:rPr>
                <w:b/>
                <w:bCs/>
                <w:color w:val="000000"/>
                <w:kern w:val="0"/>
                <w:sz w:val="22"/>
                <w:szCs w:val="22"/>
              </w:rPr>
            </w:pPr>
            <w:r>
              <w:rPr>
                <w:b/>
                <w:bCs/>
                <w:color w:val="000000"/>
                <w:kern w:val="0"/>
                <w:sz w:val="22"/>
                <w:szCs w:val="22"/>
              </w:rPr>
              <w:t>指标说明</w:t>
            </w:r>
          </w:p>
        </w:tc>
        <w:tc>
          <w:tcPr>
            <w:tcW w:w="263" w:type="pct"/>
            <w:shd w:val="clear" w:color="auto" w:fill="FFFFFF"/>
            <w:vAlign w:val="center"/>
          </w:tcPr>
          <w:p w14:paraId="1DF60ECC">
            <w:pPr>
              <w:widowControl/>
              <w:snapToGrid w:val="0"/>
              <w:jc w:val="center"/>
              <w:rPr>
                <w:b/>
                <w:bCs/>
                <w:color w:val="000000"/>
                <w:kern w:val="0"/>
                <w:sz w:val="22"/>
                <w:szCs w:val="22"/>
              </w:rPr>
            </w:pPr>
            <w:r>
              <w:rPr>
                <w:b/>
                <w:bCs/>
                <w:color w:val="000000"/>
                <w:kern w:val="0"/>
                <w:sz w:val="22"/>
                <w:szCs w:val="22"/>
              </w:rPr>
              <w:t>权重</w:t>
            </w:r>
          </w:p>
        </w:tc>
        <w:tc>
          <w:tcPr>
            <w:tcW w:w="294" w:type="pct"/>
            <w:shd w:val="clear" w:color="auto" w:fill="FFFFFF"/>
            <w:vAlign w:val="center"/>
          </w:tcPr>
          <w:p w14:paraId="5A57BE09">
            <w:pPr>
              <w:widowControl/>
              <w:snapToGrid w:val="0"/>
              <w:jc w:val="center"/>
              <w:rPr>
                <w:b/>
                <w:bCs/>
                <w:color w:val="000000"/>
                <w:kern w:val="0"/>
                <w:sz w:val="22"/>
                <w:szCs w:val="22"/>
              </w:rPr>
            </w:pPr>
            <w:r>
              <w:rPr>
                <w:b/>
                <w:bCs/>
                <w:color w:val="000000"/>
                <w:kern w:val="0"/>
                <w:sz w:val="22"/>
                <w:szCs w:val="22"/>
              </w:rPr>
              <w:t>得分</w:t>
            </w:r>
          </w:p>
        </w:tc>
      </w:tr>
      <w:tr w14:paraId="2DAB6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0" w:hRule="atLeast"/>
          <w:jc w:val="center"/>
        </w:trPr>
        <w:tc>
          <w:tcPr>
            <w:tcW w:w="328" w:type="pct"/>
            <w:vMerge w:val="restart"/>
            <w:shd w:val="clear" w:color="auto" w:fill="FFFFFF"/>
            <w:vAlign w:val="center"/>
          </w:tcPr>
          <w:p w14:paraId="15E875A3">
            <w:pPr>
              <w:widowControl/>
              <w:snapToGrid w:val="0"/>
              <w:jc w:val="center"/>
              <w:rPr>
                <w:color w:val="000000"/>
                <w:kern w:val="0"/>
                <w:sz w:val="22"/>
                <w:szCs w:val="22"/>
              </w:rPr>
            </w:pPr>
          </w:p>
          <w:p w14:paraId="6BD4D658">
            <w:pPr>
              <w:widowControl/>
              <w:snapToGrid w:val="0"/>
              <w:jc w:val="center"/>
              <w:rPr>
                <w:color w:val="000000"/>
                <w:kern w:val="0"/>
                <w:sz w:val="22"/>
                <w:szCs w:val="22"/>
              </w:rPr>
            </w:pPr>
          </w:p>
          <w:p w14:paraId="16225F47">
            <w:pPr>
              <w:widowControl/>
              <w:snapToGrid w:val="0"/>
              <w:jc w:val="center"/>
              <w:rPr>
                <w:color w:val="000000"/>
                <w:kern w:val="0"/>
                <w:sz w:val="22"/>
                <w:szCs w:val="22"/>
              </w:rPr>
            </w:pPr>
          </w:p>
          <w:p w14:paraId="4F9845F0">
            <w:pPr>
              <w:widowControl/>
              <w:snapToGrid w:val="0"/>
              <w:jc w:val="center"/>
              <w:rPr>
                <w:color w:val="000000"/>
                <w:kern w:val="0"/>
                <w:sz w:val="22"/>
                <w:szCs w:val="22"/>
              </w:rPr>
            </w:pPr>
          </w:p>
          <w:p w14:paraId="60E2AEE6">
            <w:pPr>
              <w:widowControl/>
              <w:snapToGrid w:val="0"/>
              <w:jc w:val="center"/>
              <w:rPr>
                <w:color w:val="000000"/>
                <w:kern w:val="0"/>
                <w:sz w:val="22"/>
                <w:szCs w:val="22"/>
              </w:rPr>
            </w:pPr>
          </w:p>
          <w:p w14:paraId="12F4FC11">
            <w:pPr>
              <w:widowControl/>
              <w:snapToGrid w:val="0"/>
              <w:jc w:val="center"/>
              <w:rPr>
                <w:color w:val="000000"/>
                <w:kern w:val="0"/>
                <w:sz w:val="22"/>
                <w:szCs w:val="22"/>
              </w:rPr>
            </w:pPr>
          </w:p>
          <w:p w14:paraId="0BDB5797">
            <w:pPr>
              <w:widowControl/>
              <w:snapToGrid w:val="0"/>
              <w:jc w:val="center"/>
              <w:rPr>
                <w:color w:val="000000"/>
                <w:kern w:val="0"/>
                <w:sz w:val="22"/>
                <w:szCs w:val="22"/>
              </w:rPr>
            </w:pPr>
            <w:r>
              <w:rPr>
                <w:color w:val="000000"/>
                <w:kern w:val="0"/>
                <w:sz w:val="22"/>
                <w:szCs w:val="22"/>
              </w:rPr>
              <w:t>决策　</w:t>
            </w:r>
          </w:p>
        </w:tc>
        <w:tc>
          <w:tcPr>
            <w:tcW w:w="302" w:type="pct"/>
            <w:vMerge w:val="restart"/>
            <w:shd w:val="clear" w:color="auto" w:fill="FFFFFF"/>
            <w:vAlign w:val="center"/>
          </w:tcPr>
          <w:p w14:paraId="1CFED7DB">
            <w:pPr>
              <w:widowControl/>
              <w:snapToGrid w:val="0"/>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62B77DEE">
            <w:pPr>
              <w:widowControl/>
              <w:snapToGrid w:val="0"/>
              <w:jc w:val="center"/>
              <w:rPr>
                <w:color w:val="000000"/>
                <w:kern w:val="0"/>
                <w:sz w:val="22"/>
                <w:szCs w:val="22"/>
              </w:rPr>
            </w:pPr>
            <w:r>
              <w:rPr>
                <w:color w:val="000000"/>
                <w:kern w:val="0"/>
                <w:sz w:val="22"/>
                <w:szCs w:val="22"/>
              </w:rPr>
              <w:t>立项依据</w:t>
            </w:r>
          </w:p>
          <w:p w14:paraId="5B592FDA">
            <w:pPr>
              <w:widowControl/>
              <w:snapToGrid w:val="0"/>
              <w:jc w:val="center"/>
              <w:rPr>
                <w:color w:val="000000"/>
                <w:kern w:val="0"/>
                <w:sz w:val="22"/>
                <w:szCs w:val="22"/>
              </w:rPr>
            </w:pPr>
            <w:r>
              <w:rPr>
                <w:color w:val="000000"/>
                <w:kern w:val="0"/>
                <w:sz w:val="22"/>
                <w:szCs w:val="22"/>
              </w:rPr>
              <w:t>充分性</w:t>
            </w:r>
          </w:p>
        </w:tc>
        <w:tc>
          <w:tcPr>
            <w:tcW w:w="1122" w:type="pct"/>
            <w:shd w:val="clear" w:color="auto" w:fill="FFFFFF"/>
            <w:vAlign w:val="center"/>
          </w:tcPr>
          <w:p w14:paraId="34EAF283">
            <w:pPr>
              <w:widowControl/>
              <w:snapToGrid w:val="0"/>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347" w:type="pct"/>
            <w:shd w:val="clear" w:color="auto" w:fill="FFFFFF"/>
            <w:vAlign w:val="center"/>
          </w:tcPr>
          <w:p w14:paraId="4951DFF0">
            <w:pPr>
              <w:widowControl/>
              <w:snapToGrid w:val="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263" w:type="pct"/>
            <w:shd w:val="clear" w:color="auto" w:fill="FFFFFF"/>
            <w:vAlign w:val="center"/>
          </w:tcPr>
          <w:p w14:paraId="411B8339">
            <w:pPr>
              <w:widowControl/>
              <w:snapToGrid w:val="0"/>
              <w:jc w:val="center"/>
              <w:rPr>
                <w:b/>
                <w:bCs/>
                <w:color w:val="000000"/>
                <w:kern w:val="0"/>
                <w:sz w:val="22"/>
                <w:szCs w:val="22"/>
              </w:rPr>
            </w:pPr>
            <w:r>
              <w:rPr>
                <w:b/>
                <w:bCs/>
                <w:color w:val="000000"/>
                <w:kern w:val="0"/>
                <w:sz w:val="22"/>
                <w:szCs w:val="22"/>
              </w:rPr>
              <w:t>3</w:t>
            </w:r>
          </w:p>
        </w:tc>
        <w:tc>
          <w:tcPr>
            <w:tcW w:w="294" w:type="pct"/>
            <w:shd w:val="clear" w:color="auto" w:fill="FFFFFF"/>
            <w:vAlign w:val="center"/>
          </w:tcPr>
          <w:p w14:paraId="25BDF59C">
            <w:pPr>
              <w:widowControl/>
              <w:snapToGrid w:val="0"/>
              <w:jc w:val="center"/>
              <w:rPr>
                <w:b/>
                <w:bCs/>
                <w:color w:val="000000"/>
                <w:kern w:val="0"/>
                <w:sz w:val="22"/>
                <w:szCs w:val="22"/>
              </w:rPr>
            </w:pPr>
            <w:r>
              <w:rPr>
                <w:rFonts w:hint="eastAsia"/>
                <w:b/>
                <w:bCs/>
                <w:color w:val="000000"/>
                <w:kern w:val="0"/>
                <w:sz w:val="22"/>
                <w:szCs w:val="22"/>
              </w:rPr>
              <w:t>3</w:t>
            </w:r>
          </w:p>
        </w:tc>
      </w:tr>
      <w:tr w14:paraId="6CA53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0" w:hRule="atLeast"/>
          <w:jc w:val="center"/>
        </w:trPr>
        <w:tc>
          <w:tcPr>
            <w:tcW w:w="328" w:type="pct"/>
            <w:vMerge w:val="continue"/>
            <w:shd w:val="clear" w:color="auto" w:fill="FFFFFF"/>
            <w:vAlign w:val="center"/>
          </w:tcPr>
          <w:p w14:paraId="32E889B3">
            <w:pPr>
              <w:snapToGrid w:val="0"/>
              <w:jc w:val="center"/>
              <w:rPr>
                <w:color w:val="000000"/>
                <w:kern w:val="0"/>
                <w:sz w:val="22"/>
                <w:szCs w:val="22"/>
              </w:rPr>
            </w:pPr>
          </w:p>
        </w:tc>
        <w:tc>
          <w:tcPr>
            <w:tcW w:w="302" w:type="pct"/>
            <w:vMerge w:val="continue"/>
            <w:shd w:val="clear" w:color="auto" w:fill="FFFFFF"/>
            <w:vAlign w:val="center"/>
          </w:tcPr>
          <w:p w14:paraId="6FA028F5">
            <w:pPr>
              <w:widowControl/>
              <w:snapToGrid w:val="0"/>
              <w:jc w:val="center"/>
              <w:rPr>
                <w:color w:val="000000"/>
                <w:kern w:val="0"/>
                <w:sz w:val="22"/>
                <w:szCs w:val="22"/>
              </w:rPr>
            </w:pPr>
          </w:p>
        </w:tc>
        <w:tc>
          <w:tcPr>
            <w:tcW w:w="344" w:type="pct"/>
            <w:shd w:val="clear" w:color="auto" w:fill="FFFFFF"/>
            <w:vAlign w:val="center"/>
          </w:tcPr>
          <w:p w14:paraId="467A47BE">
            <w:pPr>
              <w:widowControl/>
              <w:snapToGrid w:val="0"/>
              <w:jc w:val="center"/>
              <w:rPr>
                <w:color w:val="000000"/>
                <w:kern w:val="0"/>
                <w:sz w:val="22"/>
                <w:szCs w:val="22"/>
              </w:rPr>
            </w:pPr>
            <w:r>
              <w:rPr>
                <w:color w:val="000000"/>
                <w:kern w:val="0"/>
                <w:sz w:val="22"/>
                <w:szCs w:val="22"/>
              </w:rPr>
              <w:t>立项程序</w:t>
            </w:r>
          </w:p>
          <w:p w14:paraId="6369E5D3">
            <w:pPr>
              <w:widowControl/>
              <w:snapToGrid w:val="0"/>
              <w:jc w:val="center"/>
              <w:rPr>
                <w:color w:val="000000"/>
                <w:kern w:val="0"/>
                <w:sz w:val="22"/>
                <w:szCs w:val="22"/>
              </w:rPr>
            </w:pPr>
            <w:r>
              <w:rPr>
                <w:color w:val="000000"/>
                <w:kern w:val="0"/>
                <w:sz w:val="22"/>
                <w:szCs w:val="22"/>
              </w:rPr>
              <w:t>规范性</w:t>
            </w:r>
          </w:p>
        </w:tc>
        <w:tc>
          <w:tcPr>
            <w:tcW w:w="1122" w:type="pct"/>
            <w:shd w:val="clear" w:color="auto" w:fill="FFFFFF"/>
            <w:vAlign w:val="center"/>
          </w:tcPr>
          <w:p w14:paraId="21B372FB">
            <w:pPr>
              <w:widowControl/>
              <w:snapToGrid w:val="0"/>
              <w:rPr>
                <w:color w:val="000000"/>
                <w:kern w:val="0"/>
                <w:sz w:val="22"/>
                <w:szCs w:val="22"/>
              </w:rPr>
            </w:pPr>
            <w:r>
              <w:rPr>
                <w:color w:val="000000"/>
                <w:kern w:val="0"/>
                <w:sz w:val="22"/>
                <w:szCs w:val="22"/>
              </w:rPr>
              <w:t>项目申请、设立过程是否符合相关要求，用以反映和考核项目立项的规范情况。</w:t>
            </w:r>
          </w:p>
        </w:tc>
        <w:tc>
          <w:tcPr>
            <w:tcW w:w="2347" w:type="pct"/>
            <w:shd w:val="clear" w:color="auto" w:fill="FFFFFF"/>
            <w:vAlign w:val="center"/>
          </w:tcPr>
          <w:p w14:paraId="4D4C92CA">
            <w:pPr>
              <w:widowControl/>
              <w:snapToGrid w:val="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263" w:type="pct"/>
            <w:shd w:val="clear" w:color="auto" w:fill="FFFFFF"/>
            <w:vAlign w:val="center"/>
          </w:tcPr>
          <w:p w14:paraId="11F124FA">
            <w:pPr>
              <w:widowControl/>
              <w:snapToGrid w:val="0"/>
              <w:jc w:val="center"/>
              <w:rPr>
                <w:b/>
                <w:bCs/>
                <w:color w:val="000000"/>
                <w:kern w:val="0"/>
                <w:sz w:val="22"/>
                <w:szCs w:val="22"/>
              </w:rPr>
            </w:pPr>
            <w:r>
              <w:rPr>
                <w:b/>
                <w:bCs/>
                <w:color w:val="000000"/>
                <w:kern w:val="0"/>
                <w:sz w:val="22"/>
                <w:szCs w:val="22"/>
              </w:rPr>
              <w:t>3</w:t>
            </w:r>
          </w:p>
        </w:tc>
        <w:tc>
          <w:tcPr>
            <w:tcW w:w="294" w:type="pct"/>
            <w:shd w:val="clear" w:color="auto" w:fill="FFFFFF"/>
            <w:vAlign w:val="center"/>
          </w:tcPr>
          <w:p w14:paraId="71EBB2D6">
            <w:pPr>
              <w:widowControl/>
              <w:snapToGrid w:val="0"/>
              <w:jc w:val="center"/>
              <w:rPr>
                <w:b/>
                <w:bCs/>
                <w:color w:val="000000"/>
                <w:kern w:val="0"/>
                <w:sz w:val="22"/>
                <w:szCs w:val="22"/>
              </w:rPr>
            </w:pPr>
            <w:r>
              <w:rPr>
                <w:rFonts w:hint="eastAsia"/>
                <w:b/>
                <w:bCs/>
                <w:color w:val="000000"/>
                <w:kern w:val="0"/>
                <w:sz w:val="22"/>
                <w:szCs w:val="22"/>
              </w:rPr>
              <w:t>3</w:t>
            </w:r>
          </w:p>
        </w:tc>
      </w:tr>
      <w:tr w14:paraId="2FE5B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623D7363">
            <w:pPr>
              <w:snapToGrid w:val="0"/>
              <w:jc w:val="center"/>
              <w:rPr>
                <w:color w:val="000000"/>
                <w:kern w:val="0"/>
                <w:sz w:val="22"/>
                <w:szCs w:val="22"/>
              </w:rPr>
            </w:pPr>
          </w:p>
        </w:tc>
        <w:tc>
          <w:tcPr>
            <w:tcW w:w="302" w:type="pct"/>
            <w:vMerge w:val="restart"/>
            <w:shd w:val="clear" w:color="auto" w:fill="FFFFFF"/>
            <w:vAlign w:val="center"/>
          </w:tcPr>
          <w:p w14:paraId="52582D9A">
            <w:pPr>
              <w:widowControl/>
              <w:snapToGrid w:val="0"/>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31860B03">
            <w:pPr>
              <w:widowControl/>
              <w:snapToGrid w:val="0"/>
              <w:jc w:val="center"/>
              <w:rPr>
                <w:color w:val="000000"/>
                <w:kern w:val="0"/>
                <w:sz w:val="22"/>
                <w:szCs w:val="22"/>
              </w:rPr>
            </w:pPr>
            <w:r>
              <w:rPr>
                <w:color w:val="000000"/>
                <w:kern w:val="0"/>
                <w:sz w:val="22"/>
                <w:szCs w:val="22"/>
              </w:rPr>
              <w:t>绩效目标</w:t>
            </w:r>
          </w:p>
          <w:p w14:paraId="2D61FCE5">
            <w:pPr>
              <w:widowControl/>
              <w:snapToGrid w:val="0"/>
              <w:jc w:val="center"/>
              <w:rPr>
                <w:color w:val="000000"/>
                <w:kern w:val="0"/>
                <w:sz w:val="22"/>
                <w:szCs w:val="22"/>
              </w:rPr>
            </w:pPr>
            <w:r>
              <w:rPr>
                <w:color w:val="000000"/>
                <w:kern w:val="0"/>
                <w:sz w:val="22"/>
                <w:szCs w:val="22"/>
              </w:rPr>
              <w:t>合理性</w:t>
            </w:r>
          </w:p>
        </w:tc>
        <w:tc>
          <w:tcPr>
            <w:tcW w:w="1122" w:type="pct"/>
            <w:shd w:val="clear" w:color="000000" w:fill="FFFFFF"/>
            <w:vAlign w:val="center"/>
          </w:tcPr>
          <w:p w14:paraId="43CCAA1C">
            <w:pPr>
              <w:widowControl/>
              <w:snapToGrid w:val="0"/>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347" w:type="pct"/>
            <w:shd w:val="clear" w:color="000000" w:fill="FFFFFF"/>
            <w:vAlign w:val="center"/>
          </w:tcPr>
          <w:p w14:paraId="02E710EE">
            <w:pPr>
              <w:widowControl/>
              <w:snapToGrid w:val="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43A1F120">
            <w:pPr>
              <w:widowControl/>
              <w:snapToGrid w:val="0"/>
              <w:jc w:val="left"/>
              <w:rPr>
                <w:color w:val="000000"/>
                <w:kern w:val="0"/>
                <w:sz w:val="22"/>
                <w:szCs w:val="22"/>
              </w:rPr>
            </w:pPr>
            <w:r>
              <w:rPr>
                <w:color w:val="000000"/>
                <w:kern w:val="0"/>
                <w:sz w:val="22"/>
                <w:szCs w:val="22"/>
              </w:rPr>
              <w:t>④是否与预算确定的项目投资额或资金量相匹配。</w:t>
            </w:r>
          </w:p>
        </w:tc>
        <w:tc>
          <w:tcPr>
            <w:tcW w:w="263" w:type="pct"/>
            <w:shd w:val="clear" w:color="000000" w:fill="FFFFFF"/>
            <w:vAlign w:val="center"/>
          </w:tcPr>
          <w:p w14:paraId="79BDDD93">
            <w:pPr>
              <w:widowControl/>
              <w:snapToGrid w:val="0"/>
              <w:jc w:val="center"/>
              <w:rPr>
                <w:b/>
                <w:bCs/>
                <w:color w:val="000000"/>
                <w:kern w:val="0"/>
                <w:sz w:val="22"/>
                <w:szCs w:val="22"/>
              </w:rPr>
            </w:pPr>
            <w:r>
              <w:rPr>
                <w:b/>
                <w:bCs/>
                <w:color w:val="000000"/>
                <w:kern w:val="0"/>
                <w:sz w:val="22"/>
                <w:szCs w:val="22"/>
              </w:rPr>
              <w:t>3</w:t>
            </w:r>
          </w:p>
        </w:tc>
        <w:tc>
          <w:tcPr>
            <w:tcW w:w="294" w:type="pct"/>
            <w:shd w:val="clear" w:color="000000" w:fill="FFFFFF"/>
            <w:vAlign w:val="center"/>
          </w:tcPr>
          <w:p w14:paraId="712A372E">
            <w:pPr>
              <w:widowControl/>
              <w:snapToGrid w:val="0"/>
              <w:jc w:val="center"/>
              <w:rPr>
                <w:b/>
                <w:bCs/>
                <w:color w:val="000000"/>
                <w:kern w:val="0"/>
                <w:sz w:val="22"/>
                <w:szCs w:val="22"/>
              </w:rPr>
            </w:pPr>
            <w:r>
              <w:rPr>
                <w:rFonts w:hint="eastAsia"/>
                <w:b/>
                <w:bCs/>
                <w:color w:val="000000"/>
                <w:kern w:val="0"/>
                <w:sz w:val="22"/>
                <w:szCs w:val="22"/>
              </w:rPr>
              <w:t>2</w:t>
            </w:r>
          </w:p>
        </w:tc>
      </w:tr>
      <w:tr w14:paraId="28CE49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328" w:type="pct"/>
            <w:vMerge w:val="continue"/>
            <w:shd w:val="clear" w:color="auto" w:fill="FFFFFF"/>
            <w:vAlign w:val="center"/>
          </w:tcPr>
          <w:p w14:paraId="1FFCF608">
            <w:pPr>
              <w:widowControl/>
              <w:snapToGrid w:val="0"/>
              <w:jc w:val="center"/>
              <w:rPr>
                <w:color w:val="000000"/>
                <w:kern w:val="0"/>
                <w:sz w:val="22"/>
                <w:szCs w:val="22"/>
              </w:rPr>
            </w:pPr>
          </w:p>
        </w:tc>
        <w:tc>
          <w:tcPr>
            <w:tcW w:w="302" w:type="pct"/>
            <w:vMerge w:val="continue"/>
            <w:shd w:val="clear" w:color="auto" w:fill="FFFFFF"/>
            <w:vAlign w:val="center"/>
          </w:tcPr>
          <w:p w14:paraId="7BB3F1C9">
            <w:pPr>
              <w:widowControl/>
              <w:snapToGrid w:val="0"/>
              <w:jc w:val="center"/>
              <w:rPr>
                <w:color w:val="000000"/>
                <w:kern w:val="0"/>
                <w:sz w:val="22"/>
                <w:szCs w:val="22"/>
              </w:rPr>
            </w:pPr>
          </w:p>
        </w:tc>
        <w:tc>
          <w:tcPr>
            <w:tcW w:w="344" w:type="pct"/>
            <w:shd w:val="clear" w:color="auto" w:fill="FFFFFF"/>
            <w:vAlign w:val="center"/>
          </w:tcPr>
          <w:p w14:paraId="6CAD0B93">
            <w:pPr>
              <w:widowControl/>
              <w:snapToGrid w:val="0"/>
              <w:jc w:val="center"/>
              <w:rPr>
                <w:color w:val="000000"/>
                <w:kern w:val="0"/>
                <w:sz w:val="22"/>
                <w:szCs w:val="22"/>
              </w:rPr>
            </w:pPr>
            <w:r>
              <w:rPr>
                <w:color w:val="000000"/>
                <w:kern w:val="0"/>
                <w:sz w:val="22"/>
                <w:szCs w:val="22"/>
              </w:rPr>
              <w:t>绩效指标</w:t>
            </w:r>
          </w:p>
          <w:p w14:paraId="615D8FCB">
            <w:pPr>
              <w:widowControl/>
              <w:snapToGrid w:val="0"/>
              <w:jc w:val="center"/>
              <w:rPr>
                <w:color w:val="000000"/>
                <w:kern w:val="0"/>
                <w:sz w:val="22"/>
                <w:szCs w:val="22"/>
              </w:rPr>
            </w:pPr>
            <w:r>
              <w:rPr>
                <w:color w:val="000000"/>
                <w:kern w:val="0"/>
                <w:sz w:val="22"/>
                <w:szCs w:val="22"/>
              </w:rPr>
              <w:t>明确性</w:t>
            </w:r>
          </w:p>
        </w:tc>
        <w:tc>
          <w:tcPr>
            <w:tcW w:w="1122" w:type="pct"/>
            <w:shd w:val="clear" w:color="000000" w:fill="FFFFFF"/>
            <w:vAlign w:val="center"/>
          </w:tcPr>
          <w:p w14:paraId="00B0BB20">
            <w:pPr>
              <w:widowControl/>
              <w:snapToGrid w:val="0"/>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347" w:type="pct"/>
            <w:shd w:val="clear" w:color="000000" w:fill="FFFFFF"/>
            <w:vAlign w:val="center"/>
          </w:tcPr>
          <w:p w14:paraId="22F67A65">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263" w:type="pct"/>
            <w:shd w:val="clear" w:color="000000" w:fill="FFFFFF"/>
            <w:vAlign w:val="center"/>
          </w:tcPr>
          <w:p w14:paraId="0A9DB13C">
            <w:pPr>
              <w:widowControl/>
              <w:snapToGrid w:val="0"/>
              <w:jc w:val="center"/>
              <w:rPr>
                <w:b/>
                <w:bCs/>
                <w:color w:val="000000"/>
                <w:kern w:val="0"/>
                <w:sz w:val="22"/>
                <w:szCs w:val="22"/>
              </w:rPr>
            </w:pPr>
            <w:r>
              <w:rPr>
                <w:b/>
                <w:bCs/>
                <w:color w:val="000000"/>
                <w:kern w:val="0"/>
                <w:sz w:val="22"/>
                <w:szCs w:val="22"/>
              </w:rPr>
              <w:t>3</w:t>
            </w:r>
          </w:p>
        </w:tc>
        <w:tc>
          <w:tcPr>
            <w:tcW w:w="294" w:type="pct"/>
            <w:shd w:val="clear" w:color="000000" w:fill="FFFFFF"/>
            <w:vAlign w:val="center"/>
          </w:tcPr>
          <w:p w14:paraId="6F329B9E">
            <w:pPr>
              <w:widowControl/>
              <w:snapToGrid w:val="0"/>
              <w:jc w:val="center"/>
              <w:rPr>
                <w:b/>
                <w:bCs/>
                <w:color w:val="000000"/>
                <w:kern w:val="0"/>
                <w:sz w:val="22"/>
                <w:szCs w:val="22"/>
              </w:rPr>
            </w:pPr>
            <w:r>
              <w:rPr>
                <w:rFonts w:hint="eastAsia"/>
                <w:b/>
                <w:bCs/>
                <w:color w:val="000000"/>
                <w:kern w:val="0"/>
                <w:sz w:val="22"/>
                <w:szCs w:val="22"/>
              </w:rPr>
              <w:t>3</w:t>
            </w:r>
          </w:p>
        </w:tc>
      </w:tr>
      <w:tr w14:paraId="46BBE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86" w:hRule="atLeast"/>
          <w:jc w:val="center"/>
        </w:trPr>
        <w:tc>
          <w:tcPr>
            <w:tcW w:w="328" w:type="pct"/>
            <w:vMerge w:val="continue"/>
            <w:shd w:val="clear" w:color="auto" w:fill="FFFFFF"/>
            <w:vAlign w:val="center"/>
          </w:tcPr>
          <w:p w14:paraId="10CBCCEF">
            <w:pPr>
              <w:snapToGrid w:val="0"/>
              <w:jc w:val="center"/>
              <w:rPr>
                <w:color w:val="000000"/>
                <w:kern w:val="0"/>
                <w:sz w:val="22"/>
                <w:szCs w:val="22"/>
              </w:rPr>
            </w:pPr>
          </w:p>
        </w:tc>
        <w:tc>
          <w:tcPr>
            <w:tcW w:w="302" w:type="pct"/>
            <w:vMerge w:val="restart"/>
            <w:shd w:val="clear" w:color="auto" w:fill="FFFFFF"/>
            <w:vAlign w:val="center"/>
          </w:tcPr>
          <w:p w14:paraId="51B33AF9">
            <w:pPr>
              <w:widowControl/>
              <w:snapToGrid w:val="0"/>
              <w:jc w:val="center"/>
              <w:rPr>
                <w:color w:val="000000"/>
                <w:kern w:val="0"/>
                <w:sz w:val="22"/>
                <w:szCs w:val="22"/>
              </w:rPr>
            </w:pPr>
            <w:r>
              <w:rPr>
                <w:color w:val="000000"/>
                <w:kern w:val="0"/>
                <w:sz w:val="22"/>
                <w:szCs w:val="22"/>
              </w:rPr>
              <w:t>资金投入</w:t>
            </w:r>
          </w:p>
          <w:p w14:paraId="69198F17">
            <w:pPr>
              <w:snapToGrid w:val="0"/>
              <w:jc w:val="center"/>
              <w:rPr>
                <w:color w:val="000000"/>
                <w:kern w:val="0"/>
                <w:sz w:val="22"/>
                <w:szCs w:val="22"/>
              </w:rPr>
            </w:pPr>
            <w:r>
              <w:rPr>
                <w:color w:val="000000"/>
                <w:kern w:val="0"/>
                <w:sz w:val="22"/>
                <w:szCs w:val="22"/>
              </w:rPr>
              <w:t>　</w:t>
            </w:r>
          </w:p>
        </w:tc>
        <w:tc>
          <w:tcPr>
            <w:tcW w:w="344" w:type="pct"/>
            <w:shd w:val="clear" w:color="auto" w:fill="FFFFFF"/>
            <w:vAlign w:val="center"/>
          </w:tcPr>
          <w:p w14:paraId="6C236ADF">
            <w:pPr>
              <w:widowControl/>
              <w:snapToGrid w:val="0"/>
              <w:jc w:val="center"/>
              <w:rPr>
                <w:color w:val="000000"/>
                <w:kern w:val="0"/>
                <w:sz w:val="22"/>
                <w:szCs w:val="22"/>
              </w:rPr>
            </w:pPr>
            <w:r>
              <w:rPr>
                <w:color w:val="000000"/>
                <w:kern w:val="0"/>
                <w:sz w:val="22"/>
                <w:szCs w:val="22"/>
              </w:rPr>
              <w:t>预算编制</w:t>
            </w:r>
          </w:p>
          <w:p w14:paraId="785A5CA3">
            <w:pPr>
              <w:widowControl/>
              <w:snapToGrid w:val="0"/>
              <w:jc w:val="center"/>
              <w:rPr>
                <w:color w:val="000000"/>
                <w:kern w:val="0"/>
                <w:sz w:val="22"/>
                <w:szCs w:val="22"/>
              </w:rPr>
            </w:pPr>
            <w:r>
              <w:rPr>
                <w:color w:val="000000"/>
                <w:kern w:val="0"/>
                <w:sz w:val="22"/>
                <w:szCs w:val="22"/>
              </w:rPr>
              <w:t>科学性</w:t>
            </w:r>
          </w:p>
        </w:tc>
        <w:tc>
          <w:tcPr>
            <w:tcW w:w="1122" w:type="pct"/>
            <w:shd w:val="clear" w:color="auto" w:fill="FFFFFF"/>
            <w:vAlign w:val="center"/>
          </w:tcPr>
          <w:p w14:paraId="404438C9">
            <w:pPr>
              <w:widowControl/>
              <w:snapToGrid w:val="0"/>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347" w:type="pct"/>
            <w:shd w:val="clear" w:color="auto" w:fill="FFFFFF"/>
            <w:vAlign w:val="center"/>
          </w:tcPr>
          <w:p w14:paraId="4FEF3D60">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263" w:type="pct"/>
            <w:shd w:val="clear" w:color="auto" w:fill="FFFFFF"/>
            <w:vAlign w:val="center"/>
          </w:tcPr>
          <w:p w14:paraId="2E7BF85E">
            <w:pPr>
              <w:widowControl/>
              <w:snapToGrid w:val="0"/>
              <w:jc w:val="center"/>
              <w:rPr>
                <w:b/>
                <w:bCs/>
                <w:color w:val="000000"/>
                <w:kern w:val="0"/>
                <w:sz w:val="22"/>
                <w:szCs w:val="22"/>
              </w:rPr>
            </w:pPr>
            <w:r>
              <w:rPr>
                <w:b/>
                <w:bCs/>
                <w:color w:val="000000"/>
                <w:kern w:val="0"/>
                <w:sz w:val="22"/>
                <w:szCs w:val="22"/>
              </w:rPr>
              <w:t>4</w:t>
            </w:r>
          </w:p>
        </w:tc>
        <w:tc>
          <w:tcPr>
            <w:tcW w:w="294" w:type="pct"/>
            <w:shd w:val="clear" w:color="auto" w:fill="FFFFFF"/>
            <w:vAlign w:val="center"/>
          </w:tcPr>
          <w:p w14:paraId="4B2FD832">
            <w:pPr>
              <w:widowControl/>
              <w:snapToGrid w:val="0"/>
              <w:jc w:val="center"/>
              <w:rPr>
                <w:b/>
                <w:bCs/>
                <w:color w:val="000000"/>
                <w:kern w:val="0"/>
                <w:sz w:val="22"/>
                <w:szCs w:val="22"/>
              </w:rPr>
            </w:pPr>
            <w:r>
              <w:rPr>
                <w:rFonts w:hint="eastAsia"/>
                <w:b/>
                <w:bCs/>
                <w:color w:val="000000"/>
                <w:kern w:val="0"/>
                <w:sz w:val="22"/>
                <w:szCs w:val="22"/>
              </w:rPr>
              <w:t>3</w:t>
            </w:r>
          </w:p>
        </w:tc>
      </w:tr>
      <w:tr w14:paraId="1A2BA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75" w:hRule="atLeast"/>
          <w:jc w:val="center"/>
        </w:trPr>
        <w:tc>
          <w:tcPr>
            <w:tcW w:w="328" w:type="pct"/>
            <w:vMerge w:val="continue"/>
            <w:shd w:val="clear" w:color="auto" w:fill="FFFFFF"/>
            <w:vAlign w:val="center"/>
          </w:tcPr>
          <w:p w14:paraId="7A5ED7AD">
            <w:pPr>
              <w:widowControl/>
              <w:snapToGrid w:val="0"/>
              <w:jc w:val="center"/>
              <w:rPr>
                <w:color w:val="000000"/>
                <w:kern w:val="0"/>
                <w:sz w:val="22"/>
                <w:szCs w:val="22"/>
              </w:rPr>
            </w:pPr>
          </w:p>
        </w:tc>
        <w:tc>
          <w:tcPr>
            <w:tcW w:w="302" w:type="pct"/>
            <w:vMerge w:val="continue"/>
            <w:shd w:val="clear" w:color="auto" w:fill="FFFFFF"/>
            <w:vAlign w:val="center"/>
          </w:tcPr>
          <w:p w14:paraId="533AA98A">
            <w:pPr>
              <w:widowControl/>
              <w:snapToGrid w:val="0"/>
              <w:jc w:val="center"/>
              <w:rPr>
                <w:color w:val="000000"/>
                <w:kern w:val="0"/>
                <w:sz w:val="22"/>
                <w:szCs w:val="22"/>
              </w:rPr>
            </w:pPr>
          </w:p>
        </w:tc>
        <w:tc>
          <w:tcPr>
            <w:tcW w:w="344" w:type="pct"/>
            <w:shd w:val="clear" w:color="auto" w:fill="FFFFFF"/>
            <w:vAlign w:val="center"/>
          </w:tcPr>
          <w:p w14:paraId="339BE47F">
            <w:pPr>
              <w:widowControl/>
              <w:snapToGrid w:val="0"/>
              <w:jc w:val="center"/>
              <w:rPr>
                <w:color w:val="000000"/>
                <w:kern w:val="0"/>
                <w:sz w:val="22"/>
                <w:szCs w:val="22"/>
              </w:rPr>
            </w:pPr>
            <w:r>
              <w:rPr>
                <w:color w:val="000000"/>
                <w:kern w:val="0"/>
                <w:sz w:val="22"/>
                <w:szCs w:val="22"/>
              </w:rPr>
              <w:t>资金分配</w:t>
            </w:r>
          </w:p>
          <w:p w14:paraId="1582F1D6">
            <w:pPr>
              <w:widowControl/>
              <w:snapToGrid w:val="0"/>
              <w:jc w:val="center"/>
              <w:rPr>
                <w:color w:val="000000"/>
                <w:kern w:val="0"/>
                <w:sz w:val="22"/>
                <w:szCs w:val="22"/>
              </w:rPr>
            </w:pPr>
            <w:r>
              <w:rPr>
                <w:color w:val="000000"/>
                <w:kern w:val="0"/>
                <w:sz w:val="22"/>
                <w:szCs w:val="22"/>
              </w:rPr>
              <w:t>合理性</w:t>
            </w:r>
          </w:p>
        </w:tc>
        <w:tc>
          <w:tcPr>
            <w:tcW w:w="1122" w:type="pct"/>
            <w:shd w:val="clear" w:color="auto" w:fill="FFFFFF"/>
            <w:vAlign w:val="center"/>
          </w:tcPr>
          <w:p w14:paraId="3760418E">
            <w:pPr>
              <w:widowControl/>
              <w:snapToGrid w:val="0"/>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347" w:type="pct"/>
            <w:shd w:val="clear" w:color="auto" w:fill="FFFFFF"/>
            <w:vAlign w:val="center"/>
          </w:tcPr>
          <w:p w14:paraId="6C781BA7">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263" w:type="pct"/>
            <w:shd w:val="clear" w:color="auto" w:fill="FFFFFF"/>
            <w:vAlign w:val="center"/>
          </w:tcPr>
          <w:p w14:paraId="5AA4A02F">
            <w:pPr>
              <w:widowControl/>
              <w:snapToGrid w:val="0"/>
              <w:jc w:val="center"/>
              <w:rPr>
                <w:b/>
                <w:bCs/>
                <w:color w:val="000000"/>
                <w:kern w:val="0"/>
                <w:sz w:val="22"/>
                <w:szCs w:val="22"/>
              </w:rPr>
            </w:pPr>
            <w:r>
              <w:rPr>
                <w:b/>
                <w:bCs/>
                <w:color w:val="000000"/>
                <w:kern w:val="0"/>
                <w:sz w:val="22"/>
                <w:szCs w:val="22"/>
              </w:rPr>
              <w:t>4</w:t>
            </w:r>
          </w:p>
        </w:tc>
        <w:tc>
          <w:tcPr>
            <w:tcW w:w="294" w:type="pct"/>
            <w:shd w:val="clear" w:color="auto" w:fill="FFFFFF"/>
            <w:vAlign w:val="center"/>
          </w:tcPr>
          <w:p w14:paraId="08FD6485">
            <w:pPr>
              <w:widowControl/>
              <w:snapToGrid w:val="0"/>
              <w:jc w:val="center"/>
              <w:rPr>
                <w:b/>
                <w:bCs/>
                <w:color w:val="000000"/>
                <w:kern w:val="0"/>
                <w:sz w:val="22"/>
                <w:szCs w:val="22"/>
              </w:rPr>
            </w:pPr>
            <w:r>
              <w:rPr>
                <w:rFonts w:hint="eastAsia"/>
                <w:b/>
                <w:bCs/>
                <w:color w:val="000000"/>
                <w:kern w:val="0"/>
                <w:sz w:val="22"/>
                <w:szCs w:val="22"/>
              </w:rPr>
              <w:t>4</w:t>
            </w:r>
          </w:p>
        </w:tc>
      </w:tr>
      <w:tr w14:paraId="104B3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328" w:type="pct"/>
            <w:vMerge w:val="restart"/>
            <w:shd w:val="clear" w:color="auto" w:fill="FFFFFF"/>
            <w:vAlign w:val="center"/>
          </w:tcPr>
          <w:p w14:paraId="32B80D55">
            <w:pPr>
              <w:snapToGrid w:val="0"/>
              <w:jc w:val="center"/>
              <w:rPr>
                <w:color w:val="000000"/>
                <w:kern w:val="0"/>
                <w:sz w:val="22"/>
                <w:szCs w:val="22"/>
              </w:rPr>
            </w:pPr>
          </w:p>
          <w:p w14:paraId="36BF252F">
            <w:pPr>
              <w:snapToGrid w:val="0"/>
              <w:jc w:val="center"/>
              <w:rPr>
                <w:color w:val="000000"/>
                <w:kern w:val="0"/>
                <w:sz w:val="22"/>
                <w:szCs w:val="22"/>
              </w:rPr>
            </w:pPr>
          </w:p>
          <w:p w14:paraId="5C6BF1B0">
            <w:pPr>
              <w:snapToGrid w:val="0"/>
              <w:jc w:val="center"/>
              <w:rPr>
                <w:color w:val="000000"/>
                <w:kern w:val="0"/>
                <w:sz w:val="22"/>
                <w:szCs w:val="22"/>
              </w:rPr>
            </w:pPr>
          </w:p>
          <w:p w14:paraId="77850345">
            <w:pPr>
              <w:snapToGrid w:val="0"/>
              <w:jc w:val="center"/>
              <w:rPr>
                <w:color w:val="000000"/>
                <w:kern w:val="0"/>
                <w:sz w:val="22"/>
                <w:szCs w:val="22"/>
              </w:rPr>
            </w:pPr>
          </w:p>
          <w:p w14:paraId="645CB8F5">
            <w:pPr>
              <w:snapToGrid w:val="0"/>
              <w:jc w:val="center"/>
              <w:rPr>
                <w:color w:val="000000"/>
                <w:kern w:val="0"/>
                <w:sz w:val="22"/>
                <w:szCs w:val="22"/>
              </w:rPr>
            </w:pPr>
          </w:p>
          <w:p w14:paraId="6699EFB8">
            <w:pPr>
              <w:snapToGrid w:val="0"/>
              <w:jc w:val="center"/>
              <w:rPr>
                <w:color w:val="000000"/>
                <w:kern w:val="0"/>
                <w:sz w:val="22"/>
                <w:szCs w:val="22"/>
              </w:rPr>
            </w:pPr>
          </w:p>
          <w:p w14:paraId="576E1D68">
            <w:pPr>
              <w:snapToGrid w:val="0"/>
              <w:jc w:val="center"/>
              <w:rPr>
                <w:color w:val="000000"/>
                <w:kern w:val="0"/>
                <w:sz w:val="22"/>
                <w:szCs w:val="22"/>
              </w:rPr>
            </w:pPr>
          </w:p>
          <w:p w14:paraId="3623159E">
            <w:pPr>
              <w:snapToGrid w:val="0"/>
              <w:jc w:val="center"/>
              <w:rPr>
                <w:color w:val="000000"/>
                <w:kern w:val="0"/>
                <w:sz w:val="22"/>
                <w:szCs w:val="22"/>
              </w:rPr>
            </w:pPr>
          </w:p>
          <w:p w14:paraId="45F11B84">
            <w:pPr>
              <w:snapToGrid w:val="0"/>
              <w:jc w:val="center"/>
              <w:rPr>
                <w:color w:val="000000"/>
                <w:kern w:val="0"/>
                <w:sz w:val="22"/>
                <w:szCs w:val="22"/>
              </w:rPr>
            </w:pPr>
          </w:p>
          <w:p w14:paraId="3CFEF229">
            <w:pPr>
              <w:snapToGrid w:val="0"/>
              <w:jc w:val="center"/>
              <w:rPr>
                <w:color w:val="000000"/>
                <w:kern w:val="0"/>
                <w:sz w:val="22"/>
                <w:szCs w:val="22"/>
              </w:rPr>
            </w:pPr>
          </w:p>
          <w:p w14:paraId="4A82DFA1">
            <w:pPr>
              <w:snapToGrid w:val="0"/>
              <w:jc w:val="center"/>
              <w:rPr>
                <w:color w:val="000000"/>
                <w:kern w:val="0"/>
                <w:sz w:val="22"/>
                <w:szCs w:val="22"/>
              </w:rPr>
            </w:pPr>
          </w:p>
          <w:p w14:paraId="475F27F3">
            <w:pPr>
              <w:snapToGrid w:val="0"/>
              <w:jc w:val="center"/>
              <w:rPr>
                <w:color w:val="000000"/>
                <w:kern w:val="0"/>
                <w:sz w:val="22"/>
                <w:szCs w:val="22"/>
              </w:rPr>
            </w:pPr>
          </w:p>
          <w:p w14:paraId="2748DDBE">
            <w:pPr>
              <w:snapToGrid w:val="0"/>
              <w:jc w:val="center"/>
              <w:rPr>
                <w:color w:val="000000"/>
                <w:kern w:val="0"/>
                <w:sz w:val="22"/>
                <w:szCs w:val="22"/>
              </w:rPr>
            </w:pPr>
          </w:p>
          <w:p w14:paraId="30C5FE49">
            <w:pPr>
              <w:snapToGrid w:val="0"/>
              <w:jc w:val="center"/>
              <w:rPr>
                <w:color w:val="000000"/>
                <w:kern w:val="0"/>
                <w:sz w:val="22"/>
                <w:szCs w:val="22"/>
              </w:rPr>
            </w:pPr>
          </w:p>
          <w:p w14:paraId="7EFE82F0">
            <w:pPr>
              <w:snapToGrid w:val="0"/>
              <w:jc w:val="center"/>
              <w:rPr>
                <w:color w:val="000000"/>
                <w:kern w:val="0"/>
                <w:sz w:val="22"/>
                <w:szCs w:val="22"/>
              </w:rPr>
            </w:pPr>
          </w:p>
          <w:p w14:paraId="0A1B839D">
            <w:pPr>
              <w:snapToGrid w:val="0"/>
              <w:jc w:val="center"/>
              <w:rPr>
                <w:color w:val="000000"/>
                <w:kern w:val="0"/>
                <w:sz w:val="22"/>
                <w:szCs w:val="22"/>
              </w:rPr>
            </w:pPr>
            <w:r>
              <w:rPr>
                <w:color w:val="000000"/>
                <w:kern w:val="0"/>
                <w:sz w:val="22"/>
                <w:szCs w:val="22"/>
              </w:rPr>
              <w:t>过程</w:t>
            </w:r>
          </w:p>
          <w:p w14:paraId="39B1CE95">
            <w:pPr>
              <w:widowControl/>
              <w:snapToGrid w:val="0"/>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3E5241C9">
            <w:pPr>
              <w:widowControl/>
              <w:snapToGrid w:val="0"/>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514C3C79">
            <w:pPr>
              <w:widowControl/>
              <w:snapToGrid w:val="0"/>
              <w:jc w:val="center"/>
              <w:rPr>
                <w:color w:val="000000"/>
                <w:kern w:val="0"/>
                <w:sz w:val="22"/>
                <w:szCs w:val="22"/>
              </w:rPr>
            </w:pPr>
            <w:r>
              <w:rPr>
                <w:color w:val="000000"/>
                <w:kern w:val="0"/>
                <w:sz w:val="22"/>
                <w:szCs w:val="22"/>
              </w:rPr>
              <w:t>资金到位率</w:t>
            </w:r>
          </w:p>
        </w:tc>
        <w:tc>
          <w:tcPr>
            <w:tcW w:w="1122" w:type="pct"/>
            <w:shd w:val="clear" w:color="000000" w:fill="FFFFFF"/>
            <w:vAlign w:val="center"/>
          </w:tcPr>
          <w:p w14:paraId="12FDEFB6">
            <w:pPr>
              <w:widowControl/>
              <w:snapToGrid w:val="0"/>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347" w:type="pct"/>
            <w:shd w:val="clear" w:color="000000" w:fill="FFFFFF"/>
            <w:vAlign w:val="center"/>
          </w:tcPr>
          <w:p w14:paraId="75F61D56">
            <w:pPr>
              <w:widowControl/>
              <w:snapToGrid w:val="0"/>
              <w:rPr>
                <w:color w:val="000000"/>
                <w:kern w:val="0"/>
                <w:sz w:val="22"/>
                <w:szCs w:val="22"/>
              </w:rPr>
            </w:pPr>
            <w:r>
              <w:rPr>
                <w:color w:val="000000"/>
                <w:kern w:val="0"/>
                <w:sz w:val="22"/>
                <w:szCs w:val="22"/>
              </w:rPr>
              <w:t>资金到位率=（实际到位资金/预算资金）×100%。</w:t>
            </w:r>
          </w:p>
          <w:p w14:paraId="6695B395">
            <w:pPr>
              <w:widowControl/>
              <w:snapToGrid w:val="0"/>
              <w:rPr>
                <w:color w:val="000000"/>
                <w:kern w:val="0"/>
                <w:sz w:val="22"/>
                <w:szCs w:val="22"/>
              </w:rPr>
            </w:pPr>
            <w:r>
              <w:rPr>
                <w:color w:val="000000"/>
                <w:kern w:val="0"/>
                <w:sz w:val="22"/>
                <w:szCs w:val="22"/>
              </w:rPr>
              <w:t>实际到位资金：一定时期（本年度或项目期）内落实到具体项目的资金。</w:t>
            </w:r>
          </w:p>
          <w:p w14:paraId="48E8DB2E">
            <w:pPr>
              <w:widowControl/>
              <w:snapToGrid w:val="0"/>
              <w:rPr>
                <w:color w:val="000000"/>
                <w:kern w:val="0"/>
                <w:sz w:val="22"/>
                <w:szCs w:val="22"/>
              </w:rPr>
            </w:pPr>
            <w:r>
              <w:rPr>
                <w:color w:val="000000"/>
                <w:kern w:val="0"/>
                <w:sz w:val="22"/>
                <w:szCs w:val="22"/>
              </w:rPr>
              <w:t>预算资金：一定时期（本年度或项目期）内预算安排到具体项目的资金。</w:t>
            </w:r>
          </w:p>
        </w:tc>
        <w:tc>
          <w:tcPr>
            <w:tcW w:w="263" w:type="pct"/>
            <w:shd w:val="clear" w:color="000000" w:fill="FFFFFF"/>
            <w:vAlign w:val="center"/>
          </w:tcPr>
          <w:p w14:paraId="7E8561F8">
            <w:pPr>
              <w:widowControl/>
              <w:snapToGrid w:val="0"/>
              <w:jc w:val="center"/>
              <w:rPr>
                <w:b/>
                <w:bCs/>
                <w:color w:val="000000"/>
                <w:kern w:val="0"/>
                <w:sz w:val="22"/>
                <w:szCs w:val="22"/>
              </w:rPr>
            </w:pPr>
            <w:r>
              <w:rPr>
                <w:b/>
                <w:bCs/>
                <w:color w:val="000000"/>
                <w:kern w:val="0"/>
                <w:sz w:val="22"/>
                <w:szCs w:val="22"/>
              </w:rPr>
              <w:t>4</w:t>
            </w:r>
          </w:p>
        </w:tc>
        <w:tc>
          <w:tcPr>
            <w:tcW w:w="294" w:type="pct"/>
            <w:shd w:val="clear" w:color="000000" w:fill="FFFFFF"/>
            <w:vAlign w:val="center"/>
          </w:tcPr>
          <w:p w14:paraId="52BC6B99">
            <w:pPr>
              <w:widowControl/>
              <w:snapToGrid w:val="0"/>
              <w:jc w:val="center"/>
              <w:rPr>
                <w:b/>
                <w:bCs/>
                <w:color w:val="000000"/>
                <w:kern w:val="0"/>
                <w:sz w:val="22"/>
                <w:szCs w:val="22"/>
              </w:rPr>
            </w:pPr>
            <w:r>
              <w:rPr>
                <w:rFonts w:hint="eastAsia"/>
                <w:b/>
                <w:bCs/>
                <w:color w:val="000000"/>
                <w:kern w:val="0"/>
                <w:sz w:val="22"/>
                <w:szCs w:val="22"/>
              </w:rPr>
              <w:t>4</w:t>
            </w:r>
          </w:p>
        </w:tc>
      </w:tr>
      <w:tr w14:paraId="17809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14:paraId="64C6ED5F">
            <w:pPr>
              <w:snapToGrid w:val="0"/>
              <w:jc w:val="center"/>
              <w:rPr>
                <w:color w:val="000000"/>
                <w:kern w:val="0"/>
                <w:sz w:val="22"/>
                <w:szCs w:val="22"/>
              </w:rPr>
            </w:pPr>
          </w:p>
        </w:tc>
        <w:tc>
          <w:tcPr>
            <w:tcW w:w="302" w:type="pct"/>
            <w:vMerge w:val="continue"/>
            <w:shd w:val="clear" w:color="auto" w:fill="FFFFFF"/>
            <w:vAlign w:val="center"/>
          </w:tcPr>
          <w:p w14:paraId="2B3CE76C">
            <w:pPr>
              <w:snapToGrid w:val="0"/>
              <w:jc w:val="center"/>
              <w:rPr>
                <w:color w:val="000000"/>
                <w:kern w:val="0"/>
                <w:sz w:val="22"/>
                <w:szCs w:val="22"/>
              </w:rPr>
            </w:pPr>
          </w:p>
        </w:tc>
        <w:tc>
          <w:tcPr>
            <w:tcW w:w="344" w:type="pct"/>
            <w:shd w:val="clear" w:color="auto" w:fill="FFFFFF"/>
            <w:vAlign w:val="center"/>
          </w:tcPr>
          <w:p w14:paraId="68843C8A">
            <w:pPr>
              <w:widowControl/>
              <w:snapToGrid w:val="0"/>
              <w:jc w:val="center"/>
              <w:rPr>
                <w:color w:val="000000"/>
                <w:kern w:val="0"/>
                <w:sz w:val="22"/>
                <w:szCs w:val="22"/>
              </w:rPr>
            </w:pPr>
            <w:r>
              <w:rPr>
                <w:color w:val="000000"/>
                <w:kern w:val="0"/>
                <w:sz w:val="22"/>
                <w:szCs w:val="22"/>
              </w:rPr>
              <w:t>预算执行率</w:t>
            </w:r>
          </w:p>
        </w:tc>
        <w:tc>
          <w:tcPr>
            <w:tcW w:w="1122" w:type="pct"/>
            <w:shd w:val="clear" w:color="auto" w:fill="FFFFFF"/>
            <w:vAlign w:val="center"/>
          </w:tcPr>
          <w:p w14:paraId="50C4A8AE">
            <w:pPr>
              <w:widowControl/>
              <w:snapToGrid w:val="0"/>
              <w:rPr>
                <w:color w:val="000000"/>
                <w:kern w:val="0"/>
                <w:sz w:val="22"/>
                <w:szCs w:val="22"/>
              </w:rPr>
            </w:pPr>
            <w:r>
              <w:rPr>
                <w:color w:val="000000"/>
                <w:kern w:val="0"/>
                <w:sz w:val="22"/>
                <w:szCs w:val="22"/>
              </w:rPr>
              <w:t>项目预算资金是否按照计划执行，用以反映或考核项目预算执行情况。</w:t>
            </w:r>
          </w:p>
        </w:tc>
        <w:tc>
          <w:tcPr>
            <w:tcW w:w="2347" w:type="pct"/>
            <w:shd w:val="clear" w:color="auto" w:fill="FFFFFF"/>
            <w:vAlign w:val="center"/>
          </w:tcPr>
          <w:p w14:paraId="167668A3">
            <w:pPr>
              <w:widowControl/>
              <w:snapToGrid w:val="0"/>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263" w:type="pct"/>
            <w:shd w:val="clear" w:color="auto" w:fill="FFFFFF"/>
            <w:vAlign w:val="center"/>
          </w:tcPr>
          <w:p w14:paraId="288AFC7B">
            <w:pPr>
              <w:widowControl/>
              <w:snapToGrid w:val="0"/>
              <w:jc w:val="center"/>
              <w:rPr>
                <w:b/>
                <w:bCs/>
                <w:color w:val="000000"/>
                <w:kern w:val="0"/>
                <w:sz w:val="22"/>
                <w:szCs w:val="22"/>
              </w:rPr>
            </w:pPr>
            <w:r>
              <w:rPr>
                <w:b/>
                <w:bCs/>
                <w:color w:val="000000"/>
                <w:kern w:val="0"/>
                <w:sz w:val="22"/>
                <w:szCs w:val="22"/>
              </w:rPr>
              <w:t>4</w:t>
            </w:r>
          </w:p>
        </w:tc>
        <w:tc>
          <w:tcPr>
            <w:tcW w:w="294" w:type="pct"/>
            <w:shd w:val="clear" w:color="auto" w:fill="FFFFFF"/>
            <w:vAlign w:val="center"/>
          </w:tcPr>
          <w:p w14:paraId="168A99B6">
            <w:pPr>
              <w:widowControl/>
              <w:snapToGrid w:val="0"/>
              <w:jc w:val="center"/>
              <w:rPr>
                <w:b/>
                <w:bCs/>
                <w:color w:val="000000"/>
                <w:kern w:val="0"/>
                <w:sz w:val="22"/>
                <w:szCs w:val="22"/>
              </w:rPr>
            </w:pPr>
            <w:r>
              <w:rPr>
                <w:rFonts w:hint="eastAsia"/>
                <w:b/>
                <w:bCs/>
                <w:color w:val="000000"/>
                <w:kern w:val="0"/>
                <w:sz w:val="22"/>
                <w:szCs w:val="22"/>
              </w:rPr>
              <w:t>3</w:t>
            </w:r>
            <w:r>
              <w:rPr>
                <w:rFonts w:hint="eastAsia"/>
                <w:b/>
                <w:bCs/>
                <w:color w:val="000000"/>
                <w:kern w:val="0"/>
                <w:sz w:val="22"/>
                <w:szCs w:val="22"/>
                <w:highlight w:val="yellow"/>
              </w:rPr>
              <w:t>.</w:t>
            </w:r>
            <w:r>
              <w:rPr>
                <w:rFonts w:hint="eastAsia"/>
                <w:b/>
                <w:bCs/>
                <w:color w:val="000000"/>
                <w:kern w:val="0"/>
                <w:sz w:val="22"/>
                <w:szCs w:val="22"/>
              </w:rPr>
              <w:t>7</w:t>
            </w:r>
          </w:p>
        </w:tc>
      </w:tr>
      <w:tr w14:paraId="171D35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4" w:hRule="atLeast"/>
          <w:jc w:val="center"/>
        </w:trPr>
        <w:tc>
          <w:tcPr>
            <w:tcW w:w="328" w:type="pct"/>
            <w:vMerge w:val="continue"/>
            <w:shd w:val="clear" w:color="auto" w:fill="FFFFFF"/>
            <w:vAlign w:val="center"/>
          </w:tcPr>
          <w:p w14:paraId="533B75CA">
            <w:pPr>
              <w:snapToGrid w:val="0"/>
              <w:jc w:val="center"/>
              <w:rPr>
                <w:color w:val="000000"/>
                <w:kern w:val="0"/>
                <w:sz w:val="22"/>
                <w:szCs w:val="22"/>
              </w:rPr>
            </w:pPr>
          </w:p>
        </w:tc>
        <w:tc>
          <w:tcPr>
            <w:tcW w:w="302" w:type="pct"/>
            <w:shd w:val="clear" w:color="auto" w:fill="FFFFFF"/>
            <w:vAlign w:val="center"/>
          </w:tcPr>
          <w:p w14:paraId="539A52B4">
            <w:pPr>
              <w:widowControl/>
              <w:snapToGrid w:val="0"/>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126E0FC8">
            <w:pPr>
              <w:widowControl/>
              <w:snapToGrid w:val="0"/>
              <w:jc w:val="center"/>
              <w:rPr>
                <w:color w:val="000000"/>
                <w:kern w:val="0"/>
                <w:sz w:val="22"/>
                <w:szCs w:val="22"/>
              </w:rPr>
            </w:pPr>
            <w:r>
              <w:rPr>
                <w:color w:val="000000"/>
                <w:kern w:val="0"/>
                <w:sz w:val="22"/>
                <w:szCs w:val="22"/>
              </w:rPr>
              <w:t>资金使用</w:t>
            </w:r>
          </w:p>
          <w:p w14:paraId="6A4D08CB">
            <w:pPr>
              <w:widowControl/>
              <w:snapToGrid w:val="0"/>
              <w:jc w:val="center"/>
              <w:rPr>
                <w:color w:val="000000"/>
                <w:kern w:val="0"/>
                <w:sz w:val="22"/>
                <w:szCs w:val="22"/>
              </w:rPr>
            </w:pPr>
            <w:r>
              <w:rPr>
                <w:color w:val="000000"/>
                <w:kern w:val="0"/>
                <w:sz w:val="22"/>
                <w:szCs w:val="22"/>
              </w:rPr>
              <w:t>合规性</w:t>
            </w:r>
          </w:p>
        </w:tc>
        <w:tc>
          <w:tcPr>
            <w:tcW w:w="1122" w:type="pct"/>
            <w:shd w:val="clear" w:color="000000" w:fill="FFFFFF"/>
            <w:vAlign w:val="center"/>
          </w:tcPr>
          <w:p w14:paraId="4292F5A6">
            <w:pPr>
              <w:widowControl/>
              <w:snapToGrid w:val="0"/>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347" w:type="pct"/>
            <w:shd w:val="clear" w:color="000000" w:fill="FFFFFF"/>
            <w:vAlign w:val="center"/>
          </w:tcPr>
          <w:p w14:paraId="26BD5BDA">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263" w:type="pct"/>
            <w:shd w:val="clear" w:color="000000" w:fill="FFFFFF"/>
            <w:vAlign w:val="center"/>
          </w:tcPr>
          <w:p w14:paraId="2F5EF3FF">
            <w:pPr>
              <w:widowControl/>
              <w:snapToGrid w:val="0"/>
              <w:jc w:val="center"/>
              <w:rPr>
                <w:b/>
                <w:bCs/>
                <w:color w:val="000000"/>
                <w:kern w:val="0"/>
                <w:sz w:val="22"/>
                <w:szCs w:val="22"/>
              </w:rPr>
            </w:pPr>
            <w:r>
              <w:rPr>
                <w:b/>
                <w:bCs/>
                <w:color w:val="000000"/>
                <w:kern w:val="0"/>
                <w:sz w:val="22"/>
                <w:szCs w:val="22"/>
              </w:rPr>
              <w:t>4</w:t>
            </w:r>
          </w:p>
        </w:tc>
        <w:tc>
          <w:tcPr>
            <w:tcW w:w="294" w:type="pct"/>
            <w:shd w:val="clear" w:color="000000" w:fill="FFFFFF"/>
            <w:vAlign w:val="center"/>
          </w:tcPr>
          <w:p w14:paraId="16E2D5D0">
            <w:pPr>
              <w:widowControl/>
              <w:snapToGrid w:val="0"/>
              <w:jc w:val="center"/>
              <w:rPr>
                <w:b/>
                <w:bCs/>
                <w:color w:val="000000"/>
                <w:kern w:val="0"/>
                <w:sz w:val="22"/>
                <w:szCs w:val="22"/>
              </w:rPr>
            </w:pPr>
            <w:r>
              <w:rPr>
                <w:rFonts w:hint="eastAsia"/>
                <w:b/>
                <w:bCs/>
                <w:color w:val="000000"/>
                <w:kern w:val="0"/>
                <w:sz w:val="22"/>
                <w:szCs w:val="22"/>
              </w:rPr>
              <w:t>4</w:t>
            </w:r>
          </w:p>
        </w:tc>
      </w:tr>
      <w:tr w14:paraId="0F64C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13" w:hRule="atLeast"/>
          <w:jc w:val="center"/>
        </w:trPr>
        <w:tc>
          <w:tcPr>
            <w:tcW w:w="328" w:type="pct"/>
            <w:vMerge w:val="continue"/>
            <w:shd w:val="clear" w:color="auto" w:fill="FFFFFF"/>
            <w:vAlign w:val="center"/>
          </w:tcPr>
          <w:p w14:paraId="73707F8B">
            <w:pPr>
              <w:snapToGrid w:val="0"/>
              <w:jc w:val="center"/>
              <w:rPr>
                <w:color w:val="000000"/>
                <w:kern w:val="0"/>
                <w:sz w:val="22"/>
                <w:szCs w:val="22"/>
              </w:rPr>
            </w:pPr>
          </w:p>
        </w:tc>
        <w:tc>
          <w:tcPr>
            <w:tcW w:w="302" w:type="pct"/>
            <w:vMerge w:val="restart"/>
            <w:shd w:val="clear" w:color="auto" w:fill="FFFFFF"/>
            <w:vAlign w:val="center"/>
          </w:tcPr>
          <w:p w14:paraId="2D484A70">
            <w:pPr>
              <w:widowControl/>
              <w:snapToGrid w:val="0"/>
              <w:jc w:val="center"/>
              <w:rPr>
                <w:color w:val="000000"/>
                <w:kern w:val="0"/>
                <w:sz w:val="22"/>
                <w:szCs w:val="22"/>
              </w:rPr>
            </w:pPr>
            <w:r>
              <w:rPr>
                <w:color w:val="000000"/>
                <w:kern w:val="0"/>
                <w:sz w:val="22"/>
                <w:szCs w:val="22"/>
              </w:rPr>
              <w:t>组织实施</w:t>
            </w:r>
          </w:p>
          <w:p w14:paraId="69BBF2FE">
            <w:pPr>
              <w:snapToGrid w:val="0"/>
              <w:jc w:val="center"/>
              <w:rPr>
                <w:color w:val="000000"/>
                <w:kern w:val="0"/>
                <w:sz w:val="22"/>
                <w:szCs w:val="22"/>
              </w:rPr>
            </w:pPr>
            <w:r>
              <w:rPr>
                <w:color w:val="000000"/>
                <w:kern w:val="0"/>
                <w:sz w:val="22"/>
                <w:szCs w:val="22"/>
              </w:rPr>
              <w:t>　</w:t>
            </w:r>
          </w:p>
        </w:tc>
        <w:tc>
          <w:tcPr>
            <w:tcW w:w="344" w:type="pct"/>
            <w:shd w:val="clear" w:color="auto" w:fill="FFFFFF"/>
            <w:vAlign w:val="center"/>
          </w:tcPr>
          <w:p w14:paraId="0AF89860">
            <w:pPr>
              <w:widowControl/>
              <w:snapToGrid w:val="0"/>
              <w:jc w:val="center"/>
              <w:rPr>
                <w:color w:val="000000"/>
                <w:kern w:val="0"/>
                <w:sz w:val="22"/>
                <w:szCs w:val="22"/>
              </w:rPr>
            </w:pPr>
            <w:r>
              <w:rPr>
                <w:color w:val="000000"/>
                <w:kern w:val="0"/>
                <w:sz w:val="22"/>
                <w:szCs w:val="22"/>
              </w:rPr>
              <w:t>管理制度</w:t>
            </w:r>
          </w:p>
          <w:p w14:paraId="5604D18F">
            <w:pPr>
              <w:widowControl/>
              <w:snapToGrid w:val="0"/>
              <w:jc w:val="center"/>
              <w:rPr>
                <w:color w:val="000000"/>
                <w:kern w:val="0"/>
                <w:sz w:val="22"/>
                <w:szCs w:val="22"/>
              </w:rPr>
            </w:pPr>
            <w:r>
              <w:rPr>
                <w:color w:val="000000"/>
                <w:kern w:val="0"/>
                <w:sz w:val="22"/>
                <w:szCs w:val="22"/>
              </w:rPr>
              <w:t>健全性</w:t>
            </w:r>
          </w:p>
        </w:tc>
        <w:tc>
          <w:tcPr>
            <w:tcW w:w="1122" w:type="pct"/>
            <w:shd w:val="clear" w:color="000000" w:fill="FFFFFF"/>
            <w:vAlign w:val="center"/>
          </w:tcPr>
          <w:p w14:paraId="5733F39A">
            <w:pPr>
              <w:widowControl/>
              <w:snapToGrid w:val="0"/>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347" w:type="pct"/>
            <w:shd w:val="clear" w:color="000000" w:fill="FFFFFF"/>
            <w:vAlign w:val="center"/>
          </w:tcPr>
          <w:p w14:paraId="76A63714">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263" w:type="pct"/>
            <w:shd w:val="clear" w:color="000000" w:fill="FFFFFF"/>
            <w:vAlign w:val="center"/>
          </w:tcPr>
          <w:p w14:paraId="0D9F2269">
            <w:pPr>
              <w:widowControl/>
              <w:snapToGrid w:val="0"/>
              <w:jc w:val="center"/>
              <w:rPr>
                <w:b/>
                <w:bCs/>
                <w:color w:val="000000"/>
                <w:kern w:val="0"/>
                <w:sz w:val="22"/>
                <w:szCs w:val="22"/>
              </w:rPr>
            </w:pPr>
            <w:r>
              <w:rPr>
                <w:b/>
                <w:bCs/>
                <w:color w:val="000000"/>
                <w:kern w:val="0"/>
                <w:sz w:val="22"/>
                <w:szCs w:val="22"/>
              </w:rPr>
              <w:t>4</w:t>
            </w:r>
          </w:p>
        </w:tc>
        <w:tc>
          <w:tcPr>
            <w:tcW w:w="294" w:type="pct"/>
            <w:shd w:val="clear" w:color="000000" w:fill="FFFFFF"/>
            <w:vAlign w:val="center"/>
          </w:tcPr>
          <w:p w14:paraId="3B6756A2">
            <w:pPr>
              <w:widowControl/>
              <w:snapToGrid w:val="0"/>
              <w:jc w:val="center"/>
              <w:rPr>
                <w:b/>
                <w:bCs/>
                <w:color w:val="000000"/>
                <w:kern w:val="0"/>
                <w:sz w:val="22"/>
                <w:szCs w:val="22"/>
              </w:rPr>
            </w:pPr>
            <w:r>
              <w:rPr>
                <w:rFonts w:hint="eastAsia"/>
                <w:b/>
                <w:bCs/>
                <w:color w:val="000000"/>
                <w:kern w:val="0"/>
                <w:sz w:val="22"/>
                <w:szCs w:val="22"/>
              </w:rPr>
              <w:t>3</w:t>
            </w:r>
          </w:p>
        </w:tc>
      </w:tr>
      <w:tr w14:paraId="56C79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14:paraId="09F870A9">
            <w:pPr>
              <w:widowControl/>
              <w:snapToGrid w:val="0"/>
              <w:jc w:val="center"/>
              <w:rPr>
                <w:color w:val="000000"/>
                <w:kern w:val="0"/>
                <w:sz w:val="22"/>
                <w:szCs w:val="22"/>
              </w:rPr>
            </w:pPr>
          </w:p>
        </w:tc>
        <w:tc>
          <w:tcPr>
            <w:tcW w:w="302" w:type="pct"/>
            <w:vMerge w:val="continue"/>
            <w:shd w:val="clear" w:color="auto" w:fill="FFFFFF"/>
            <w:vAlign w:val="center"/>
          </w:tcPr>
          <w:p w14:paraId="1212E160">
            <w:pPr>
              <w:widowControl/>
              <w:snapToGrid w:val="0"/>
              <w:jc w:val="center"/>
              <w:rPr>
                <w:color w:val="000000"/>
                <w:kern w:val="0"/>
                <w:sz w:val="22"/>
                <w:szCs w:val="22"/>
              </w:rPr>
            </w:pPr>
          </w:p>
        </w:tc>
        <w:tc>
          <w:tcPr>
            <w:tcW w:w="344" w:type="pct"/>
            <w:shd w:val="clear" w:color="auto" w:fill="FFFFFF"/>
            <w:vAlign w:val="center"/>
          </w:tcPr>
          <w:p w14:paraId="6A3D03CB">
            <w:pPr>
              <w:widowControl/>
              <w:snapToGrid w:val="0"/>
              <w:jc w:val="center"/>
              <w:rPr>
                <w:color w:val="000000"/>
                <w:kern w:val="0"/>
                <w:sz w:val="22"/>
                <w:szCs w:val="22"/>
              </w:rPr>
            </w:pPr>
            <w:r>
              <w:rPr>
                <w:color w:val="000000"/>
                <w:kern w:val="0"/>
                <w:sz w:val="22"/>
                <w:szCs w:val="22"/>
              </w:rPr>
              <w:t>制度执行</w:t>
            </w:r>
          </w:p>
          <w:p w14:paraId="01FFC1C8">
            <w:pPr>
              <w:widowControl/>
              <w:snapToGrid w:val="0"/>
              <w:jc w:val="center"/>
              <w:rPr>
                <w:color w:val="000000"/>
                <w:kern w:val="0"/>
                <w:sz w:val="22"/>
                <w:szCs w:val="22"/>
              </w:rPr>
            </w:pPr>
            <w:r>
              <w:rPr>
                <w:color w:val="000000"/>
                <w:kern w:val="0"/>
                <w:sz w:val="22"/>
                <w:szCs w:val="22"/>
              </w:rPr>
              <w:t>有效性</w:t>
            </w:r>
          </w:p>
        </w:tc>
        <w:tc>
          <w:tcPr>
            <w:tcW w:w="1122" w:type="pct"/>
            <w:shd w:val="clear" w:color="000000" w:fill="FFFFFF"/>
            <w:vAlign w:val="center"/>
          </w:tcPr>
          <w:p w14:paraId="55E8598F">
            <w:pPr>
              <w:widowControl/>
              <w:snapToGrid w:val="0"/>
              <w:rPr>
                <w:color w:val="000000"/>
                <w:kern w:val="0"/>
                <w:sz w:val="22"/>
                <w:szCs w:val="22"/>
              </w:rPr>
            </w:pPr>
            <w:r>
              <w:rPr>
                <w:color w:val="000000"/>
                <w:kern w:val="0"/>
                <w:sz w:val="22"/>
                <w:szCs w:val="22"/>
              </w:rPr>
              <w:t>项目实施是否符合相关管理规定，用以反映和考核相关管理制度的有效执行情况。</w:t>
            </w:r>
          </w:p>
        </w:tc>
        <w:tc>
          <w:tcPr>
            <w:tcW w:w="2347" w:type="pct"/>
            <w:shd w:val="clear" w:color="000000" w:fill="FFFFFF"/>
            <w:vAlign w:val="center"/>
          </w:tcPr>
          <w:p w14:paraId="78145E4E">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263" w:type="pct"/>
            <w:shd w:val="clear" w:color="000000" w:fill="FFFFFF"/>
            <w:vAlign w:val="center"/>
          </w:tcPr>
          <w:p w14:paraId="0826F444">
            <w:pPr>
              <w:widowControl/>
              <w:snapToGrid w:val="0"/>
              <w:jc w:val="center"/>
              <w:rPr>
                <w:b/>
                <w:bCs/>
                <w:color w:val="000000"/>
                <w:kern w:val="0"/>
                <w:sz w:val="22"/>
                <w:szCs w:val="22"/>
              </w:rPr>
            </w:pPr>
            <w:r>
              <w:rPr>
                <w:b/>
                <w:bCs/>
                <w:color w:val="000000"/>
                <w:kern w:val="0"/>
                <w:sz w:val="22"/>
                <w:szCs w:val="22"/>
              </w:rPr>
              <w:t>4</w:t>
            </w:r>
          </w:p>
        </w:tc>
        <w:tc>
          <w:tcPr>
            <w:tcW w:w="294" w:type="pct"/>
            <w:shd w:val="clear" w:color="000000" w:fill="FFFFFF"/>
            <w:vAlign w:val="center"/>
          </w:tcPr>
          <w:p w14:paraId="621FEF58">
            <w:pPr>
              <w:widowControl/>
              <w:snapToGrid w:val="0"/>
              <w:jc w:val="center"/>
              <w:rPr>
                <w:b/>
                <w:bCs/>
                <w:color w:val="000000"/>
                <w:kern w:val="0"/>
                <w:sz w:val="22"/>
                <w:szCs w:val="22"/>
              </w:rPr>
            </w:pPr>
            <w:r>
              <w:rPr>
                <w:rFonts w:hint="eastAsia"/>
                <w:b/>
                <w:bCs/>
                <w:color w:val="000000"/>
                <w:kern w:val="0"/>
                <w:sz w:val="22"/>
                <w:szCs w:val="22"/>
              </w:rPr>
              <w:t>3</w:t>
            </w:r>
          </w:p>
        </w:tc>
      </w:tr>
      <w:tr w14:paraId="2F2D0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0" w:hRule="atLeast"/>
          <w:jc w:val="center"/>
        </w:trPr>
        <w:tc>
          <w:tcPr>
            <w:tcW w:w="328" w:type="pct"/>
            <w:vMerge w:val="restart"/>
            <w:shd w:val="clear" w:color="auto" w:fill="FFFFFF"/>
            <w:vAlign w:val="center"/>
          </w:tcPr>
          <w:p w14:paraId="189FC680">
            <w:pPr>
              <w:widowControl/>
              <w:snapToGrid w:val="0"/>
              <w:jc w:val="center"/>
              <w:rPr>
                <w:color w:val="000000"/>
                <w:kern w:val="0"/>
                <w:sz w:val="22"/>
                <w:szCs w:val="22"/>
              </w:rPr>
            </w:pPr>
            <w:r>
              <w:rPr>
                <w:color w:val="000000"/>
                <w:kern w:val="0"/>
                <w:sz w:val="22"/>
                <w:szCs w:val="22"/>
              </w:rPr>
              <w:t>产出</w:t>
            </w:r>
          </w:p>
        </w:tc>
        <w:tc>
          <w:tcPr>
            <w:tcW w:w="302" w:type="pct"/>
            <w:shd w:val="clear" w:color="auto" w:fill="FFFFFF"/>
            <w:vAlign w:val="center"/>
          </w:tcPr>
          <w:p w14:paraId="2325AC0B">
            <w:pPr>
              <w:widowControl/>
              <w:snapToGrid w:val="0"/>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40C9559B">
            <w:pPr>
              <w:widowControl/>
              <w:snapToGrid w:val="0"/>
              <w:jc w:val="center"/>
              <w:rPr>
                <w:color w:val="000000"/>
                <w:kern w:val="0"/>
                <w:sz w:val="22"/>
                <w:szCs w:val="22"/>
              </w:rPr>
            </w:pPr>
            <w:r>
              <w:rPr>
                <w:color w:val="000000"/>
                <w:kern w:val="0"/>
                <w:sz w:val="22"/>
                <w:szCs w:val="22"/>
              </w:rPr>
              <w:t>实际完成率</w:t>
            </w:r>
          </w:p>
        </w:tc>
        <w:tc>
          <w:tcPr>
            <w:tcW w:w="1122" w:type="pct"/>
            <w:shd w:val="clear" w:color="000000" w:fill="FFFFFF"/>
            <w:vAlign w:val="center"/>
          </w:tcPr>
          <w:p w14:paraId="0CA79BAC">
            <w:pPr>
              <w:widowControl/>
              <w:snapToGrid w:val="0"/>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347" w:type="pct"/>
            <w:shd w:val="clear" w:color="000000" w:fill="FFFFFF"/>
            <w:vAlign w:val="center"/>
          </w:tcPr>
          <w:p w14:paraId="299B2A87">
            <w:pPr>
              <w:widowControl/>
              <w:snapToGrid w:val="0"/>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263" w:type="pct"/>
            <w:shd w:val="clear" w:color="000000" w:fill="FFFFFF"/>
            <w:vAlign w:val="center"/>
          </w:tcPr>
          <w:p w14:paraId="669C0247">
            <w:pPr>
              <w:widowControl/>
              <w:snapToGrid w:val="0"/>
              <w:jc w:val="center"/>
              <w:rPr>
                <w:b/>
                <w:bCs/>
                <w:color w:val="000000"/>
                <w:kern w:val="0"/>
                <w:sz w:val="22"/>
                <w:szCs w:val="22"/>
              </w:rPr>
            </w:pPr>
            <w:r>
              <w:rPr>
                <w:b/>
                <w:bCs/>
                <w:color w:val="000000"/>
                <w:kern w:val="0"/>
                <w:sz w:val="22"/>
                <w:szCs w:val="22"/>
              </w:rPr>
              <w:t>10</w:t>
            </w:r>
          </w:p>
        </w:tc>
        <w:tc>
          <w:tcPr>
            <w:tcW w:w="294" w:type="pct"/>
            <w:shd w:val="clear" w:color="000000" w:fill="FFFFFF"/>
            <w:vAlign w:val="center"/>
          </w:tcPr>
          <w:p w14:paraId="61D09FF0">
            <w:pPr>
              <w:widowControl/>
              <w:snapToGrid w:val="0"/>
              <w:jc w:val="center"/>
              <w:rPr>
                <w:b/>
                <w:bCs/>
                <w:color w:val="000000"/>
                <w:kern w:val="0"/>
                <w:sz w:val="22"/>
                <w:szCs w:val="22"/>
              </w:rPr>
            </w:pPr>
            <w:r>
              <w:rPr>
                <w:rFonts w:hint="eastAsia"/>
                <w:b/>
                <w:bCs/>
                <w:color w:val="000000"/>
                <w:kern w:val="0"/>
                <w:sz w:val="22"/>
                <w:szCs w:val="22"/>
              </w:rPr>
              <w:t>10</w:t>
            </w:r>
          </w:p>
        </w:tc>
      </w:tr>
      <w:tr w14:paraId="06C4C1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8" w:type="pct"/>
            <w:vMerge w:val="continue"/>
            <w:shd w:val="clear" w:color="auto" w:fill="FFFFFF"/>
            <w:vAlign w:val="center"/>
          </w:tcPr>
          <w:p w14:paraId="1AF5AE44">
            <w:pPr>
              <w:widowControl/>
              <w:snapToGrid w:val="0"/>
              <w:jc w:val="center"/>
              <w:rPr>
                <w:color w:val="000000"/>
                <w:kern w:val="0"/>
                <w:sz w:val="22"/>
                <w:szCs w:val="22"/>
              </w:rPr>
            </w:pPr>
          </w:p>
        </w:tc>
        <w:tc>
          <w:tcPr>
            <w:tcW w:w="302" w:type="pct"/>
            <w:shd w:val="clear" w:color="auto" w:fill="FFFFFF"/>
            <w:vAlign w:val="center"/>
          </w:tcPr>
          <w:p w14:paraId="2463BE63">
            <w:pPr>
              <w:widowControl/>
              <w:snapToGrid w:val="0"/>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2CFFD033">
            <w:pPr>
              <w:widowControl/>
              <w:snapToGrid w:val="0"/>
              <w:jc w:val="center"/>
              <w:rPr>
                <w:color w:val="000000"/>
                <w:kern w:val="0"/>
                <w:sz w:val="22"/>
                <w:szCs w:val="22"/>
              </w:rPr>
            </w:pPr>
            <w:r>
              <w:rPr>
                <w:color w:val="000000"/>
                <w:kern w:val="0"/>
                <w:sz w:val="22"/>
                <w:szCs w:val="22"/>
              </w:rPr>
              <w:t>质量达标率</w:t>
            </w:r>
          </w:p>
        </w:tc>
        <w:tc>
          <w:tcPr>
            <w:tcW w:w="1122" w:type="pct"/>
            <w:shd w:val="clear" w:color="000000" w:fill="FFFFFF"/>
            <w:vAlign w:val="center"/>
          </w:tcPr>
          <w:p w14:paraId="400B2D34">
            <w:pPr>
              <w:widowControl/>
              <w:snapToGrid w:val="0"/>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347" w:type="pct"/>
            <w:shd w:val="clear" w:color="000000" w:fill="FFFFFF"/>
            <w:vAlign w:val="center"/>
          </w:tcPr>
          <w:p w14:paraId="6D357ED7">
            <w:pPr>
              <w:widowControl/>
              <w:snapToGrid w:val="0"/>
              <w:rPr>
                <w:color w:val="000000"/>
                <w:kern w:val="0"/>
                <w:sz w:val="22"/>
                <w:szCs w:val="22"/>
              </w:rPr>
            </w:pPr>
            <w:r>
              <w:rPr>
                <w:color w:val="000000"/>
                <w:kern w:val="0"/>
                <w:sz w:val="22"/>
                <w:szCs w:val="22"/>
              </w:rPr>
              <w:t>质量达标率=（质量达标产出数/实际产出数）×100%。</w:t>
            </w:r>
          </w:p>
          <w:p w14:paraId="6314C075">
            <w:pPr>
              <w:widowControl/>
              <w:snapToGrid w:val="0"/>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63" w:type="pct"/>
            <w:shd w:val="clear" w:color="000000" w:fill="FFFFFF"/>
            <w:vAlign w:val="center"/>
          </w:tcPr>
          <w:p w14:paraId="7CC002CD">
            <w:pPr>
              <w:widowControl/>
              <w:snapToGrid w:val="0"/>
              <w:jc w:val="center"/>
              <w:rPr>
                <w:b/>
                <w:bCs/>
                <w:color w:val="000000"/>
                <w:kern w:val="0"/>
                <w:sz w:val="22"/>
                <w:szCs w:val="22"/>
              </w:rPr>
            </w:pPr>
            <w:r>
              <w:rPr>
                <w:b/>
                <w:bCs/>
                <w:color w:val="000000"/>
                <w:kern w:val="0"/>
                <w:sz w:val="22"/>
                <w:szCs w:val="22"/>
              </w:rPr>
              <w:t>10</w:t>
            </w:r>
          </w:p>
        </w:tc>
        <w:tc>
          <w:tcPr>
            <w:tcW w:w="294" w:type="pct"/>
            <w:shd w:val="clear" w:color="000000" w:fill="FFFFFF"/>
            <w:vAlign w:val="center"/>
          </w:tcPr>
          <w:p w14:paraId="229063C1">
            <w:pPr>
              <w:widowControl/>
              <w:snapToGrid w:val="0"/>
              <w:jc w:val="center"/>
              <w:rPr>
                <w:b/>
                <w:bCs/>
                <w:color w:val="000000"/>
                <w:kern w:val="0"/>
                <w:sz w:val="22"/>
                <w:szCs w:val="22"/>
              </w:rPr>
            </w:pPr>
            <w:r>
              <w:rPr>
                <w:rFonts w:hint="eastAsia"/>
                <w:b/>
                <w:bCs/>
                <w:color w:val="000000"/>
                <w:kern w:val="0"/>
                <w:sz w:val="22"/>
                <w:szCs w:val="22"/>
              </w:rPr>
              <w:t>10</w:t>
            </w:r>
          </w:p>
        </w:tc>
      </w:tr>
      <w:tr w14:paraId="4BD664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39" w:hRule="atLeast"/>
          <w:jc w:val="center"/>
        </w:trPr>
        <w:tc>
          <w:tcPr>
            <w:tcW w:w="328" w:type="pct"/>
            <w:vMerge w:val="continue"/>
            <w:shd w:val="clear" w:color="auto" w:fill="FFFFFF"/>
            <w:vAlign w:val="center"/>
          </w:tcPr>
          <w:p w14:paraId="5D551D37">
            <w:pPr>
              <w:snapToGrid w:val="0"/>
              <w:jc w:val="center"/>
              <w:rPr>
                <w:color w:val="000000"/>
                <w:kern w:val="0"/>
                <w:sz w:val="22"/>
                <w:szCs w:val="22"/>
              </w:rPr>
            </w:pPr>
          </w:p>
        </w:tc>
        <w:tc>
          <w:tcPr>
            <w:tcW w:w="302" w:type="pct"/>
            <w:shd w:val="clear" w:color="auto" w:fill="FFFFFF"/>
            <w:vAlign w:val="center"/>
          </w:tcPr>
          <w:p w14:paraId="725E62F7">
            <w:pPr>
              <w:snapToGrid w:val="0"/>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46087CA4">
            <w:pPr>
              <w:widowControl/>
              <w:snapToGrid w:val="0"/>
              <w:jc w:val="center"/>
              <w:rPr>
                <w:color w:val="000000"/>
                <w:kern w:val="0"/>
                <w:sz w:val="22"/>
                <w:szCs w:val="22"/>
              </w:rPr>
            </w:pPr>
            <w:r>
              <w:rPr>
                <w:color w:val="000000"/>
                <w:kern w:val="0"/>
                <w:sz w:val="22"/>
                <w:szCs w:val="22"/>
              </w:rPr>
              <w:t>完成及时性</w:t>
            </w:r>
          </w:p>
        </w:tc>
        <w:tc>
          <w:tcPr>
            <w:tcW w:w="1122" w:type="pct"/>
            <w:shd w:val="clear" w:color="000000" w:fill="FFFFFF"/>
            <w:vAlign w:val="center"/>
          </w:tcPr>
          <w:p w14:paraId="37473514">
            <w:pPr>
              <w:widowControl/>
              <w:snapToGrid w:val="0"/>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347" w:type="pct"/>
            <w:shd w:val="clear" w:color="000000" w:fill="FFFFFF"/>
            <w:vAlign w:val="center"/>
          </w:tcPr>
          <w:p w14:paraId="1DCA515A">
            <w:pPr>
              <w:widowControl/>
              <w:snapToGrid w:val="0"/>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263" w:type="pct"/>
            <w:shd w:val="clear" w:color="000000" w:fill="FFFFFF"/>
            <w:vAlign w:val="center"/>
          </w:tcPr>
          <w:p w14:paraId="5F9A9BBC">
            <w:pPr>
              <w:widowControl/>
              <w:snapToGrid w:val="0"/>
              <w:jc w:val="center"/>
              <w:rPr>
                <w:b/>
                <w:bCs/>
                <w:color w:val="000000"/>
                <w:kern w:val="0"/>
                <w:sz w:val="22"/>
                <w:szCs w:val="22"/>
              </w:rPr>
            </w:pPr>
            <w:r>
              <w:rPr>
                <w:b/>
                <w:bCs/>
                <w:color w:val="000000"/>
                <w:kern w:val="0"/>
                <w:sz w:val="22"/>
                <w:szCs w:val="22"/>
              </w:rPr>
              <w:t>10</w:t>
            </w:r>
          </w:p>
        </w:tc>
        <w:tc>
          <w:tcPr>
            <w:tcW w:w="294" w:type="pct"/>
            <w:shd w:val="clear" w:color="000000" w:fill="FFFFFF"/>
            <w:vAlign w:val="center"/>
          </w:tcPr>
          <w:p w14:paraId="2066FA37">
            <w:pPr>
              <w:widowControl/>
              <w:snapToGrid w:val="0"/>
              <w:jc w:val="center"/>
              <w:rPr>
                <w:b/>
                <w:bCs/>
                <w:color w:val="000000"/>
                <w:kern w:val="0"/>
                <w:sz w:val="22"/>
                <w:szCs w:val="22"/>
              </w:rPr>
            </w:pPr>
            <w:r>
              <w:rPr>
                <w:rFonts w:hint="eastAsia"/>
                <w:b/>
                <w:bCs/>
                <w:color w:val="000000"/>
                <w:kern w:val="0"/>
                <w:sz w:val="22"/>
                <w:szCs w:val="22"/>
              </w:rPr>
              <w:t>10</w:t>
            </w:r>
          </w:p>
        </w:tc>
      </w:tr>
      <w:tr w14:paraId="35AA3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0" w:hRule="atLeast"/>
          <w:jc w:val="center"/>
        </w:trPr>
        <w:tc>
          <w:tcPr>
            <w:tcW w:w="328" w:type="pct"/>
            <w:vMerge w:val="continue"/>
            <w:shd w:val="clear" w:color="auto" w:fill="FFFFFF"/>
            <w:vAlign w:val="center"/>
          </w:tcPr>
          <w:p w14:paraId="4C8CB59B">
            <w:pPr>
              <w:widowControl/>
              <w:snapToGrid w:val="0"/>
              <w:jc w:val="center"/>
              <w:rPr>
                <w:color w:val="000000"/>
                <w:kern w:val="0"/>
                <w:sz w:val="22"/>
                <w:szCs w:val="22"/>
              </w:rPr>
            </w:pPr>
          </w:p>
        </w:tc>
        <w:tc>
          <w:tcPr>
            <w:tcW w:w="302" w:type="pct"/>
            <w:shd w:val="clear" w:color="auto" w:fill="FFFFFF"/>
            <w:vAlign w:val="center"/>
          </w:tcPr>
          <w:p w14:paraId="32EA886E">
            <w:pPr>
              <w:widowControl/>
              <w:snapToGrid w:val="0"/>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2D20D207">
            <w:pPr>
              <w:widowControl/>
              <w:snapToGrid w:val="0"/>
              <w:jc w:val="center"/>
              <w:rPr>
                <w:color w:val="000000"/>
                <w:kern w:val="0"/>
                <w:sz w:val="22"/>
                <w:szCs w:val="22"/>
              </w:rPr>
            </w:pPr>
            <w:r>
              <w:rPr>
                <w:color w:val="000000"/>
                <w:kern w:val="0"/>
                <w:sz w:val="22"/>
                <w:szCs w:val="22"/>
              </w:rPr>
              <w:t>成本节约率</w:t>
            </w:r>
          </w:p>
        </w:tc>
        <w:tc>
          <w:tcPr>
            <w:tcW w:w="1122" w:type="pct"/>
            <w:shd w:val="clear" w:color="000000" w:fill="FFFFFF"/>
            <w:vAlign w:val="center"/>
          </w:tcPr>
          <w:p w14:paraId="6AED5975">
            <w:pPr>
              <w:widowControl/>
              <w:snapToGrid w:val="0"/>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347" w:type="pct"/>
            <w:shd w:val="clear" w:color="000000" w:fill="FFFFFF"/>
            <w:vAlign w:val="center"/>
          </w:tcPr>
          <w:p w14:paraId="58258FD6">
            <w:pPr>
              <w:widowControl/>
              <w:snapToGrid w:val="0"/>
              <w:rPr>
                <w:color w:val="000000"/>
                <w:kern w:val="0"/>
                <w:sz w:val="22"/>
                <w:szCs w:val="22"/>
              </w:rPr>
            </w:pP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263" w:type="pct"/>
            <w:shd w:val="clear" w:color="000000" w:fill="FFFFFF"/>
            <w:vAlign w:val="center"/>
          </w:tcPr>
          <w:p w14:paraId="728132D8">
            <w:pPr>
              <w:widowControl/>
              <w:snapToGrid w:val="0"/>
              <w:jc w:val="center"/>
              <w:rPr>
                <w:b/>
                <w:bCs/>
                <w:color w:val="000000"/>
                <w:kern w:val="0"/>
                <w:sz w:val="22"/>
                <w:szCs w:val="22"/>
              </w:rPr>
            </w:pPr>
            <w:r>
              <w:rPr>
                <w:b/>
                <w:bCs/>
                <w:color w:val="000000"/>
                <w:kern w:val="0"/>
                <w:sz w:val="22"/>
                <w:szCs w:val="22"/>
              </w:rPr>
              <w:t>10</w:t>
            </w:r>
          </w:p>
        </w:tc>
        <w:tc>
          <w:tcPr>
            <w:tcW w:w="294" w:type="pct"/>
            <w:shd w:val="clear" w:color="000000" w:fill="FFFFFF"/>
            <w:vAlign w:val="center"/>
          </w:tcPr>
          <w:p w14:paraId="4359858E">
            <w:pPr>
              <w:widowControl/>
              <w:snapToGrid w:val="0"/>
              <w:jc w:val="center"/>
              <w:rPr>
                <w:b/>
                <w:bCs/>
                <w:color w:val="000000"/>
                <w:kern w:val="0"/>
                <w:sz w:val="22"/>
                <w:szCs w:val="22"/>
              </w:rPr>
            </w:pPr>
            <w:r>
              <w:rPr>
                <w:rFonts w:hint="eastAsia"/>
                <w:b/>
                <w:bCs/>
                <w:color w:val="000000"/>
                <w:kern w:val="0"/>
                <w:sz w:val="22"/>
                <w:szCs w:val="22"/>
              </w:rPr>
              <w:t>10</w:t>
            </w:r>
          </w:p>
        </w:tc>
      </w:tr>
      <w:tr w14:paraId="16A2B8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77" w:hRule="atLeast"/>
          <w:jc w:val="center"/>
        </w:trPr>
        <w:tc>
          <w:tcPr>
            <w:tcW w:w="328" w:type="pct"/>
            <w:vMerge w:val="restart"/>
            <w:shd w:val="clear" w:color="auto" w:fill="FFFFFF"/>
            <w:vAlign w:val="center"/>
          </w:tcPr>
          <w:p w14:paraId="53FDA561">
            <w:pPr>
              <w:widowControl/>
              <w:snapToGrid w:val="0"/>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2D6113D8">
            <w:pPr>
              <w:widowControl/>
              <w:snapToGrid w:val="0"/>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3323F34E">
            <w:pPr>
              <w:widowControl/>
              <w:snapToGrid w:val="0"/>
              <w:jc w:val="center"/>
              <w:rPr>
                <w:color w:val="000000"/>
                <w:kern w:val="0"/>
                <w:sz w:val="22"/>
                <w:szCs w:val="22"/>
              </w:rPr>
            </w:pPr>
            <w:r>
              <w:rPr>
                <w:color w:val="000000"/>
                <w:kern w:val="0"/>
                <w:sz w:val="22"/>
                <w:szCs w:val="22"/>
              </w:rPr>
              <w:t>实施效益</w:t>
            </w:r>
          </w:p>
        </w:tc>
        <w:tc>
          <w:tcPr>
            <w:tcW w:w="1122" w:type="pct"/>
            <w:shd w:val="clear" w:color="auto" w:fill="FFFFFF"/>
            <w:vAlign w:val="center"/>
          </w:tcPr>
          <w:p w14:paraId="6B53F641">
            <w:pPr>
              <w:widowControl/>
              <w:snapToGrid w:val="0"/>
              <w:jc w:val="left"/>
              <w:rPr>
                <w:color w:val="000000"/>
                <w:kern w:val="0"/>
                <w:sz w:val="22"/>
                <w:szCs w:val="22"/>
              </w:rPr>
            </w:pPr>
            <w:r>
              <w:rPr>
                <w:color w:val="000000"/>
                <w:kern w:val="0"/>
                <w:sz w:val="22"/>
                <w:szCs w:val="22"/>
              </w:rPr>
              <w:t>项目实施所产生的效益。</w:t>
            </w:r>
          </w:p>
        </w:tc>
        <w:tc>
          <w:tcPr>
            <w:tcW w:w="2347" w:type="pct"/>
            <w:shd w:val="clear" w:color="auto" w:fill="FFFFFF"/>
            <w:vAlign w:val="center"/>
          </w:tcPr>
          <w:p w14:paraId="72A9A0AD">
            <w:pPr>
              <w:widowControl/>
              <w:snapToGrid w:val="0"/>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263" w:type="pct"/>
            <w:shd w:val="clear" w:color="auto" w:fill="FFFFFF"/>
            <w:vAlign w:val="center"/>
          </w:tcPr>
          <w:p w14:paraId="20EA9950">
            <w:pPr>
              <w:widowControl/>
              <w:snapToGrid w:val="0"/>
              <w:jc w:val="center"/>
              <w:rPr>
                <w:b/>
                <w:bCs/>
                <w:color w:val="000000"/>
                <w:kern w:val="0"/>
                <w:sz w:val="22"/>
                <w:szCs w:val="22"/>
              </w:rPr>
            </w:pPr>
            <w:r>
              <w:rPr>
                <w:b/>
                <w:bCs/>
                <w:color w:val="000000"/>
                <w:kern w:val="0"/>
                <w:sz w:val="22"/>
                <w:szCs w:val="22"/>
              </w:rPr>
              <w:t>10</w:t>
            </w:r>
          </w:p>
        </w:tc>
        <w:tc>
          <w:tcPr>
            <w:tcW w:w="294" w:type="pct"/>
            <w:shd w:val="clear" w:color="auto" w:fill="FFFFFF"/>
            <w:vAlign w:val="center"/>
          </w:tcPr>
          <w:p w14:paraId="6E029B39">
            <w:pPr>
              <w:widowControl/>
              <w:snapToGrid w:val="0"/>
              <w:jc w:val="center"/>
              <w:rPr>
                <w:b/>
                <w:bCs/>
                <w:color w:val="000000"/>
                <w:kern w:val="0"/>
                <w:sz w:val="22"/>
                <w:szCs w:val="22"/>
              </w:rPr>
            </w:pPr>
            <w:r>
              <w:rPr>
                <w:rFonts w:hint="eastAsia"/>
                <w:b/>
                <w:bCs/>
                <w:color w:val="000000"/>
                <w:kern w:val="0"/>
                <w:sz w:val="22"/>
                <w:szCs w:val="22"/>
              </w:rPr>
              <w:t>10</w:t>
            </w:r>
          </w:p>
        </w:tc>
      </w:tr>
      <w:tr w14:paraId="105BC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32" w:hRule="atLeast"/>
          <w:jc w:val="center"/>
        </w:trPr>
        <w:tc>
          <w:tcPr>
            <w:tcW w:w="328" w:type="pct"/>
            <w:vMerge w:val="continue"/>
            <w:shd w:val="clear" w:color="auto" w:fill="FFFFFF"/>
            <w:vAlign w:val="center"/>
          </w:tcPr>
          <w:p w14:paraId="5662D20C">
            <w:pPr>
              <w:widowControl/>
              <w:snapToGrid w:val="0"/>
              <w:jc w:val="center"/>
              <w:rPr>
                <w:color w:val="000000"/>
                <w:kern w:val="0"/>
                <w:sz w:val="22"/>
                <w:szCs w:val="22"/>
              </w:rPr>
            </w:pPr>
          </w:p>
        </w:tc>
        <w:tc>
          <w:tcPr>
            <w:tcW w:w="302" w:type="pct"/>
            <w:vMerge w:val="continue"/>
            <w:shd w:val="clear" w:color="auto" w:fill="FFFFFF"/>
            <w:vAlign w:val="center"/>
          </w:tcPr>
          <w:p w14:paraId="11049287">
            <w:pPr>
              <w:widowControl/>
              <w:snapToGrid w:val="0"/>
              <w:jc w:val="center"/>
              <w:rPr>
                <w:color w:val="000000"/>
                <w:kern w:val="0"/>
                <w:sz w:val="22"/>
                <w:szCs w:val="22"/>
              </w:rPr>
            </w:pPr>
          </w:p>
        </w:tc>
        <w:tc>
          <w:tcPr>
            <w:tcW w:w="344" w:type="pct"/>
            <w:shd w:val="clear" w:color="auto" w:fill="FFFFFF"/>
            <w:vAlign w:val="center"/>
          </w:tcPr>
          <w:p w14:paraId="09D274BC">
            <w:pPr>
              <w:widowControl/>
              <w:snapToGrid w:val="0"/>
              <w:jc w:val="center"/>
              <w:rPr>
                <w:color w:val="000000"/>
                <w:kern w:val="0"/>
                <w:sz w:val="22"/>
                <w:szCs w:val="22"/>
              </w:rPr>
            </w:pPr>
            <w:r>
              <w:rPr>
                <w:color w:val="000000"/>
                <w:kern w:val="0"/>
                <w:sz w:val="22"/>
                <w:szCs w:val="22"/>
              </w:rPr>
              <w:t>满意度</w:t>
            </w:r>
          </w:p>
        </w:tc>
        <w:tc>
          <w:tcPr>
            <w:tcW w:w="1122" w:type="pct"/>
            <w:shd w:val="clear" w:color="000000" w:fill="FFFFFF"/>
            <w:vAlign w:val="center"/>
          </w:tcPr>
          <w:p w14:paraId="3AF466A1">
            <w:pPr>
              <w:widowControl/>
              <w:snapToGrid w:val="0"/>
              <w:rPr>
                <w:color w:val="000000"/>
                <w:kern w:val="0"/>
                <w:sz w:val="22"/>
                <w:szCs w:val="22"/>
              </w:rPr>
            </w:pPr>
            <w:r>
              <w:rPr>
                <w:color w:val="000000"/>
                <w:kern w:val="0"/>
                <w:sz w:val="22"/>
                <w:szCs w:val="22"/>
              </w:rPr>
              <w:t>社会公众或服务对象对项目实施效果的满意程度。</w:t>
            </w:r>
          </w:p>
        </w:tc>
        <w:tc>
          <w:tcPr>
            <w:tcW w:w="2347" w:type="pct"/>
            <w:shd w:val="clear" w:color="000000" w:fill="FFFFFF"/>
            <w:vAlign w:val="center"/>
          </w:tcPr>
          <w:p w14:paraId="199DF733">
            <w:pPr>
              <w:widowControl/>
              <w:snapToGrid w:val="0"/>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263" w:type="pct"/>
            <w:shd w:val="clear" w:color="000000" w:fill="FFFFFF"/>
            <w:vAlign w:val="center"/>
          </w:tcPr>
          <w:p w14:paraId="1D4A1625">
            <w:pPr>
              <w:widowControl/>
              <w:snapToGrid w:val="0"/>
              <w:jc w:val="center"/>
              <w:rPr>
                <w:b/>
                <w:bCs/>
                <w:color w:val="000000"/>
                <w:kern w:val="0"/>
                <w:sz w:val="22"/>
                <w:szCs w:val="22"/>
              </w:rPr>
            </w:pPr>
            <w:r>
              <w:rPr>
                <w:b/>
                <w:bCs/>
                <w:color w:val="000000"/>
                <w:kern w:val="0"/>
                <w:sz w:val="22"/>
                <w:szCs w:val="22"/>
              </w:rPr>
              <w:t>10</w:t>
            </w:r>
          </w:p>
        </w:tc>
        <w:tc>
          <w:tcPr>
            <w:tcW w:w="294" w:type="pct"/>
            <w:shd w:val="clear" w:color="000000" w:fill="FFFFFF"/>
            <w:vAlign w:val="center"/>
          </w:tcPr>
          <w:p w14:paraId="0F0FBFA7">
            <w:pPr>
              <w:widowControl/>
              <w:snapToGrid w:val="0"/>
              <w:jc w:val="center"/>
              <w:rPr>
                <w:b/>
                <w:bCs/>
                <w:color w:val="000000"/>
                <w:kern w:val="0"/>
                <w:sz w:val="22"/>
                <w:szCs w:val="22"/>
              </w:rPr>
            </w:pPr>
            <w:r>
              <w:rPr>
                <w:rFonts w:hint="eastAsia"/>
                <w:b/>
                <w:bCs/>
                <w:color w:val="000000"/>
                <w:kern w:val="0"/>
                <w:sz w:val="22"/>
                <w:szCs w:val="22"/>
              </w:rPr>
              <w:t>10</w:t>
            </w:r>
          </w:p>
        </w:tc>
      </w:tr>
    </w:tbl>
    <w:p w14:paraId="4F8772FB"/>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72F7BB4">
        <w:pPr>
          <w:pStyle w:val="8"/>
          <w:jc w:val="center"/>
        </w:pPr>
        <w:r>
          <w:fldChar w:fldCharType="begin"/>
        </w:r>
        <w:r>
          <w:instrText xml:space="preserve">PAGE   \* MERGEFORMAT</w:instrText>
        </w:r>
        <w:r>
          <w:fldChar w:fldCharType="separate"/>
        </w:r>
        <w:r>
          <w:rPr>
            <w:lang w:val="zh-CN"/>
          </w:rPr>
          <w:t>13</w:t>
        </w:r>
        <w:r>
          <w:fldChar w:fldCharType="end"/>
        </w:r>
      </w:p>
    </w:sdtContent>
  </w:sdt>
  <w:p w14:paraId="52CAC2FE">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001A60"/>
    <w:rsid w:val="0005364D"/>
    <w:rsid w:val="000565F6"/>
    <w:rsid w:val="00077B17"/>
    <w:rsid w:val="000B3D7B"/>
    <w:rsid w:val="0016758A"/>
    <w:rsid w:val="001816FB"/>
    <w:rsid w:val="00195D3B"/>
    <w:rsid w:val="001B1A7F"/>
    <w:rsid w:val="001F0433"/>
    <w:rsid w:val="002444EF"/>
    <w:rsid w:val="00253D6A"/>
    <w:rsid w:val="00297D91"/>
    <w:rsid w:val="00310390"/>
    <w:rsid w:val="00311C62"/>
    <w:rsid w:val="003925C1"/>
    <w:rsid w:val="00410EE6"/>
    <w:rsid w:val="004169F4"/>
    <w:rsid w:val="004278E4"/>
    <w:rsid w:val="00492A06"/>
    <w:rsid w:val="004A2722"/>
    <w:rsid w:val="00503731"/>
    <w:rsid w:val="00507A98"/>
    <w:rsid w:val="00511209"/>
    <w:rsid w:val="00560F0C"/>
    <w:rsid w:val="005B0300"/>
    <w:rsid w:val="005C41FA"/>
    <w:rsid w:val="005C6AF0"/>
    <w:rsid w:val="00650126"/>
    <w:rsid w:val="00650924"/>
    <w:rsid w:val="00650A0D"/>
    <w:rsid w:val="00691E9D"/>
    <w:rsid w:val="006C520E"/>
    <w:rsid w:val="006F7242"/>
    <w:rsid w:val="00732E0C"/>
    <w:rsid w:val="007872EA"/>
    <w:rsid w:val="007B168A"/>
    <w:rsid w:val="007F38F5"/>
    <w:rsid w:val="00807EBA"/>
    <w:rsid w:val="0084099B"/>
    <w:rsid w:val="00860DEC"/>
    <w:rsid w:val="00887EF9"/>
    <w:rsid w:val="008B2CFE"/>
    <w:rsid w:val="008C5545"/>
    <w:rsid w:val="0094506F"/>
    <w:rsid w:val="0096370E"/>
    <w:rsid w:val="009C530C"/>
    <w:rsid w:val="00A26AAE"/>
    <w:rsid w:val="00A421F7"/>
    <w:rsid w:val="00B34675"/>
    <w:rsid w:val="00B37CE1"/>
    <w:rsid w:val="00B83FD4"/>
    <w:rsid w:val="00B92917"/>
    <w:rsid w:val="00BC4DC4"/>
    <w:rsid w:val="00DB4941"/>
    <w:rsid w:val="00DD3713"/>
    <w:rsid w:val="00DF1B19"/>
    <w:rsid w:val="00E7247F"/>
    <w:rsid w:val="00F04230"/>
    <w:rsid w:val="00F26FF6"/>
    <w:rsid w:val="00F27059"/>
    <w:rsid w:val="00F66864"/>
    <w:rsid w:val="00FD00DF"/>
    <w:rsid w:val="00FE5190"/>
    <w:rsid w:val="07397B77"/>
    <w:rsid w:val="13471461"/>
    <w:rsid w:val="13B90F01"/>
    <w:rsid w:val="181066D2"/>
    <w:rsid w:val="1C671E73"/>
    <w:rsid w:val="38CA40DD"/>
    <w:rsid w:val="395F2B56"/>
    <w:rsid w:val="39C6363B"/>
    <w:rsid w:val="3BECE841"/>
    <w:rsid w:val="3FF7797D"/>
    <w:rsid w:val="468E3747"/>
    <w:rsid w:val="52FF7DDC"/>
    <w:rsid w:val="5BFF6039"/>
    <w:rsid w:val="5D76A616"/>
    <w:rsid w:val="5D7F20B9"/>
    <w:rsid w:val="5DAC7D0E"/>
    <w:rsid w:val="5F98B5AF"/>
    <w:rsid w:val="5FFE8511"/>
    <w:rsid w:val="5FFEACE2"/>
    <w:rsid w:val="643EE26D"/>
    <w:rsid w:val="6F5C41AC"/>
    <w:rsid w:val="6FAF6C78"/>
    <w:rsid w:val="7317C656"/>
    <w:rsid w:val="734ED73F"/>
    <w:rsid w:val="77FD8BE9"/>
    <w:rsid w:val="79A9BD3F"/>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2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 w:type="character" w:customStyle="1" w:styleId="23">
    <w:name w:val="标题 字符"/>
    <w:basedOn w:val="14"/>
    <w:link w:val="2"/>
    <w:qFormat/>
    <w:uiPriority w:val="10"/>
    <w:rPr>
      <w:rFonts w:cs="Times New Roman" w:asciiTheme="majorHAnsi" w:hAnsiTheme="majorHAnsi" w:eastAsiaTheme="majorEastAsia"/>
      <w:b/>
      <w:bCs/>
      <w:kern w:val="28"/>
      <w:sz w:val="32"/>
      <w:szCs w:val="32"/>
    </w:rPr>
  </w:style>
  <w:style w:type="paragraph"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9191</Words>
  <Characters>9592</Characters>
  <Lines>72</Lines>
  <Paragraphs>20</Paragraphs>
  <TotalTime>249</TotalTime>
  <ScaleCrop>false</ScaleCrop>
  <LinksUpToDate>false</LinksUpToDate>
  <CharactersWithSpaces>9606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岁月无痕</cp:lastModifiedBy>
  <dcterms:modified xsi:type="dcterms:W3CDTF">2024-08-20T02:23:01Z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DEB37354E36D40D48F20A3DAB18895C3</vt:lpwstr>
  </property>
</Properties>
</file>