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C4CD3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5C4A2CE3">
      <w:pPr>
        <w:spacing w:line="540" w:lineRule="exact"/>
        <w:rPr>
          <w:rFonts w:eastAsia="华文中宋"/>
          <w:b/>
          <w:kern w:val="0"/>
          <w:sz w:val="52"/>
          <w:szCs w:val="52"/>
        </w:rPr>
      </w:pPr>
    </w:p>
    <w:p w14:paraId="0929035C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59072808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7895E2C5">
      <w:pPr>
        <w:spacing w:line="540" w:lineRule="exact"/>
        <w:jc w:val="center"/>
        <w:rPr>
          <w:rFonts w:eastAsia="方正小标宋_GBK"/>
          <w:kern w:val="0"/>
          <w:sz w:val="48"/>
          <w:szCs w:val="48"/>
        </w:rPr>
      </w:pPr>
      <w:r>
        <w:rPr>
          <w:rFonts w:hint="eastAsia" w:eastAsia="方正小标宋_GBK"/>
          <w:kern w:val="0"/>
          <w:sz w:val="48"/>
          <w:szCs w:val="48"/>
        </w:rPr>
        <w:t>无线电校准测试场和固定监测站维修维护</w:t>
      </w:r>
      <w:r>
        <w:rPr>
          <w:rFonts w:eastAsia="方正小标宋_GBK"/>
          <w:kern w:val="0"/>
          <w:sz w:val="48"/>
          <w:szCs w:val="48"/>
        </w:rPr>
        <w:t>项目支出绩效评价报告</w:t>
      </w:r>
    </w:p>
    <w:p w14:paraId="3865C3DD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267FA1D8">
      <w:pPr>
        <w:spacing w:line="540" w:lineRule="exact"/>
        <w:jc w:val="center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（ 202</w:t>
      </w:r>
      <w:r>
        <w:rPr>
          <w:rFonts w:hint="eastAsia" w:eastAsia="仿宋_GB2312"/>
          <w:kern w:val="0"/>
          <w:sz w:val="36"/>
          <w:szCs w:val="36"/>
        </w:rPr>
        <w:t>3</w:t>
      </w:r>
      <w:r>
        <w:rPr>
          <w:rFonts w:eastAsia="仿宋_GB2312"/>
          <w:kern w:val="0"/>
          <w:sz w:val="36"/>
          <w:szCs w:val="36"/>
        </w:rPr>
        <w:t>年度）</w:t>
      </w:r>
    </w:p>
    <w:p w14:paraId="3BDAC307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0C23A54D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681675F5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608D848F">
      <w:pPr>
        <w:pStyle w:val="2"/>
      </w:pPr>
    </w:p>
    <w:p w14:paraId="2611CC7F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243E17C6">
      <w:pPr>
        <w:spacing w:line="540" w:lineRule="exact"/>
        <w:rPr>
          <w:rFonts w:eastAsia="仿宋_GB2312"/>
          <w:kern w:val="0"/>
          <w:sz w:val="30"/>
          <w:szCs w:val="30"/>
        </w:rPr>
      </w:pPr>
    </w:p>
    <w:p w14:paraId="791BE79F">
      <w:pPr>
        <w:spacing w:line="700" w:lineRule="exact"/>
        <w:ind w:firstLine="565" w:firstLineChars="157"/>
        <w:jc w:val="left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项目名称：</w:t>
      </w:r>
      <w:r>
        <w:rPr>
          <w:rFonts w:hint="eastAsia" w:eastAsia="仿宋_GB2312"/>
          <w:kern w:val="0"/>
          <w:sz w:val="36"/>
          <w:szCs w:val="36"/>
        </w:rPr>
        <w:t>无线电校准测试场和固定监测站维修维护</w:t>
      </w:r>
    </w:p>
    <w:p w14:paraId="42507E2E">
      <w:pPr>
        <w:spacing w:line="700" w:lineRule="exact"/>
        <w:ind w:firstLine="565" w:firstLineChars="157"/>
        <w:jc w:val="left"/>
        <w:rPr>
          <w:rFonts w:hint="default" w:eastAsia="仿宋_GB2312"/>
          <w:kern w:val="0"/>
          <w:sz w:val="36"/>
          <w:szCs w:val="36"/>
          <w:lang w:val="en-US" w:eastAsia="zh-CN"/>
        </w:rPr>
      </w:pPr>
      <w:r>
        <w:rPr>
          <w:rFonts w:eastAsia="仿宋_GB2312"/>
          <w:kern w:val="0"/>
          <w:sz w:val="36"/>
          <w:szCs w:val="36"/>
        </w:rPr>
        <w:t>实施单位（公章）：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新疆维吾尔自治区</w:t>
      </w:r>
      <w:r>
        <w:rPr>
          <w:rFonts w:hint="eastAsia" w:ascii="仿宋_GB2312" w:hAnsi="宋体" w:cs="宋体"/>
          <w:kern w:val="0"/>
          <w:sz w:val="32"/>
          <w:szCs w:val="32"/>
          <w:lang w:val="en-US" w:eastAsia="zh-CN"/>
        </w:rPr>
        <w:t>无线电监测中心</w:t>
      </w:r>
    </w:p>
    <w:p w14:paraId="4A80CF2E">
      <w:pPr>
        <w:spacing w:line="700" w:lineRule="exact"/>
        <w:ind w:firstLine="565" w:firstLineChars="157"/>
        <w:jc w:val="left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主管部门（公章）：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新疆维吾尔自治区工业和信息化厅</w:t>
      </w:r>
    </w:p>
    <w:p w14:paraId="4476679B">
      <w:pPr>
        <w:spacing w:line="700" w:lineRule="exact"/>
        <w:ind w:firstLine="565" w:firstLineChars="157"/>
        <w:jc w:val="left"/>
        <w:rPr>
          <w:rFonts w:hint="eastAsia" w:eastAsia="仿宋_GB2312"/>
          <w:kern w:val="0"/>
          <w:sz w:val="36"/>
          <w:szCs w:val="36"/>
          <w:lang w:eastAsia="zh-CN"/>
        </w:rPr>
      </w:pPr>
      <w:r>
        <w:rPr>
          <w:rFonts w:eastAsia="仿宋_GB2312"/>
          <w:kern w:val="0"/>
          <w:sz w:val="36"/>
          <w:szCs w:val="36"/>
        </w:rPr>
        <w:t>项目负责人（签章）：</w:t>
      </w:r>
      <w:r>
        <w:rPr>
          <w:rFonts w:hint="eastAsia" w:ascii="仿宋_GB2312" w:hAnsi="宋体" w:cs="宋体"/>
          <w:kern w:val="0"/>
          <w:sz w:val="32"/>
          <w:szCs w:val="32"/>
          <w:lang w:val="en-US" w:eastAsia="zh-CN"/>
        </w:rPr>
        <w:t>杨  勇</w:t>
      </w:r>
    </w:p>
    <w:p w14:paraId="56E8840C">
      <w:pPr>
        <w:spacing w:line="700" w:lineRule="exact"/>
        <w:ind w:firstLine="565" w:firstLineChars="157"/>
        <w:jc w:val="left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填报时间：</w:t>
      </w:r>
      <w:r>
        <w:rPr>
          <w:rFonts w:hint="eastAsia" w:eastAsia="仿宋_GB2312"/>
          <w:kern w:val="0"/>
          <w:sz w:val="36"/>
          <w:szCs w:val="36"/>
        </w:rPr>
        <w:t>2024</w:t>
      </w:r>
      <w:r>
        <w:rPr>
          <w:rFonts w:eastAsia="仿宋_GB2312"/>
          <w:kern w:val="0"/>
          <w:sz w:val="36"/>
          <w:szCs w:val="36"/>
        </w:rPr>
        <w:t>年</w:t>
      </w:r>
      <w:r>
        <w:rPr>
          <w:rFonts w:hint="eastAsia" w:eastAsia="仿宋_GB2312"/>
          <w:kern w:val="0"/>
          <w:sz w:val="36"/>
          <w:szCs w:val="36"/>
        </w:rPr>
        <w:t>3</w:t>
      </w:r>
      <w:r>
        <w:rPr>
          <w:rFonts w:eastAsia="仿宋_GB2312"/>
          <w:kern w:val="0"/>
          <w:sz w:val="36"/>
          <w:szCs w:val="36"/>
        </w:rPr>
        <w:t>月</w:t>
      </w:r>
      <w:r>
        <w:rPr>
          <w:rFonts w:hint="eastAsia" w:eastAsia="仿宋_GB2312"/>
          <w:kern w:val="0"/>
          <w:sz w:val="36"/>
          <w:szCs w:val="36"/>
        </w:rPr>
        <w:t>8</w:t>
      </w:r>
      <w:r>
        <w:rPr>
          <w:rFonts w:eastAsia="仿宋_GB2312"/>
          <w:kern w:val="0"/>
          <w:sz w:val="36"/>
          <w:szCs w:val="36"/>
        </w:rPr>
        <w:t>日</w:t>
      </w:r>
    </w:p>
    <w:p w14:paraId="7D1CD2AF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2D72666F">
      <w:pPr>
        <w:spacing w:line="540" w:lineRule="exact"/>
        <w:rPr>
          <w:rStyle w:val="9"/>
          <w:rFonts w:eastAsia="黑体"/>
          <w:b w:val="0"/>
          <w:spacing w:val="-4"/>
          <w:sz w:val="32"/>
          <w:szCs w:val="32"/>
        </w:rPr>
      </w:pPr>
    </w:p>
    <w:p w14:paraId="78803A21">
      <w:pPr>
        <w:jc w:val="both"/>
        <w:rPr>
          <w:rFonts w:hint="eastAsia" w:ascii="宋体" w:hAnsi="宋体" w:eastAsia="宋体" w:cs="Arial"/>
          <w:b/>
          <w:bCs/>
          <w:sz w:val="36"/>
          <w:szCs w:val="36"/>
        </w:rPr>
      </w:pPr>
    </w:p>
    <w:p w14:paraId="024E1EDD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项目支出绩效评价报告</w:t>
      </w:r>
    </w:p>
    <w:p w14:paraId="4F05C73F">
      <w:pPr>
        <w:jc w:val="both"/>
        <w:rPr>
          <w:rFonts w:ascii="仿宋_GB2312"/>
          <w:szCs w:val="30"/>
        </w:rPr>
      </w:pPr>
      <w:bookmarkStart w:id="0" w:name="_GoBack"/>
      <w:bookmarkEnd w:id="0"/>
    </w:p>
    <w:p w14:paraId="16533DD8">
      <w:pPr>
        <w:spacing w:line="600" w:lineRule="exact"/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一、基本情况</w:t>
      </w:r>
    </w:p>
    <w:p w14:paraId="3C1E5093">
      <w:pPr>
        <w:spacing w:line="600" w:lineRule="exact"/>
        <w:ind w:firstLine="600" w:firstLineChars="200"/>
        <w:outlineLvl w:val="0"/>
        <w:rPr>
          <w:rFonts w:hint="eastAsia" w:ascii="仿宋_GB2312"/>
          <w:color w:val="auto"/>
        </w:rPr>
      </w:pPr>
      <w:r>
        <w:rPr>
          <w:rFonts w:hint="eastAsia" w:ascii="仿宋_GB2312"/>
          <w:color w:val="auto"/>
        </w:rPr>
        <w:t>（一）项目概况。</w:t>
      </w:r>
    </w:p>
    <w:p w14:paraId="69D6691D">
      <w:pPr>
        <w:spacing w:line="600" w:lineRule="exact"/>
        <w:ind w:firstLine="602" w:firstLineChars="200"/>
        <w:outlineLvl w:val="0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</w:pPr>
      <w:r>
        <w:rPr>
          <w:rFonts w:hint="eastAsia" w:ascii="仿宋_GB2312"/>
          <w:b/>
          <w:bCs/>
          <w:lang w:val="en-US" w:eastAsia="zh-CN"/>
        </w:rPr>
        <w:t>1.</w:t>
      </w:r>
      <w:r>
        <w:rPr>
          <w:rFonts w:hint="eastAsia" w:ascii="仿宋_GB2312"/>
          <w:b/>
          <w:bCs/>
        </w:rPr>
        <w:t>项目背景</w:t>
      </w:r>
      <w:r>
        <w:rPr>
          <w:rFonts w:hint="eastAsia" w:ascii="仿宋_GB2312"/>
          <w:b/>
          <w:bCs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围绕“管频谱资源、管无线电台（站）、管空中电波秩序，服务经济社会发展、服务国防建设、服务党政机关，突出做好重点无线电安全保障工作”的宗旨，为稳步推进无线电设备设施运行维护、重大活动无线电安全保障、航空及铁路无线电频率保护以及无线电干扰查处、无线电频率协调、考试保障等各项无线电专项监管工作的开展，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</w:rPr>
        <w:t>根据20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  <w:lang w:val="en-US" w:eastAsia="zh-CN"/>
        </w:rPr>
        <w:t>23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</w:rPr>
        <w:t>年自治区无线电安全保障工作总体要求，结合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  <w:lang w:eastAsia="zh-CN"/>
        </w:rPr>
        <w:t>新疆维吾尔自治区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自治区无线电监测中心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</w:rPr>
        <w:t>工作计划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纳入20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23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年部门预算，申报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非结转结余项目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预算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28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万元，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用于无线电校准测试场和固定监测站维修维护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使其达到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良好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状态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保证无线电监测业务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正常有效实施，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  <w:lang w:eastAsia="zh-CN"/>
        </w:rPr>
        <w:t>消除安全隐患，保证无线电专业设备正常运转，发挥我中心专业优势，更好服务经济发展。</w:t>
      </w:r>
    </w:p>
    <w:p w14:paraId="7B374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</w:pPr>
      <w:r>
        <w:rPr>
          <w:rFonts w:hint="eastAsia" w:ascii="仿宋_GB2312"/>
          <w:b/>
          <w:bCs/>
          <w:lang w:val="en-US" w:eastAsia="zh-CN"/>
        </w:rPr>
        <w:t>2.主要内容：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根据202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年自治区无线电安全保障工作总体要求，结合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监测中心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无线电工作计划，纳入202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年部门预算，申报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无线电校准测试场和固定监测站维修维护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预算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保证无线电监测业务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正常有效实施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。</w:t>
      </w:r>
    </w:p>
    <w:p w14:paraId="36220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3.实施情况：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项目目前已经完成实际设立的目标，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且在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实施过程中严格按照目标设立的各阶段任务展开工作，在前期立项过程中严格把质量关，建立安全防护机制，保证项目实施各阶段安全顺利进行。</w:t>
      </w:r>
    </w:p>
    <w:p w14:paraId="78887F9C">
      <w:pPr>
        <w:pStyle w:val="3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24"/>
          <w:lang w:val="en-US" w:eastAsia="zh-CN" w:bidi="ar-SA"/>
        </w:rPr>
        <w:t>4.资金投入和使用情况：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zh-CN" w:eastAsia="zh-CN" w:bidi="ar-SA"/>
        </w:rPr>
        <w:t>项目总投资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zh-CN" w:eastAsia="zh-CN" w:bidi="ar-SA"/>
        </w:rPr>
        <w:t>万元，其中：财政本级资金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zh-CN" w:eastAsia="zh-CN" w:bidi="ar-SA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其他资金28万元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zh-CN" w:eastAsia="zh-CN" w:bidi="ar-SA"/>
        </w:rPr>
        <w:t>。项目实际支出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zh-CN" w:eastAsia="zh-CN" w:bidi="ar-SA"/>
        </w:rPr>
        <w:t>万元，支出率为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zh-CN" w:eastAsia="zh-CN" w:bidi="ar-SA"/>
        </w:rPr>
        <w:t>0%，完成绩效目标任务且正常投入使用。</w:t>
      </w:r>
    </w:p>
    <w:p w14:paraId="2DA37C8D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_GB2312"/>
          <w:color w:val="auto"/>
        </w:rPr>
      </w:pPr>
      <w:r>
        <w:rPr>
          <w:rFonts w:hint="eastAsia" w:ascii="仿宋_GB2312"/>
          <w:color w:val="auto"/>
        </w:rPr>
        <w:t>（二）项目绩效目标。</w:t>
      </w:r>
    </w:p>
    <w:p w14:paraId="764AFD49">
      <w:pPr>
        <w:spacing w:line="600" w:lineRule="exact"/>
        <w:ind w:firstLine="602" w:firstLineChars="200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24"/>
          <w:lang w:val="en-US" w:eastAsia="zh-CN" w:bidi="ar-SA"/>
        </w:rPr>
        <w:t>1.总体目标：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围绕“管频谱资源、管无线电台（站）、管空中电波秩序，服务经济社会发展、服务国防建设、服务党政机关，突出做好重点无线电安全保障工作”的宗旨，为稳步推进无线电设备设施运行维护、重大活动无线电安全保障、航空及铁路无线电频率保护以及无线电干扰查处、无线电频率协调、考试保障等各项无线电专项监管工作的开展，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</w:rPr>
        <w:t>根据20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  <w:lang w:val="en-US" w:eastAsia="zh-CN"/>
        </w:rPr>
        <w:t>23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</w:rPr>
        <w:t>年自治区无线电安全保障工作总体要求，结合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  <w:lang w:eastAsia="zh-CN"/>
        </w:rPr>
        <w:t>新疆维吾尔自治区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自治区无线电监测中心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</w:rPr>
        <w:t>工作计划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纳入20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23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年部门预算，申报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非结转结余项目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预算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28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</w:rPr>
        <w:t>万元，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用于无线电校准测试场和固定监测站维修维护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，</w:t>
      </w:r>
      <w:r>
        <w:rPr>
          <w:rStyle w:val="9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highlight w:val="none"/>
          <w:lang w:eastAsia="zh-CN"/>
        </w:rPr>
        <w:t>回填无线电校准测试场机房外围散水塌陷，平整修复周边地面，粉刷三面墙体；平整硬化安宁渠固定监测站外围地面；粉刷5个固定监测站，并更新维修老化电线、灯具、插座和防盗门。无线电校准测试场和5个固定监测站维修工程的实施将进一步改善机房内外部环境，消除安全隐患，保证无线电专业设备正常运转，发挥我中心专业优势，更好服务经济发展。</w:t>
      </w:r>
    </w:p>
    <w:p w14:paraId="30D69F2F">
      <w:pPr>
        <w:pStyle w:val="3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highlight w:val="none"/>
          <w:lang w:val="zh-CN" w:eastAsia="zh-CN" w:bidi="ar-SA"/>
        </w:rPr>
      </w:pPr>
    </w:p>
    <w:p w14:paraId="080EDCFE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textAlignment w:val="auto"/>
        <w:rPr>
          <w:rFonts w:hint="eastAsia" w:ascii="仿宋_GB2312" w:hAnsi="Times New Roman" w:cs="Times New Roman"/>
          <w:b/>
          <w:bCs/>
          <w:kern w:val="2"/>
          <w:sz w:val="30"/>
          <w:szCs w:val="24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24"/>
          <w:lang w:val="en-US" w:eastAsia="zh-CN" w:bidi="ar-SA"/>
        </w:rPr>
        <w:t>2.阶段性目标</w:t>
      </w:r>
      <w:r>
        <w:rPr>
          <w:rFonts w:hint="eastAsia" w:ascii="仿宋_GB2312" w:hAnsi="Times New Roman" w:cs="Times New Roman"/>
          <w:b/>
          <w:bCs/>
          <w:kern w:val="2"/>
          <w:sz w:val="30"/>
          <w:szCs w:val="24"/>
          <w:lang w:val="en-US" w:eastAsia="zh-CN" w:bidi="ar-SA"/>
        </w:rPr>
        <w:t>：</w:t>
      </w:r>
    </w:p>
    <w:p w14:paraId="73BA0D66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（1）前期准备：通过制定项目实施方案，经项目负责人审核通过后，有序开展后续工作。</w:t>
      </w:r>
    </w:p>
    <w:p w14:paraId="4F5BDB92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eastAsia="仿宋_GB2312"/>
          <w:sz w:val="32"/>
          <w:szCs w:val="32"/>
          <w:highlight w:val="none"/>
        </w:rPr>
        <w:t>（</w:t>
      </w:r>
      <w:r>
        <w:rPr>
          <w:rFonts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2）组织实施：资金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按预算进度调整</w:t>
      </w:r>
      <w:r>
        <w:rPr>
          <w:rFonts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到位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后</w:t>
      </w:r>
      <w:r>
        <w:rPr>
          <w:rFonts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，立即根据项目要求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展开</w:t>
      </w:r>
      <w:r>
        <w:rPr>
          <w:rFonts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实施。项目责任人按照项目实施方案要求逐一进行项目部署安排，提高项目质量及效率性。</w:t>
      </w:r>
    </w:p>
    <w:p w14:paraId="73571F51">
      <w:pPr>
        <w:spacing w:line="600" w:lineRule="exact"/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二、绩效评价工作开展情况</w:t>
      </w:r>
    </w:p>
    <w:p w14:paraId="02F72669">
      <w:pPr>
        <w:spacing w:line="600" w:lineRule="exact"/>
        <w:ind w:firstLine="600" w:firstLineChars="200"/>
        <w:rPr>
          <w:rFonts w:hint="eastAsia" w:ascii="仿宋_GB2312"/>
          <w:color w:val="auto"/>
        </w:rPr>
      </w:pPr>
      <w:r>
        <w:rPr>
          <w:rFonts w:hint="eastAsia" w:ascii="仿宋_GB2312"/>
          <w:color w:val="auto"/>
        </w:rPr>
        <w:t>（一）绩效评价目的、对象和范围。</w:t>
      </w:r>
    </w:p>
    <w:p w14:paraId="09ACB3B2">
      <w:pPr>
        <w:pStyle w:val="2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1、绩效评价的目的</w:t>
      </w:r>
    </w:p>
    <w:p w14:paraId="3FF8E60F">
      <w:pPr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财政支出绩效评价运用科学、规范的绩效评价方法，制定统一的评价标准，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</w:p>
    <w:p w14:paraId="341C96AE">
      <w:pPr>
        <w:numPr>
          <w:ilvl w:val="0"/>
          <w:numId w:val="1"/>
        </w:numPr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项目在实施前向项目负责人提供财政支出绩效方面的资金管理信息，促进项目支出严格按照资金管理规定进行。</w:t>
      </w:r>
    </w:p>
    <w:p w14:paraId="788BB11E">
      <w:pPr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（2）项目绩效管理财政支出运行提供及时、有效的信息。</w:t>
      </w:r>
    </w:p>
    <w:p w14:paraId="1B6A3576">
      <w:pPr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综合来看，通过开展有效的财政支出绩效评价管理，达到改进预算管理、控制节约成本，提高预算资金使用效益的目的。</w:t>
      </w:r>
    </w:p>
    <w:p w14:paraId="4DDC1736">
      <w:pPr>
        <w:pStyle w:val="2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2、绩效评价的对象</w:t>
      </w:r>
    </w:p>
    <w:p w14:paraId="1D0081FD">
      <w:pPr>
        <w:spacing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项目所包含的全部项目内容。</w:t>
      </w:r>
    </w:p>
    <w:p w14:paraId="47F70ACB">
      <w:pPr>
        <w:pStyle w:val="2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3、绩效评价的范围</w:t>
      </w:r>
    </w:p>
    <w:p w14:paraId="49E00BD7">
      <w:pPr>
        <w:spacing w:line="576" w:lineRule="exact"/>
        <w:ind w:firstLine="640" w:firstLineChars="200"/>
      </w:pP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highlight w:val="none"/>
          <w:lang w:val="zh-CN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项目的决策、过程、产出、效益等。</w:t>
      </w:r>
    </w:p>
    <w:p w14:paraId="1CC77FA7">
      <w:pPr>
        <w:numPr>
          <w:ilvl w:val="0"/>
          <w:numId w:val="2"/>
        </w:numPr>
        <w:spacing w:line="600" w:lineRule="exact"/>
        <w:ind w:firstLine="600" w:firstLineChars="200"/>
        <w:rPr>
          <w:rFonts w:hint="eastAsia" w:ascii="仿宋_GB2312"/>
          <w:color w:val="auto"/>
        </w:rPr>
      </w:pPr>
      <w:r>
        <w:rPr>
          <w:rFonts w:hint="eastAsia" w:ascii="仿宋_GB2312"/>
          <w:color w:val="auto"/>
        </w:rPr>
        <w:t>绩效评价原则、评价指标体系（附表说明）、评价方法、评价标准等。</w:t>
      </w:r>
    </w:p>
    <w:p w14:paraId="0C808A2E">
      <w:pPr>
        <w:pStyle w:val="2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1、绩效评价原则</w:t>
      </w:r>
    </w:p>
    <w:p w14:paraId="19A29D97">
      <w:pPr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eastAsia="仿宋_GB2312"/>
          <w:color w:val="000000"/>
          <w:sz w:val="32"/>
          <w:szCs w:val="32"/>
          <w:highlight w:val="none"/>
        </w:rPr>
        <w:t>本次项目绩效评价遵循以下基本原则：</w:t>
      </w:r>
    </w:p>
    <w:p w14:paraId="615916D5">
      <w:pPr>
        <w:pStyle w:val="2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（1）科学公正。绩效评价应当运用科学合理的方法，按照规范的程序，对项目绩效进行客观、公正的反映。</w:t>
      </w:r>
    </w:p>
    <w:p w14:paraId="5AE763C2">
      <w:pPr>
        <w:pStyle w:val="2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60E05B36">
      <w:pPr>
        <w:pStyle w:val="2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4F8C5069">
      <w:pPr>
        <w:pStyle w:val="2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（4）公开透明。绩效评价结果应依法依规公开，并自觉接受社会监督。</w:t>
      </w:r>
    </w:p>
    <w:p w14:paraId="00F72F63">
      <w:pPr>
        <w:pStyle w:val="2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2、评价指标体系</w:t>
      </w:r>
    </w:p>
    <w:p w14:paraId="31ECDAF5">
      <w:pPr>
        <w:spacing w:line="600" w:lineRule="exact"/>
        <w:ind w:firstLine="708" w:firstLineChars="200"/>
        <w:rPr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53C46411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（1）确定评价指标</w:t>
      </w:r>
    </w:p>
    <w:p w14:paraId="42A543AD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72EDEF6B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（2）确定权重</w:t>
      </w:r>
    </w:p>
    <w:p w14:paraId="3815CF35">
      <w:pPr>
        <w:spacing w:line="600" w:lineRule="exact"/>
        <w:ind w:firstLine="708" w:firstLineChars="200"/>
        <w:rPr>
          <w:rFonts w:eastAsia="仿宋_GB2312"/>
          <w:color w:val="auto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确定各个指标相对于项目总体绩效的权重分值。在绩效评价指标体系中，</w:t>
      </w:r>
      <w:r>
        <w:rPr>
          <w:rFonts w:eastAsia="仿宋_GB2312"/>
          <w:color w:val="auto"/>
          <w:spacing w:val="17"/>
          <w:sz w:val="32"/>
          <w:szCs w:val="32"/>
          <w:highlight w:val="none"/>
        </w:rPr>
        <w:t>项目决策权重为5分，项目过程权重为5分，项目产出权重为50分，项目效益权重为40分。</w:t>
      </w:r>
    </w:p>
    <w:p w14:paraId="48C1FAF6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（3）确定指标标准值</w:t>
      </w:r>
    </w:p>
    <w:p w14:paraId="04D742E1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182BD902">
      <w:pPr>
        <w:pStyle w:val="2"/>
        <w:spacing w:before="0" w:after="0" w:line="600" w:lineRule="exact"/>
        <w:ind w:firstLine="708" w:firstLineChars="200"/>
        <w:jc w:val="both"/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  <w:highlight w:val="none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  <w:highlight w:val="none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</w:p>
    <w:p w14:paraId="65B6EF4B">
      <w:pPr>
        <w:pStyle w:val="2"/>
        <w:widowControl w:val="0"/>
        <w:spacing w:before="0" w:after="0" w:line="600" w:lineRule="exact"/>
        <w:ind w:firstLine="708" w:firstLineChars="200"/>
        <w:jc w:val="both"/>
        <w:outlineLvl w:val="9"/>
        <w:rPr>
          <w:rFonts w:ascii="Times New Roman" w:hAnsi="Times New Roman" w:eastAsia="仿宋_GB2312"/>
          <w:b w:val="0"/>
          <w:bCs w:val="0"/>
          <w:color w:val="000000"/>
          <w:spacing w:val="17"/>
          <w:highlight w:val="none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  <w:highlight w:val="none"/>
        </w:rPr>
        <w:t>具体评价指标体系详情见附件1</w:t>
      </w:r>
    </w:p>
    <w:p w14:paraId="23D4536F">
      <w:pPr>
        <w:pStyle w:val="2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3、绩效评价方法</w:t>
      </w:r>
    </w:p>
    <w:p w14:paraId="4B82FCA9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007F27AD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457696FD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（1）比较法</w:t>
      </w:r>
    </w:p>
    <w:p w14:paraId="67F7ECCA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通过对绩效目标与实施效果、历史与当期情况，综合分析绩效目标实现程度。对</w:t>
      </w:r>
      <w:r>
        <w:rPr>
          <w:rFonts w:eastAsia="仿宋_GB2312"/>
          <w:sz w:val="32"/>
          <w:szCs w:val="32"/>
          <w:highlight w:val="none"/>
        </w:rPr>
        <w:t>项目</w:t>
      </w:r>
      <w:r>
        <w:rPr>
          <w:rFonts w:eastAsia="仿宋_GB2312"/>
          <w:color w:val="000000"/>
          <w:spacing w:val="17"/>
          <w:sz w:val="32"/>
          <w:szCs w:val="32"/>
          <w:highlight w:val="none"/>
        </w:rPr>
        <w:t>最终验收情况与年度绩效目标对比、预算资金执行情况等相关因素进行比较。</w:t>
      </w:r>
    </w:p>
    <w:p w14:paraId="5E478E5D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（2）因素分析法</w:t>
      </w:r>
    </w:p>
    <w:p w14:paraId="1D22BEA4">
      <w:pPr>
        <w:spacing w:line="60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  <w:highlight w:val="none"/>
        </w:rPr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通过综合分析影响绩效目标实现、实施效果的内外因素，评价绩效目标实现程度。通过对</w:t>
      </w:r>
      <w:r>
        <w:rPr>
          <w:rFonts w:eastAsia="仿宋_GB2312"/>
          <w:sz w:val="32"/>
          <w:szCs w:val="32"/>
          <w:highlight w:val="none"/>
        </w:rPr>
        <w:t>项目</w:t>
      </w:r>
      <w:r>
        <w:rPr>
          <w:rFonts w:eastAsia="仿宋_GB2312"/>
          <w:color w:val="000000"/>
          <w:spacing w:val="17"/>
          <w:sz w:val="32"/>
          <w:szCs w:val="32"/>
          <w:highlight w:val="none"/>
        </w:rPr>
        <w:t>的开展情况、项目产出数量、成本控制、资金拨付文件及自评报告等相关资料的收集和审核，综合分析各因素对绩效目标实现的影响。</w:t>
      </w:r>
    </w:p>
    <w:p w14:paraId="3FCAAB9C">
      <w:pPr>
        <w:pStyle w:val="2"/>
        <w:widowControl w:val="0"/>
        <w:spacing w:before="0" w:after="0" w:line="60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  <w:highlight w:val="none"/>
        </w:rPr>
      </w:pPr>
      <w:r>
        <w:rPr>
          <w:rFonts w:ascii="Times New Roman" w:hAnsi="Times New Roman" w:eastAsia="仿宋_GB2312"/>
          <w:b w:val="0"/>
          <w:bCs w:val="0"/>
          <w:highlight w:val="none"/>
        </w:rPr>
        <w:t>4、评价标准</w:t>
      </w:r>
    </w:p>
    <w:p w14:paraId="01F1C25B">
      <w:pPr>
        <w:spacing w:line="600" w:lineRule="exact"/>
        <w:ind w:firstLine="708" w:firstLineChars="200"/>
      </w:pPr>
      <w:r>
        <w:rPr>
          <w:rFonts w:eastAsia="仿宋_GB2312"/>
          <w:color w:val="000000"/>
          <w:spacing w:val="17"/>
          <w:sz w:val="32"/>
          <w:szCs w:val="32"/>
          <w:highlight w:val="none"/>
        </w:rPr>
        <w:t>绩效评价标准通常包括计划标准、行业标准、历史标准等，用于对绩效指标完成情况进行比较。本次评价主要采用了计划标准和行业标准。</w:t>
      </w:r>
    </w:p>
    <w:p w14:paraId="47E2F24A">
      <w:pPr>
        <w:numPr>
          <w:ilvl w:val="0"/>
          <w:numId w:val="2"/>
        </w:numPr>
        <w:spacing w:line="600" w:lineRule="exact"/>
        <w:ind w:left="0" w:leftChars="0" w:firstLine="600" w:firstLineChars="200"/>
        <w:rPr>
          <w:rFonts w:hint="eastAsia" w:ascii="仿宋_GB2312"/>
          <w:color w:val="auto"/>
        </w:rPr>
      </w:pPr>
      <w:r>
        <w:rPr>
          <w:rFonts w:hint="eastAsia" w:ascii="仿宋_GB2312"/>
          <w:color w:val="auto"/>
        </w:rPr>
        <w:t>绩效评价工作过程。</w:t>
      </w:r>
    </w:p>
    <w:p w14:paraId="33D980BB">
      <w:pPr>
        <w:numPr>
          <w:ilvl w:val="0"/>
          <w:numId w:val="3"/>
        </w:numPr>
        <w:spacing w:line="600" w:lineRule="exact"/>
        <w:ind w:firstLine="640" w:firstLineChars="200"/>
        <w:rPr>
          <w:rFonts w:eastAsia="仿宋_GB2312"/>
          <w:bCs/>
          <w:sz w:val="32"/>
          <w:szCs w:val="32"/>
          <w:highlight w:val="none"/>
        </w:rPr>
      </w:pPr>
      <w:r>
        <w:rPr>
          <w:rFonts w:hint="eastAsia" w:eastAsia="仿宋_GB2312"/>
          <w:bCs/>
          <w:sz w:val="32"/>
          <w:szCs w:val="32"/>
          <w:highlight w:val="none"/>
        </w:rPr>
        <w:t>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</w:p>
    <w:p w14:paraId="76EE81B7">
      <w:pPr>
        <w:numPr>
          <w:ilvl w:val="0"/>
          <w:numId w:val="3"/>
        </w:numPr>
        <w:spacing w:line="600" w:lineRule="exact"/>
        <w:ind w:firstLine="640" w:firstLineChars="200"/>
        <w:rPr>
          <w:rFonts w:eastAsia="仿宋_GB2312"/>
          <w:bCs/>
          <w:sz w:val="32"/>
          <w:szCs w:val="32"/>
          <w:highlight w:val="none"/>
        </w:rPr>
      </w:pPr>
      <w:r>
        <w:rPr>
          <w:rFonts w:hint="eastAsia" w:eastAsia="仿宋_GB2312"/>
          <w:bCs/>
          <w:sz w:val="32"/>
          <w:szCs w:val="32"/>
          <w:highlight w:val="none"/>
        </w:rPr>
        <w:t>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</w:p>
    <w:p w14:paraId="0E5B206F"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>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 w14:paraId="1C408315">
      <w:pPr>
        <w:numPr>
          <w:ilvl w:val="0"/>
          <w:numId w:val="4"/>
        </w:numPr>
        <w:spacing w:line="600" w:lineRule="exact"/>
        <w:ind w:firstLine="600" w:firstLineChars="200"/>
        <w:rPr>
          <w:rFonts w:hint="eastAsia" w:ascii="仿宋_GB2312"/>
        </w:rPr>
      </w:pPr>
      <w:r>
        <w:rPr>
          <w:rFonts w:hint="eastAsia" w:ascii="黑体" w:hAnsi="黑体" w:eastAsia="黑体"/>
        </w:rPr>
        <w:t>综合评价情况及评价结论</w:t>
      </w:r>
      <w:r>
        <w:rPr>
          <w:rFonts w:hint="eastAsia" w:ascii="仿宋_GB2312"/>
        </w:rPr>
        <w:t>（附相关评分表）</w:t>
      </w:r>
    </w:p>
    <w:p w14:paraId="0FF38627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 xml:space="preserve">对喀什固定站基础装修项目进行客观评价，最终评分结果：总得分为 </w:t>
      </w:r>
      <w:r>
        <w:rPr>
          <w:rFonts w:hint="eastAsia" w:ascii="Times New Roman" w:hAnsi="Times New Roman" w:cs="Times New Roman"/>
          <w:bCs/>
          <w:sz w:val="32"/>
          <w:szCs w:val="32"/>
          <w:highlight w:val="none"/>
          <w:lang w:val="en-US" w:eastAsia="zh-CN"/>
        </w:rPr>
        <w:t>99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>分，属于“</w:t>
      </w:r>
      <w:r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  <w:highlight w:val="none"/>
        </w:rPr>
        <w:t>优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 xml:space="preserve">”。其中，项目决策类指标权重为20分，得分为 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>%。项目过程类指标权重为20分，得分为</w:t>
      </w:r>
      <w:r>
        <w:rPr>
          <w:rFonts w:hint="eastAsia" w:ascii="Times New Roman" w:hAnsi="Times New Roman" w:cs="Times New Roman"/>
          <w:bCs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 xml:space="preserve">分，得分率为 </w:t>
      </w:r>
      <w:r>
        <w:rPr>
          <w:rFonts w:hint="eastAsia" w:ascii="Times New Roman" w:hAnsi="Times New Roman" w:cs="Times New Roman"/>
          <w:bCs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>%。项目产出类指标权重为40分，得分为</w:t>
      </w:r>
      <w:r>
        <w:rPr>
          <w:rFonts w:hint="eastAsia" w:ascii="Times New Roman" w:hAnsi="Times New Roman" w:cs="Times New Roman"/>
          <w:bCs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 xml:space="preserve">分，得分率为 </w:t>
      </w:r>
      <w:r>
        <w:rPr>
          <w:rFonts w:hint="eastAsia" w:ascii="Times New Roman" w:hAnsi="Times New Roman" w:cs="Times New Roman"/>
          <w:bCs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>%。项目效益类指标权重为20分，得分为</w:t>
      </w:r>
      <w:r>
        <w:rPr>
          <w:rFonts w:hint="eastAsia" w:ascii="Times New Roman" w:hAnsi="Times New Roman" w:cs="Times New Roman"/>
          <w:bCs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>分，得分率为</w:t>
      </w:r>
      <w:r>
        <w:rPr>
          <w:rFonts w:hint="eastAsia" w:ascii="Times New Roman" w:hAnsi="Times New Roman" w:cs="Times New Roman"/>
          <w:bCs/>
          <w:sz w:val="32"/>
          <w:szCs w:val="32"/>
          <w:highlight w:val="none"/>
          <w:lang w:val="en-US" w:eastAsia="zh-CN"/>
        </w:rPr>
        <w:t>95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</w:rPr>
        <w:t>%。</w:t>
      </w:r>
    </w:p>
    <w:p w14:paraId="3FA4C562">
      <w:pPr>
        <w:spacing w:line="600" w:lineRule="exact"/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四、绩效评价指标分析</w:t>
      </w:r>
    </w:p>
    <w:p w14:paraId="27EB27EA">
      <w:pPr>
        <w:spacing w:line="600" w:lineRule="exact"/>
        <w:ind w:firstLine="602" w:firstLineChars="200"/>
        <w:outlineLvl w:val="0"/>
        <w:rPr>
          <w:rFonts w:hint="eastAsia" w:ascii="仿宋_GB2312"/>
          <w:b/>
          <w:bCs/>
        </w:rPr>
      </w:pPr>
      <w:r>
        <w:rPr>
          <w:rFonts w:hint="eastAsia" w:ascii="仿宋_GB2312"/>
          <w:b/>
          <w:bCs/>
        </w:rPr>
        <w:t>（一）项目决策情况。</w:t>
      </w:r>
    </w:p>
    <w:p w14:paraId="74EF88FD">
      <w:pPr>
        <w:spacing w:line="600" w:lineRule="exact"/>
        <w:ind w:firstLine="640" w:firstLineChars="200"/>
        <w:outlineLvl w:val="0"/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立项符合法律法规、相关政策及部门职责，能反映和考核项目立项依据情况，项目申请、设立过程符合相关要求，能反映和考核项目立项的规范情况，所设定的绩效目标依据充分，符合客观实际，能反映和考核项目绩效目标与项目实施的相符情况，依据绩效目标设定的绩效指标清晰、细化、可衡量，能反映和考核项目绩效目标的明细化情况。</w:t>
      </w:r>
    </w:p>
    <w:p w14:paraId="6E88F983">
      <w:pPr>
        <w:numPr>
          <w:ilvl w:val="0"/>
          <w:numId w:val="5"/>
        </w:numPr>
        <w:spacing w:line="600" w:lineRule="exact"/>
        <w:ind w:firstLine="602" w:firstLineChars="200"/>
        <w:outlineLvl w:val="0"/>
        <w:rPr>
          <w:rFonts w:hint="eastAsia" w:ascii="仿宋_GB2312"/>
          <w:b/>
          <w:bCs/>
        </w:rPr>
      </w:pPr>
      <w:r>
        <w:rPr>
          <w:rFonts w:hint="eastAsia" w:ascii="仿宋_GB2312"/>
          <w:b/>
          <w:bCs/>
        </w:rPr>
        <w:t>项目过程情况。</w:t>
      </w:r>
    </w:p>
    <w:p w14:paraId="6CFBDC9D">
      <w:pPr>
        <w:spacing w:line="600" w:lineRule="exact"/>
        <w:ind w:firstLine="640" w:firstLineChars="200"/>
        <w:outlineLvl w:val="0"/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严格按照预期绩效目标执行预算资金。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38C20223">
      <w:pPr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02" w:firstLineChars="200"/>
        <w:textAlignment w:val="auto"/>
        <w:outlineLvl w:val="0"/>
        <w:rPr>
          <w:rFonts w:hint="eastAsia" w:ascii="仿宋_GB2312"/>
          <w:b/>
          <w:bCs/>
        </w:rPr>
      </w:pPr>
      <w:r>
        <w:rPr>
          <w:rFonts w:hint="eastAsia" w:ascii="仿宋_GB2312"/>
          <w:b/>
          <w:bCs/>
        </w:rPr>
        <w:t>项目产出情况。</w:t>
      </w:r>
    </w:p>
    <w:p w14:paraId="0CFD9EDC">
      <w:pPr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1.数量指标方面：</w:t>
      </w:r>
    </w:p>
    <w:p w14:paraId="6CEB6A25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 w:firstLineChars="200"/>
        <w:textAlignment w:val="auto"/>
        <w:outlineLvl w:val="0"/>
        <w:rPr>
          <w:rStyle w:val="9"/>
          <w:rFonts w:hint="eastAsia" w:eastAsia="仿宋" w:asciiTheme="minorHAnsi" w:hAnsiTheme="minorHAnsi" w:cstheme="minorBidi"/>
          <w:b w:val="0"/>
          <w:bCs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（1）戈壁石回填量，指标值为≧100㎡，实际完成率113.8%，工程项目计划为预估量和实际施工量有出入。</w:t>
      </w:r>
    </w:p>
    <w:p w14:paraId="4A1073EA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 w:firstLineChars="200"/>
        <w:textAlignment w:val="auto"/>
        <w:outlineLvl w:val="0"/>
        <w:rPr>
          <w:rStyle w:val="9"/>
          <w:rFonts w:hint="eastAsia" w:eastAsia="仿宋" w:asciiTheme="minorHAnsi" w:hAnsiTheme="minorHAnsi" w:cstheme="minorBidi"/>
          <w:b w:val="0"/>
          <w:bCs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（2）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地面修复面积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，实际完成率91.88%，工程项目计划为预估量和实际施工量有出入</w:t>
      </w:r>
      <w:r>
        <w:rPr>
          <w:rStyle w:val="9"/>
          <w:rFonts w:hint="eastAsia" w:eastAsia="仿宋" w:asciiTheme="minorHAnsi" w:hAnsiTheme="minorHAnsi" w:cstheme="minorBidi"/>
          <w:b w:val="0"/>
          <w:bCs/>
          <w:spacing w:val="-4"/>
          <w:sz w:val="32"/>
          <w:szCs w:val="32"/>
          <w:highlight w:val="none"/>
          <w:lang w:val="en-US" w:eastAsia="zh-CN"/>
        </w:rPr>
        <w:t>。</w:t>
      </w:r>
    </w:p>
    <w:p w14:paraId="23F20504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 w:firstLineChars="200"/>
        <w:textAlignment w:val="auto"/>
        <w:outlineLvl w:val="0"/>
        <w:rPr>
          <w:rStyle w:val="9"/>
          <w:rFonts w:hint="eastAsia" w:eastAsia="仿宋" w:asciiTheme="minorHAnsi" w:hAnsiTheme="minorHAnsi" w:cstheme="minorBidi"/>
          <w:b w:val="0"/>
          <w:bCs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）墙面粉刷面积</w:t>
      </w: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实际完成率112.4%，工程项目计划为预估量和实际施工量有出入</w:t>
      </w:r>
      <w:r>
        <w:rPr>
          <w:rStyle w:val="9"/>
          <w:rFonts w:hint="eastAsia" w:eastAsia="仿宋" w:asciiTheme="minorHAnsi" w:hAnsiTheme="minorHAnsi" w:cstheme="minorBidi"/>
          <w:b w:val="0"/>
          <w:bCs/>
          <w:spacing w:val="-4"/>
          <w:sz w:val="32"/>
          <w:szCs w:val="32"/>
          <w:highlight w:val="none"/>
          <w:lang w:val="en-US" w:eastAsia="zh-CN"/>
        </w:rPr>
        <w:t>。</w:t>
      </w:r>
    </w:p>
    <w:p w14:paraId="43F0B694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/>
        <w:textAlignment w:val="auto"/>
        <w:outlineLvl w:val="0"/>
        <w:rPr>
          <w:rStyle w:val="9"/>
          <w:rFonts w:hint="eastAsia" w:eastAsia="仿宋" w:asciiTheme="minorHAnsi" w:hAnsiTheme="minorHAnsi" w:cstheme="minorBidi"/>
          <w:b w:val="0"/>
          <w:bCs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（4） 地面平整硬化面积</w:t>
      </w: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实际完成率102.12%，工程项目计划为预估量和实际施工量有出入</w:t>
      </w:r>
      <w:r>
        <w:rPr>
          <w:rStyle w:val="9"/>
          <w:rFonts w:hint="eastAsia" w:eastAsia="仿宋" w:asciiTheme="minorHAnsi" w:hAnsiTheme="minorHAnsi" w:cstheme="minorBidi"/>
          <w:b w:val="0"/>
          <w:bCs/>
          <w:spacing w:val="-4"/>
          <w:sz w:val="32"/>
          <w:szCs w:val="32"/>
          <w:highlight w:val="none"/>
          <w:lang w:val="en-US" w:eastAsia="zh-CN"/>
        </w:rPr>
        <w:t>。</w:t>
      </w:r>
    </w:p>
    <w:p w14:paraId="0E50C1B3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2.质量指标方面：</w:t>
      </w:r>
    </w:p>
    <w:p w14:paraId="3C469A79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（1）项目竣工验收合格率指标，指标值为≧100%，实际完成率100%，无偏差。</w:t>
      </w:r>
    </w:p>
    <w:p w14:paraId="33CBCEF2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（2）项目资金支付率指标，指标值为≧100%，实际完成率100%，无偏差。</w:t>
      </w:r>
    </w:p>
    <w:p w14:paraId="576D3668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3.时效指标方面：</w:t>
      </w:r>
    </w:p>
    <w:p w14:paraId="304B77F8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（1）项目计划完成时间指标，指标值为2023年10月前，实际完成率100%，无偏差。</w:t>
      </w:r>
    </w:p>
    <w:p w14:paraId="47AD989B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4.经济成本指标方面：</w:t>
      </w:r>
    </w:p>
    <w:p w14:paraId="37BD4446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（1）项目预算控制率指标，指标值为≦100%，实际完成率100%，无偏差。</w:t>
      </w:r>
    </w:p>
    <w:p w14:paraId="7DE31A85">
      <w:pPr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/>
        <w:textAlignment w:val="auto"/>
        <w:outlineLvl w:val="0"/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24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24"/>
          <w:lang w:val="en-US" w:eastAsia="zh-CN" w:bidi="ar-SA"/>
        </w:rPr>
        <w:t>（四）项目效益情况。</w:t>
      </w:r>
    </w:p>
    <w:p w14:paraId="79FFC572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Style w:val="10"/>
          <w:rFonts w:ascii="Times New Roman" w:hAnsi="Times New Roman" w:cs="Times New Roman"/>
          <w:b/>
          <w:bCs/>
          <w:color w:val="auto"/>
          <w:highlight w:val="none"/>
        </w:rPr>
        <w:t>经济效益指标方面：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服务社会大局稳定和经济持续发展指标，指标值为有效提升，实际完成100%，完成率100%，无偏差。</w:t>
      </w:r>
    </w:p>
    <w:p w14:paraId="2E6E0E3D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/>
          <w:lang w:val="en-US" w:eastAsia="zh-CN"/>
        </w:rPr>
      </w:pPr>
      <w:r>
        <w:rPr>
          <w:rStyle w:val="10"/>
          <w:rFonts w:ascii="Times New Roman" w:hAnsi="Times New Roman" w:cs="Times New Roman"/>
          <w:b/>
          <w:bCs/>
          <w:color w:val="auto"/>
          <w:highlight w:val="none"/>
        </w:rPr>
        <w:t>满意度指标方面：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受益群体满意度指标，指标值为9</w:t>
      </w: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%，实际完成100%，无偏差。</w:t>
      </w:r>
    </w:p>
    <w:p w14:paraId="1DD82288">
      <w:pPr>
        <w:spacing w:line="600" w:lineRule="exact"/>
        <w:ind w:firstLine="60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五、主要经验及做法、存在的问题及原因分析</w:t>
      </w:r>
    </w:p>
    <w:p w14:paraId="4EF63112">
      <w:pPr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sz w:val="32"/>
          <w:szCs w:val="32"/>
          <w:highlight w:val="none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4A8C71B5">
      <w:pPr>
        <w:pStyle w:val="2"/>
        <w:spacing w:before="0" w:after="0" w:line="600" w:lineRule="exact"/>
        <w:ind w:firstLine="640" w:firstLineChars="200"/>
        <w:jc w:val="both"/>
      </w:pP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严格坚持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  <w:lang w:eastAsia="zh-CN"/>
        </w:rPr>
        <w:t>项目有执行有落实</w:t>
      </w: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、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  <w:lang w:eastAsia="zh-CN"/>
        </w:rPr>
        <w:t>落实有</w:t>
      </w: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验收、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  <w:lang w:eastAsia="zh-CN"/>
        </w:rPr>
        <w:t>验收有审批</w:t>
      </w: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付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  <w:lang w:eastAsia="zh-CN"/>
        </w:rPr>
        <w:t>款</w:t>
      </w: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  <w:lang w:eastAsia="zh-CN"/>
        </w:rPr>
        <w:t>做到“</w:t>
      </w: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问题早发现，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  <w:lang w:eastAsia="zh-CN"/>
        </w:rPr>
        <w:t>发现</w:t>
      </w: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早解决</w:t>
      </w:r>
      <w:r>
        <w:rPr>
          <w:rFonts w:hint="eastAsia" w:ascii="Times New Roman" w:hAnsi="Times New Roman" w:eastAsia="仿宋_GB2312"/>
          <w:b w:val="0"/>
          <w:bCs w:val="0"/>
          <w:kern w:val="2"/>
          <w:highlight w:val="none"/>
          <w:lang w:eastAsia="zh-CN"/>
        </w:rPr>
        <w:t>”的原则</w:t>
      </w:r>
      <w:r>
        <w:rPr>
          <w:rFonts w:ascii="Times New Roman" w:hAnsi="Times New Roman" w:eastAsia="仿宋_GB2312"/>
          <w:b w:val="0"/>
          <w:bCs w:val="0"/>
          <w:kern w:val="2"/>
          <w:highlight w:val="none"/>
        </w:rPr>
        <w:t>。</w:t>
      </w:r>
    </w:p>
    <w:p w14:paraId="09036BCD">
      <w:pPr>
        <w:numPr>
          <w:ilvl w:val="0"/>
          <w:numId w:val="6"/>
        </w:numPr>
        <w:spacing w:line="600" w:lineRule="exact"/>
        <w:ind w:firstLine="600" w:firstLineChars="20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有关建议</w:t>
      </w:r>
    </w:p>
    <w:p w14:paraId="2BF29F02">
      <w:pPr>
        <w:pStyle w:val="2"/>
        <w:spacing w:before="0" w:after="0" w:line="6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highlight w:val="none"/>
          <w:lang w:val="en-US" w:eastAsia="zh-CN"/>
        </w:rPr>
        <w:t>进一步加强对绩效管理工作的组织领导，提高对预算绩效管理工作重要性的认识，总结经验查找问题，抓紧研究制定更全面更完善的绩效评价管理办法。结合实际考核建立绩效工作考核制度，加大全局对全面实施预算绩效管理和绩效管理工作的学习力度，让“花钱必问效，无效必问责”的理念深入工作每个环节。</w:t>
      </w:r>
    </w:p>
    <w:p w14:paraId="7DF05FFA">
      <w:pPr>
        <w:numPr>
          <w:ilvl w:val="0"/>
          <w:numId w:val="6"/>
        </w:numPr>
        <w:spacing w:line="600" w:lineRule="exact"/>
        <w:ind w:left="0" w:leftChars="0" w:firstLine="600" w:firstLineChars="200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</w:rPr>
        <w:t>其他需要说明的问题</w:t>
      </w:r>
      <w:r>
        <w:rPr>
          <w:rFonts w:hint="eastAsia" w:ascii="黑体" w:hAnsi="黑体" w:eastAsia="黑体"/>
          <w:lang w:val="en-US" w:eastAsia="zh-CN"/>
        </w:rPr>
        <w:t xml:space="preserve"> </w:t>
      </w:r>
    </w:p>
    <w:p w14:paraId="4B78688B">
      <w:pPr>
        <w:pStyle w:val="2"/>
        <w:spacing w:before="0" w:after="0" w:line="60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highlight w:val="none"/>
          <w:lang w:val="en-US" w:eastAsia="zh-CN"/>
        </w:rPr>
        <w:t>无。</w:t>
      </w:r>
    </w:p>
    <w:sectPr>
      <w:footerReference r:id="rId3" w:type="default"/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99EA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E5AC8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E5AC8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CC51CA"/>
    <w:multiLevelType w:val="singleLevel"/>
    <w:tmpl w:val="BDCC51C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F60FE1"/>
    <w:multiLevelType w:val="singleLevel"/>
    <w:tmpl w:val="DEF60FE1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31CA348"/>
    <w:multiLevelType w:val="singleLevel"/>
    <w:tmpl w:val="031CA34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11E4CE38"/>
    <w:multiLevelType w:val="singleLevel"/>
    <w:tmpl w:val="11E4CE3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38F0C646"/>
    <w:multiLevelType w:val="singleLevel"/>
    <w:tmpl w:val="38F0C646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42EAE01E"/>
    <w:multiLevelType w:val="singleLevel"/>
    <w:tmpl w:val="42EAE01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4ZTk4ZThiOTlhYTkyOGVkOWQ5NDlhNjIwNjNhNzEifQ=="/>
  </w:docVars>
  <w:rsids>
    <w:rsidRoot w:val="00000000"/>
    <w:rsid w:val="064B0312"/>
    <w:rsid w:val="06FD4082"/>
    <w:rsid w:val="0B6947A3"/>
    <w:rsid w:val="189324A3"/>
    <w:rsid w:val="1A2F3436"/>
    <w:rsid w:val="1F0B55D3"/>
    <w:rsid w:val="2A716636"/>
    <w:rsid w:val="2CF22473"/>
    <w:rsid w:val="2DA534D3"/>
    <w:rsid w:val="3091782D"/>
    <w:rsid w:val="45311E79"/>
    <w:rsid w:val="45CE7D2F"/>
    <w:rsid w:val="45EC0627"/>
    <w:rsid w:val="487E0896"/>
    <w:rsid w:val="4956038A"/>
    <w:rsid w:val="578C2978"/>
    <w:rsid w:val="584A11EE"/>
    <w:rsid w:val="596F22F3"/>
    <w:rsid w:val="59C9731C"/>
    <w:rsid w:val="62511752"/>
    <w:rsid w:val="6B216958"/>
    <w:rsid w:val="75B773F2"/>
    <w:rsid w:val="7773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9">
    <w:name w:val="Strong"/>
    <w:basedOn w:val="8"/>
    <w:autoRedefine/>
    <w:qFormat/>
    <w:uiPriority w:val="0"/>
    <w:rPr>
      <w:b/>
      <w:bCs/>
    </w:rPr>
  </w:style>
  <w:style w:type="character" w:customStyle="1" w:styleId="10">
    <w:name w:val="fontstyle01"/>
    <w:autoRedefine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4250</Words>
  <Characters>4392</Characters>
  <Lines>0</Lines>
  <Paragraphs>0</Paragraphs>
  <TotalTime>0</TotalTime>
  <ScaleCrop>false</ScaleCrop>
  <LinksUpToDate>false</LinksUpToDate>
  <CharactersWithSpaces>4400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2024-03-04T05:11:00Z</dcterms:created>
  <dc:creator>Administrator</dc:creator>
  <cp:lastModifiedBy>岁月无痕</cp:lastModifiedBy>
  <cp:lastPrinted>2024-03-04T11:32:00Z</cp:lastPrinted>
  <dcterms:modified xsi:type="dcterms:W3CDTF">2024-08-20T02:54:01Z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67ADB695066F46A2BCDB7248B6E018D6_13</vt:lpwstr>
  </property>
</Properties>
</file>