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D9D40">
      <w:pPr>
        <w:spacing w:line="540" w:lineRule="exact"/>
        <w:jc w:val="center"/>
        <w:rPr>
          <w:rFonts w:eastAsia="方正小标宋_GBK"/>
          <w:kern w:val="0"/>
          <w:sz w:val="48"/>
          <w:szCs w:val="48"/>
        </w:rPr>
      </w:pPr>
    </w:p>
    <w:p w14:paraId="4999BFBC">
      <w:pPr>
        <w:spacing w:line="540" w:lineRule="exact"/>
        <w:jc w:val="center"/>
        <w:rPr>
          <w:rFonts w:eastAsia="方正小标宋_GBK"/>
          <w:kern w:val="0"/>
          <w:sz w:val="48"/>
          <w:szCs w:val="48"/>
        </w:rPr>
      </w:pPr>
    </w:p>
    <w:p w14:paraId="0D35E9B5">
      <w:pPr>
        <w:spacing w:line="540" w:lineRule="exact"/>
        <w:jc w:val="center"/>
        <w:rPr>
          <w:rFonts w:eastAsia="方正小标宋_GBK"/>
          <w:kern w:val="0"/>
          <w:sz w:val="48"/>
          <w:szCs w:val="48"/>
        </w:rPr>
      </w:pPr>
    </w:p>
    <w:p w14:paraId="057EF789">
      <w:pPr>
        <w:spacing w:line="540" w:lineRule="exact"/>
        <w:jc w:val="center"/>
        <w:rPr>
          <w:rFonts w:eastAsia="方正小标宋_GBK"/>
          <w:kern w:val="0"/>
          <w:sz w:val="48"/>
          <w:szCs w:val="48"/>
        </w:rPr>
      </w:pPr>
    </w:p>
    <w:p w14:paraId="0BF68564">
      <w:pPr>
        <w:spacing w:line="540" w:lineRule="exact"/>
        <w:jc w:val="center"/>
        <w:rPr>
          <w:rFonts w:eastAsia="方正小标宋_GBK"/>
          <w:kern w:val="0"/>
          <w:sz w:val="48"/>
          <w:szCs w:val="48"/>
        </w:rPr>
      </w:pPr>
    </w:p>
    <w:p w14:paraId="16BE59E1">
      <w:pPr>
        <w:spacing w:line="540" w:lineRule="exact"/>
        <w:jc w:val="center"/>
        <w:rPr>
          <w:rFonts w:eastAsia="方正小标宋_GBK"/>
          <w:kern w:val="0"/>
          <w:sz w:val="48"/>
          <w:szCs w:val="48"/>
        </w:rPr>
      </w:pPr>
      <w:r>
        <w:rPr>
          <w:rFonts w:hint="eastAsia" w:eastAsia="方正小标宋_GBK"/>
          <w:kern w:val="0"/>
          <w:sz w:val="48"/>
          <w:szCs w:val="48"/>
        </w:rPr>
        <w:t>监测业务楼配电系统改造项目</w:t>
      </w:r>
      <w:r>
        <w:rPr>
          <w:rFonts w:eastAsia="方正小标宋_GBK"/>
          <w:kern w:val="0"/>
          <w:sz w:val="48"/>
          <w:szCs w:val="48"/>
        </w:rPr>
        <w:t>支出</w:t>
      </w:r>
    </w:p>
    <w:p w14:paraId="01AC3105">
      <w:pPr>
        <w:spacing w:line="540" w:lineRule="exact"/>
        <w:jc w:val="center"/>
        <w:rPr>
          <w:rFonts w:eastAsia="方正小标宋_GBK"/>
          <w:kern w:val="0"/>
          <w:sz w:val="48"/>
          <w:szCs w:val="48"/>
        </w:rPr>
      </w:pPr>
      <w:r>
        <w:rPr>
          <w:rFonts w:eastAsia="方正小标宋_GBK"/>
          <w:kern w:val="0"/>
          <w:sz w:val="48"/>
          <w:szCs w:val="48"/>
        </w:rPr>
        <w:t>绩效评价报告</w:t>
      </w:r>
    </w:p>
    <w:p w14:paraId="43EBF0C6">
      <w:pPr>
        <w:spacing w:line="540" w:lineRule="exact"/>
        <w:jc w:val="center"/>
        <w:rPr>
          <w:rFonts w:eastAsia="华文中宋"/>
          <w:b/>
          <w:kern w:val="0"/>
          <w:sz w:val="52"/>
          <w:szCs w:val="52"/>
        </w:rPr>
      </w:pPr>
    </w:p>
    <w:p w14:paraId="1ACAA709">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5D95C988">
      <w:pPr>
        <w:spacing w:line="540" w:lineRule="exact"/>
        <w:jc w:val="center"/>
        <w:rPr>
          <w:rFonts w:eastAsia="仿宋_GB2312"/>
          <w:kern w:val="0"/>
          <w:sz w:val="30"/>
          <w:szCs w:val="30"/>
        </w:rPr>
      </w:pPr>
    </w:p>
    <w:p w14:paraId="0A76FFF9">
      <w:pPr>
        <w:spacing w:line="540" w:lineRule="exact"/>
        <w:jc w:val="center"/>
        <w:rPr>
          <w:rFonts w:eastAsia="仿宋_GB2312"/>
          <w:kern w:val="0"/>
          <w:sz w:val="30"/>
          <w:szCs w:val="30"/>
        </w:rPr>
      </w:pPr>
    </w:p>
    <w:p w14:paraId="1FF9C0EA">
      <w:pPr>
        <w:spacing w:line="540" w:lineRule="exact"/>
        <w:jc w:val="center"/>
        <w:rPr>
          <w:rFonts w:eastAsia="仿宋_GB2312"/>
          <w:kern w:val="0"/>
          <w:sz w:val="30"/>
          <w:szCs w:val="30"/>
        </w:rPr>
      </w:pPr>
    </w:p>
    <w:p w14:paraId="4844C9D0">
      <w:pPr>
        <w:pStyle w:val="2"/>
      </w:pPr>
    </w:p>
    <w:p w14:paraId="70AFD4F4">
      <w:pPr>
        <w:spacing w:line="540" w:lineRule="exact"/>
        <w:jc w:val="center"/>
        <w:rPr>
          <w:rFonts w:eastAsia="仿宋_GB2312"/>
          <w:kern w:val="0"/>
          <w:sz w:val="30"/>
          <w:szCs w:val="30"/>
        </w:rPr>
      </w:pPr>
    </w:p>
    <w:p w14:paraId="1A8B8156">
      <w:pPr>
        <w:spacing w:line="540" w:lineRule="exact"/>
        <w:rPr>
          <w:rFonts w:eastAsia="仿宋_GB2312"/>
          <w:kern w:val="0"/>
          <w:sz w:val="30"/>
          <w:szCs w:val="30"/>
        </w:rPr>
      </w:pPr>
    </w:p>
    <w:p w14:paraId="2038090B">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监测业务楼配电系统改造项目</w:t>
      </w:r>
    </w:p>
    <w:p w14:paraId="5C89E6F5">
      <w:pPr>
        <w:spacing w:line="700" w:lineRule="exact"/>
        <w:ind w:firstLine="1440" w:firstLineChars="400"/>
        <w:jc w:val="left"/>
        <w:rPr>
          <w:rFonts w:hint="eastAsia"/>
          <w:kern w:val="0"/>
          <w:sz w:val="36"/>
          <w:szCs w:val="36"/>
          <w:lang w:eastAsia="zh-CN"/>
        </w:rPr>
      </w:pPr>
      <w:r>
        <w:rPr>
          <w:rFonts w:eastAsia="仿宋_GB2312"/>
          <w:kern w:val="0"/>
          <w:sz w:val="36"/>
          <w:szCs w:val="36"/>
        </w:rPr>
        <w:t>实施单位（公章）：</w:t>
      </w:r>
      <w:r>
        <w:rPr>
          <w:rFonts w:hint="eastAsia"/>
          <w:kern w:val="0"/>
          <w:sz w:val="36"/>
          <w:szCs w:val="36"/>
          <w:lang w:eastAsia="zh-CN"/>
        </w:rPr>
        <w:t>吐鲁番市无线电管理局</w:t>
      </w:r>
    </w:p>
    <w:p w14:paraId="59147273">
      <w:pPr>
        <w:spacing w:line="700" w:lineRule="exact"/>
        <w:ind w:firstLine="1440" w:firstLineChars="400"/>
        <w:jc w:val="left"/>
        <w:rPr>
          <w:rFonts w:hint="eastAsia"/>
          <w:kern w:val="0"/>
          <w:sz w:val="36"/>
          <w:szCs w:val="36"/>
          <w:lang w:eastAsia="zh-CN"/>
        </w:rPr>
      </w:pPr>
      <w:r>
        <w:rPr>
          <w:rFonts w:eastAsia="仿宋_GB2312"/>
          <w:kern w:val="0"/>
          <w:sz w:val="36"/>
          <w:szCs w:val="36"/>
        </w:rPr>
        <w:t>主管部门（公章）：</w:t>
      </w:r>
      <w:r>
        <w:rPr>
          <w:rFonts w:hint="eastAsia"/>
          <w:kern w:val="0"/>
          <w:sz w:val="36"/>
          <w:szCs w:val="36"/>
          <w:lang w:eastAsia="zh-CN"/>
        </w:rPr>
        <w:t>自治区工业和信息化厅</w:t>
      </w:r>
    </w:p>
    <w:p w14:paraId="295EE2A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kern w:val="0"/>
          <w:sz w:val="36"/>
          <w:szCs w:val="36"/>
          <w:lang w:eastAsia="zh-CN"/>
        </w:rPr>
        <w:t>张百武</w:t>
      </w:r>
    </w:p>
    <w:p w14:paraId="70A7199E">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kern w:val="0"/>
          <w:sz w:val="36"/>
          <w:szCs w:val="36"/>
          <w:lang w:val="en-US" w:eastAsia="zh-CN"/>
        </w:rPr>
        <w:t>2024</w:t>
      </w:r>
      <w:r>
        <w:rPr>
          <w:rFonts w:eastAsia="仿宋_GB2312"/>
          <w:kern w:val="0"/>
          <w:sz w:val="36"/>
          <w:szCs w:val="36"/>
        </w:rPr>
        <w:t>年</w:t>
      </w:r>
      <w:r>
        <w:rPr>
          <w:rFonts w:hint="eastAsia"/>
          <w:kern w:val="0"/>
          <w:sz w:val="36"/>
          <w:szCs w:val="36"/>
          <w:lang w:val="en-US" w:eastAsia="zh-CN"/>
        </w:rPr>
        <w:t>3</w:t>
      </w:r>
      <w:r>
        <w:rPr>
          <w:rFonts w:eastAsia="仿宋_GB2312"/>
          <w:kern w:val="0"/>
          <w:sz w:val="36"/>
          <w:szCs w:val="36"/>
        </w:rPr>
        <w:t>月</w:t>
      </w:r>
      <w:r>
        <w:rPr>
          <w:rFonts w:hint="eastAsia"/>
          <w:kern w:val="0"/>
          <w:sz w:val="36"/>
          <w:szCs w:val="36"/>
          <w:lang w:val="en-US" w:eastAsia="zh-CN"/>
        </w:rPr>
        <w:t>15</w:t>
      </w:r>
      <w:r>
        <w:rPr>
          <w:rFonts w:eastAsia="仿宋_GB2312"/>
          <w:kern w:val="0"/>
          <w:sz w:val="36"/>
          <w:szCs w:val="36"/>
        </w:rPr>
        <w:t>日</w:t>
      </w:r>
    </w:p>
    <w:p w14:paraId="1F3743E9">
      <w:pPr>
        <w:spacing w:line="540" w:lineRule="exact"/>
        <w:jc w:val="center"/>
        <w:rPr>
          <w:rFonts w:eastAsia="仿宋_GB2312"/>
          <w:kern w:val="0"/>
          <w:sz w:val="30"/>
          <w:szCs w:val="30"/>
        </w:rPr>
      </w:pPr>
    </w:p>
    <w:p w14:paraId="3D74D730">
      <w:pPr>
        <w:spacing w:line="540" w:lineRule="exact"/>
        <w:rPr>
          <w:rStyle w:val="10"/>
          <w:rFonts w:eastAsia="黑体"/>
          <w:b w:val="0"/>
          <w:spacing w:val="-4"/>
          <w:sz w:val="32"/>
          <w:szCs w:val="32"/>
        </w:rPr>
      </w:pPr>
    </w:p>
    <w:p w14:paraId="00D230E9">
      <w:pPr>
        <w:spacing w:line="540" w:lineRule="exact"/>
        <w:ind w:firstLine="640"/>
        <w:rPr>
          <w:rStyle w:val="10"/>
          <w:rFonts w:eastAsia="黑体"/>
          <w:b w:val="0"/>
          <w:spacing w:val="-4"/>
          <w:sz w:val="32"/>
          <w:szCs w:val="32"/>
        </w:rPr>
      </w:pPr>
    </w:p>
    <w:p w14:paraId="2CF30169">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宋体" w:hAnsi="宋体" w:eastAsia="宋体" w:cs="Arial"/>
          <w:b/>
          <w:bCs/>
          <w:sz w:val="36"/>
          <w:szCs w:val="36"/>
        </w:rPr>
      </w:pPr>
    </w:p>
    <w:p w14:paraId="5DEF1D3D">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监测业务楼配电系统改造项目支出</w:t>
      </w:r>
    </w:p>
    <w:p w14:paraId="5F0FF7B2">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绩效评价报告</w:t>
      </w:r>
    </w:p>
    <w:p w14:paraId="18B7C582">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ascii="仿宋_GB2312"/>
          <w:szCs w:val="30"/>
        </w:rPr>
      </w:pPr>
    </w:p>
    <w:p w14:paraId="79C4DE39">
      <w:pPr>
        <w:keepNext w:val="0"/>
        <w:keepLines w:val="0"/>
        <w:pageBreakBefore w:val="0"/>
        <w:numPr>
          <w:ilvl w:val="0"/>
          <w:numId w:val="1"/>
        </w:numPr>
        <w:kinsoku/>
        <w:wordWrap/>
        <w:overflowPunct/>
        <w:topLinePunct w:val="0"/>
        <w:autoSpaceDE/>
        <w:autoSpaceDN/>
        <w:bidi w:val="0"/>
        <w:adjustRightInd/>
        <w:spacing w:line="540" w:lineRule="exact"/>
        <w:ind w:firstLine="600" w:firstLineChars="200"/>
        <w:textAlignment w:val="auto"/>
        <w:rPr>
          <w:rFonts w:hint="eastAsia" w:ascii="黑体" w:hAnsi="黑体" w:eastAsia="黑体"/>
        </w:rPr>
      </w:pPr>
      <w:r>
        <w:rPr>
          <w:rFonts w:hint="eastAsia" w:ascii="黑体" w:hAnsi="黑体" w:eastAsia="黑体"/>
        </w:rPr>
        <w:t>基本情况</w:t>
      </w:r>
    </w:p>
    <w:p w14:paraId="5385CAA8">
      <w:pPr>
        <w:keepNext w:val="0"/>
        <w:keepLines w:val="0"/>
        <w:pageBreakBefore w:val="0"/>
        <w:numPr>
          <w:ilvl w:val="0"/>
          <w:numId w:val="0"/>
        </w:numPr>
        <w:kinsoku/>
        <w:wordWrap/>
        <w:overflowPunct/>
        <w:topLinePunct w:val="0"/>
        <w:autoSpaceDE/>
        <w:autoSpaceDN/>
        <w:bidi w:val="0"/>
        <w:adjustRightInd/>
        <w:spacing w:line="540" w:lineRule="exact"/>
        <w:ind w:firstLine="301" w:firstLineChars="100"/>
        <w:textAlignment w:val="auto"/>
        <w:rPr>
          <w:rFonts w:hint="eastAsia" w:ascii="仿宋_GB2312" w:hAnsi="仿宋_GB2312" w:eastAsia="仿宋_GB2312" w:cs="仿宋_GB2312"/>
          <w:b w:val="0"/>
          <w:i w:val="0"/>
          <w:caps w:val="0"/>
          <w:color w:val="000000"/>
          <w:spacing w:val="0"/>
          <w:sz w:val="30"/>
          <w:szCs w:val="30"/>
        </w:rPr>
      </w:pPr>
      <w:r>
        <w:rPr>
          <w:rFonts w:hint="eastAsia" w:eastAsia="楷体_GB2312"/>
          <w:b/>
          <w:bCs/>
          <w:sz w:val="30"/>
          <w:szCs w:val="30"/>
        </w:rPr>
        <w:t>（一）项目概况</w:t>
      </w:r>
    </w:p>
    <w:p w14:paraId="548E3349">
      <w:pPr>
        <w:pStyle w:val="2"/>
        <w:keepNext w:val="0"/>
        <w:keepLines w:val="0"/>
        <w:pageBreakBefore w:val="0"/>
        <w:numPr>
          <w:ilvl w:val="0"/>
          <w:numId w:val="0"/>
        </w:numPr>
        <w:kinsoku/>
        <w:wordWrap/>
        <w:overflowPunct/>
        <w:topLinePunct w:val="0"/>
        <w:autoSpaceDE/>
        <w:autoSpaceDN/>
        <w:bidi w:val="0"/>
        <w:adjustRightInd/>
        <w:snapToGrid/>
        <w:spacing w:before="0" w:after="0" w:line="540" w:lineRule="exact"/>
        <w:ind w:firstLine="562" w:firstLineChars="200"/>
        <w:jc w:val="both"/>
        <w:textAlignment w:val="auto"/>
        <w:rPr>
          <w:rFonts w:hint="eastAsia" w:ascii="仿宋_GB2312" w:hAnsi="仿宋_GB2312" w:eastAsia="仿宋_GB2312" w:cs="仿宋_GB2312"/>
          <w:kern w:val="2"/>
          <w:sz w:val="28"/>
          <w:szCs w:val="28"/>
          <w:lang w:val="en-US" w:eastAsia="zh-CN"/>
        </w:rPr>
      </w:pPr>
      <w:r>
        <w:rPr>
          <w:rFonts w:hint="eastAsia" w:ascii="仿宋_GB2312" w:hAnsi="仿宋_GB2312" w:eastAsia="仿宋_GB2312" w:cs="仿宋_GB2312"/>
          <w:kern w:val="2"/>
          <w:sz w:val="28"/>
          <w:szCs w:val="28"/>
          <w:lang w:val="en-US" w:eastAsia="zh-CN"/>
        </w:rPr>
        <w:t>1.项目背景</w:t>
      </w:r>
    </w:p>
    <w:p w14:paraId="26D99A7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i w:val="0"/>
          <w:caps w:val="0"/>
          <w:color w:val="000000"/>
          <w:spacing w:val="0"/>
          <w:sz w:val="28"/>
          <w:szCs w:val="28"/>
        </w:rPr>
      </w:pPr>
      <w:r>
        <w:rPr>
          <w:rFonts w:hint="eastAsia" w:ascii="仿宋_GB2312" w:hAnsi="仿宋_GB2312" w:eastAsia="仿宋_GB2312" w:cs="仿宋_GB2312"/>
          <w:sz w:val="28"/>
          <w:szCs w:val="28"/>
        </w:rPr>
        <w:t>总体国家安全观是习近平新时代中国特色社会主义思想的重要组成部分，无线电安全是总体国家安全不可或缺的一部分，事关人民安全、政治安全和国家利益，事关经济发展、国防建设和社会稳定。</w:t>
      </w:r>
    </w:p>
    <w:p w14:paraId="48481046">
      <w:pPr>
        <w:pStyle w:val="12"/>
        <w:keepNext w:val="0"/>
        <w:keepLines w:val="0"/>
        <w:pageBreakBefore w:val="0"/>
        <w:kinsoku/>
        <w:wordWrap/>
        <w:overflowPunct/>
        <w:topLinePunct w:val="0"/>
        <w:autoSpaceDE/>
        <w:autoSpaceDN/>
        <w:bidi w:val="0"/>
        <w:adjustRightInd/>
        <w:spacing w:line="540" w:lineRule="exact"/>
        <w:ind w:left="0" w:leftChars="0" w:firstLine="560" w:firstLineChars="200"/>
        <w:textAlignment w:val="auto"/>
        <w:rPr>
          <w:rFonts w:hint="eastAsia" w:ascii="仿宋_GB2312"/>
          <w:sz w:val="28"/>
          <w:szCs w:val="28"/>
        </w:rPr>
      </w:pPr>
      <w:r>
        <w:rPr>
          <w:rFonts w:hint="eastAsia" w:ascii="仿宋_GB2312" w:hAnsi="仿宋_GB2312" w:cs="仿宋_GB2312"/>
          <w:kern w:val="2"/>
          <w:sz w:val="28"/>
          <w:szCs w:val="28"/>
          <w:lang w:val="en-US" w:eastAsia="zh-CN" w:bidi="ar-SA"/>
        </w:rPr>
        <w:t>为确保无线电管理工作顺利开展，保障</w:t>
      </w:r>
      <w:r>
        <w:rPr>
          <w:rFonts w:hint="eastAsia" w:ascii="仿宋_GB2312"/>
          <w:color w:val="auto"/>
          <w:sz w:val="28"/>
          <w:szCs w:val="28"/>
          <w:lang w:val="en-US" w:eastAsia="zh-CN"/>
        </w:rPr>
        <w:t>无线电基础设施正常运行是基本条件。</w:t>
      </w:r>
      <w:r>
        <w:rPr>
          <w:rFonts w:hint="eastAsia" w:ascii="仿宋_GB2312"/>
          <w:color w:val="auto"/>
          <w:sz w:val="28"/>
          <w:szCs w:val="28"/>
        </w:rPr>
        <w:t>按</w:t>
      </w:r>
      <w:r>
        <w:rPr>
          <w:rFonts w:hint="eastAsia" w:ascii="仿宋_GB2312"/>
          <w:sz w:val="28"/>
          <w:szCs w:val="28"/>
        </w:rPr>
        <w:t>照安</w:t>
      </w:r>
      <w:r>
        <w:rPr>
          <w:rFonts w:hint="eastAsia" w:ascii="仿宋_GB2312"/>
          <w:sz w:val="28"/>
          <w:szCs w:val="28"/>
          <w:lang w:eastAsia="zh-CN"/>
        </w:rPr>
        <w:t>全</w:t>
      </w:r>
      <w:r>
        <w:rPr>
          <w:rFonts w:hint="eastAsia" w:ascii="仿宋_GB2312"/>
          <w:sz w:val="28"/>
          <w:szCs w:val="28"/>
        </w:rPr>
        <w:t>生产及无线电管理工作有关要求，</w:t>
      </w:r>
      <w:r>
        <w:rPr>
          <w:rFonts w:hint="eastAsia" w:ascii="仿宋_GB2312"/>
          <w:sz w:val="28"/>
          <w:szCs w:val="28"/>
          <w:lang w:val="en-US" w:eastAsia="zh-CN"/>
        </w:rPr>
        <w:t>需</w:t>
      </w:r>
      <w:r>
        <w:rPr>
          <w:rFonts w:hint="eastAsia" w:ascii="仿宋_GB2312"/>
          <w:sz w:val="28"/>
          <w:szCs w:val="28"/>
        </w:rPr>
        <w:t>做好对监测业务楼内进行全面的安全检查工作。</w:t>
      </w:r>
      <w:r>
        <w:rPr>
          <w:rFonts w:hint="eastAsia" w:ascii="仿宋_GB2312"/>
          <w:sz w:val="28"/>
          <w:szCs w:val="28"/>
          <w:lang w:val="en-US" w:eastAsia="zh-CN"/>
        </w:rPr>
        <w:t>为此</w:t>
      </w:r>
      <w:r>
        <w:rPr>
          <w:rFonts w:hint="eastAsia" w:ascii="仿宋_GB2312" w:hAnsi="仿宋_GB2312" w:cs="仿宋_GB2312"/>
          <w:kern w:val="2"/>
          <w:sz w:val="28"/>
          <w:szCs w:val="28"/>
          <w:lang w:val="en-US" w:eastAsia="zh-CN" w:bidi="ar-SA"/>
        </w:rPr>
        <w:t>单位充分利用单位非财政拨款资金安排必要的项目支出。</w:t>
      </w:r>
      <w:r>
        <w:rPr>
          <w:rFonts w:hint="eastAsia" w:ascii="仿宋_GB2312"/>
          <w:sz w:val="28"/>
          <w:szCs w:val="28"/>
        </w:rPr>
        <w:t>保障项目</w:t>
      </w:r>
      <w:r>
        <w:rPr>
          <w:rFonts w:hint="eastAsia" w:ascii="仿宋_GB2312"/>
          <w:sz w:val="28"/>
          <w:szCs w:val="28"/>
          <w:lang w:val="en-US" w:eastAsia="zh-CN"/>
        </w:rPr>
        <w:t>的</w:t>
      </w:r>
      <w:r>
        <w:rPr>
          <w:rFonts w:hint="eastAsia" w:ascii="仿宋_GB2312"/>
          <w:sz w:val="28"/>
          <w:szCs w:val="28"/>
        </w:rPr>
        <w:t>质量和效益，助力经济社会发展，维护社会稳定和长治久安。</w:t>
      </w:r>
    </w:p>
    <w:p w14:paraId="118E4D46">
      <w:pPr>
        <w:pStyle w:val="2"/>
        <w:keepNext w:val="0"/>
        <w:keepLines w:val="0"/>
        <w:pageBreakBefore w:val="0"/>
        <w:numPr>
          <w:ilvl w:val="0"/>
          <w:numId w:val="0"/>
        </w:numPr>
        <w:kinsoku/>
        <w:wordWrap/>
        <w:overflowPunct/>
        <w:topLinePunct w:val="0"/>
        <w:autoSpaceDE/>
        <w:autoSpaceDN/>
        <w:bidi w:val="0"/>
        <w:adjustRightInd/>
        <w:snapToGrid/>
        <w:spacing w:before="0" w:after="0" w:line="540" w:lineRule="exact"/>
        <w:ind w:firstLine="562"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2.</w:t>
      </w:r>
      <w:r>
        <w:rPr>
          <w:rFonts w:hint="eastAsia" w:ascii="仿宋_GB2312" w:hAnsi="仿宋_GB2312" w:eastAsia="仿宋_GB2312" w:cs="仿宋_GB2312"/>
          <w:kern w:val="2"/>
          <w:sz w:val="28"/>
          <w:szCs w:val="28"/>
        </w:rPr>
        <w:t>项目主要内容</w:t>
      </w:r>
    </w:p>
    <w:p w14:paraId="582D1B59">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(1)</w:t>
      </w:r>
      <w:r>
        <w:rPr>
          <w:rFonts w:hint="eastAsia" w:ascii="仿宋_GB2312" w:hAnsi="仿宋_GB2312" w:eastAsia="仿宋_GB2312" w:cs="仿宋_GB2312"/>
          <w:sz w:val="28"/>
          <w:szCs w:val="28"/>
        </w:rPr>
        <w:t>主要内容：根据20</w:t>
      </w:r>
      <w:r>
        <w:rPr>
          <w:rFonts w:hint="eastAsia" w:ascii="仿宋_GB2312" w:hAnsi="仿宋_GB2312" w:eastAsia="仿宋_GB2312" w:cs="仿宋_GB2312"/>
          <w:sz w:val="28"/>
          <w:szCs w:val="28"/>
          <w:lang w:val="en-US" w:eastAsia="zh-CN"/>
        </w:rPr>
        <w:t>23</w:t>
      </w:r>
      <w:r>
        <w:rPr>
          <w:rFonts w:hint="eastAsia" w:ascii="仿宋_GB2312" w:hAnsi="仿宋_GB2312" w:eastAsia="仿宋_GB2312" w:cs="仿宋_GB2312"/>
          <w:sz w:val="28"/>
          <w:szCs w:val="28"/>
        </w:rPr>
        <w:t>年自治区无线电安全保障工作总体要求，结合</w:t>
      </w:r>
      <w:r>
        <w:rPr>
          <w:rFonts w:hint="eastAsia" w:ascii="仿宋_GB2312" w:hAnsi="仿宋_GB2312" w:eastAsia="仿宋_GB2312" w:cs="仿宋_GB2312"/>
          <w:sz w:val="28"/>
          <w:szCs w:val="28"/>
          <w:lang w:eastAsia="zh-CN"/>
        </w:rPr>
        <w:t>吐鲁番局</w:t>
      </w:r>
      <w:r>
        <w:rPr>
          <w:rFonts w:hint="eastAsia" w:ascii="仿宋_GB2312" w:hAnsi="仿宋_GB2312" w:eastAsia="仿宋_GB2312" w:cs="仿宋_GB2312"/>
          <w:sz w:val="28"/>
          <w:szCs w:val="28"/>
        </w:rPr>
        <w:t>工作计划纳入20</w:t>
      </w:r>
      <w:r>
        <w:rPr>
          <w:rFonts w:hint="eastAsia" w:ascii="仿宋_GB2312" w:hAnsi="仿宋_GB2312" w:eastAsia="仿宋_GB2312" w:cs="仿宋_GB2312"/>
          <w:sz w:val="28"/>
          <w:szCs w:val="28"/>
          <w:lang w:val="en-US" w:eastAsia="zh-CN"/>
        </w:rPr>
        <w:t>23</w:t>
      </w:r>
      <w:r>
        <w:rPr>
          <w:rFonts w:hint="eastAsia" w:ascii="仿宋_GB2312" w:hAnsi="仿宋_GB2312" w:eastAsia="仿宋_GB2312" w:cs="仿宋_GB2312"/>
          <w:sz w:val="28"/>
          <w:szCs w:val="28"/>
        </w:rPr>
        <w:t>年部门预算，</w:t>
      </w:r>
      <w:r>
        <w:rPr>
          <w:rFonts w:hint="eastAsia" w:ascii="仿宋_GB2312" w:hAnsi="仿宋_GB2312" w:eastAsia="仿宋_GB2312" w:cs="仿宋_GB2312"/>
          <w:sz w:val="28"/>
          <w:szCs w:val="28"/>
          <w:lang w:eastAsia="zh-CN"/>
        </w:rPr>
        <w:t>用单位非财政资金</w:t>
      </w:r>
      <w:r>
        <w:rPr>
          <w:rFonts w:hint="eastAsia" w:ascii="仿宋_GB2312" w:hAnsi="仿宋_GB2312" w:eastAsia="仿宋_GB2312" w:cs="仿宋_GB2312"/>
          <w:sz w:val="28"/>
          <w:szCs w:val="28"/>
        </w:rPr>
        <w:t>申报监测业务楼配电系统改造项目预算</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用于对该电路系统进行排查维修（改造）</w:t>
      </w:r>
      <w:r>
        <w:rPr>
          <w:rFonts w:hint="eastAsia" w:ascii="仿宋_GB2312" w:hAnsi="仿宋_GB2312" w:eastAsia="仿宋_GB2312" w:cs="仿宋_GB2312"/>
          <w:sz w:val="28"/>
          <w:szCs w:val="28"/>
          <w:lang w:val="en-US" w:eastAsia="zh-CN"/>
        </w:rPr>
        <w:t>支出</w:t>
      </w:r>
      <w:r>
        <w:rPr>
          <w:rFonts w:hint="eastAsia" w:ascii="仿宋_GB2312" w:hAnsi="仿宋_GB2312" w:eastAsia="仿宋_GB2312" w:cs="仿宋_GB2312"/>
          <w:sz w:val="28"/>
          <w:szCs w:val="28"/>
        </w:rPr>
        <w:t>。</w:t>
      </w:r>
    </w:p>
    <w:p w14:paraId="01F0BF1D">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(2)</w:t>
      </w:r>
      <w:r>
        <w:rPr>
          <w:rFonts w:hint="eastAsia" w:ascii="仿宋_GB2312" w:hAnsi="仿宋_GB2312" w:eastAsia="仿宋_GB2312" w:cs="仿宋_GB2312"/>
          <w:sz w:val="28"/>
          <w:szCs w:val="28"/>
        </w:rPr>
        <w:t>项目实施情况：</w:t>
      </w:r>
      <w:r>
        <w:rPr>
          <w:rFonts w:hint="eastAsia" w:ascii="仿宋_GB2312" w:hAnsi="仿宋_GB2312" w:eastAsia="仿宋_GB2312" w:cs="仿宋_GB2312"/>
          <w:sz w:val="28"/>
          <w:szCs w:val="28"/>
          <w:lang w:val="en-US" w:eastAsia="zh-CN"/>
        </w:rPr>
        <w:t>2023年度</w:t>
      </w:r>
      <w:r>
        <w:rPr>
          <w:rFonts w:hint="eastAsia" w:ascii="仿宋_GB2312" w:hAnsi="仿宋_GB2312" w:eastAsia="仿宋_GB2312" w:cs="仿宋_GB2312"/>
          <w:sz w:val="28"/>
          <w:szCs w:val="28"/>
          <w:lang w:eastAsia="zh-CN"/>
        </w:rPr>
        <w:t>完成了此项目工作</w:t>
      </w:r>
      <w:r>
        <w:rPr>
          <w:rFonts w:hint="eastAsia" w:ascii="仿宋_GB2312" w:hAnsi="仿宋_GB2312" w:eastAsia="仿宋_GB2312" w:cs="仿宋_GB2312"/>
          <w:sz w:val="28"/>
          <w:szCs w:val="28"/>
        </w:rPr>
        <w:t>目标，项目在实施过程中严格按照目标设立的各阶段任务开展工作，在前期立项过程中严格把质量关，建立安全防护机制，保证项目实施各阶段</w:t>
      </w:r>
      <w:r>
        <w:rPr>
          <w:rFonts w:hint="eastAsia" w:ascii="仿宋_GB2312" w:hAnsi="仿宋_GB2312" w:eastAsia="仿宋_GB2312" w:cs="仿宋_GB2312"/>
          <w:sz w:val="28"/>
          <w:szCs w:val="28"/>
          <w:lang w:eastAsia="zh-CN"/>
        </w:rPr>
        <w:t>能</w:t>
      </w:r>
      <w:r>
        <w:rPr>
          <w:rFonts w:hint="eastAsia" w:ascii="仿宋_GB2312" w:hAnsi="仿宋_GB2312" w:eastAsia="仿宋_GB2312" w:cs="仿宋_GB2312"/>
          <w:sz w:val="28"/>
          <w:szCs w:val="28"/>
        </w:rPr>
        <w:t>安全顺利进行。</w:t>
      </w:r>
    </w:p>
    <w:p w14:paraId="43F05580">
      <w:pPr>
        <w:pStyle w:val="2"/>
        <w:keepNext w:val="0"/>
        <w:keepLines w:val="0"/>
        <w:pageBreakBefore w:val="0"/>
        <w:numPr>
          <w:ilvl w:val="0"/>
          <w:numId w:val="0"/>
        </w:numPr>
        <w:kinsoku/>
        <w:wordWrap/>
        <w:overflowPunct/>
        <w:topLinePunct w:val="0"/>
        <w:autoSpaceDE/>
        <w:autoSpaceDN/>
        <w:bidi w:val="0"/>
        <w:adjustRightInd/>
        <w:snapToGrid/>
        <w:spacing w:before="0" w:after="0" w:line="540" w:lineRule="exact"/>
        <w:ind w:firstLine="562"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3.</w:t>
      </w:r>
      <w:r>
        <w:rPr>
          <w:rFonts w:hint="eastAsia" w:ascii="仿宋_GB2312" w:hAnsi="仿宋_GB2312" w:eastAsia="仿宋_GB2312" w:cs="仿宋_GB2312"/>
          <w:kern w:val="2"/>
          <w:sz w:val="28"/>
          <w:szCs w:val="28"/>
        </w:rPr>
        <w:t>资金投入和使用情况</w:t>
      </w:r>
    </w:p>
    <w:p w14:paraId="78C9F8BF">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(1)</w:t>
      </w:r>
      <w:r>
        <w:rPr>
          <w:rFonts w:hint="eastAsia" w:ascii="仿宋_GB2312" w:hAnsi="仿宋_GB2312" w:eastAsia="仿宋_GB2312" w:cs="仿宋_GB2312"/>
          <w:sz w:val="28"/>
          <w:szCs w:val="28"/>
          <w:lang w:val="en-US" w:eastAsia="zh-CN"/>
        </w:rPr>
        <w:t>资金投入情况</w:t>
      </w:r>
    </w:p>
    <w:p w14:paraId="67D3C67B">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cs="仿宋_GB2312"/>
          <w:sz w:val="28"/>
          <w:szCs w:val="28"/>
          <w:lang w:val="en-US" w:eastAsia="zh-CN"/>
        </w:rPr>
      </w:pPr>
      <w:r>
        <w:rPr>
          <w:rFonts w:hint="eastAsia" w:ascii="仿宋_GB2312" w:hAnsi="仿宋_GB2312" w:eastAsia="仿宋_GB2312" w:cs="仿宋_GB2312"/>
          <w:sz w:val="28"/>
          <w:szCs w:val="28"/>
        </w:rPr>
        <w:t>本项目总投资</w:t>
      </w:r>
      <w:r>
        <w:rPr>
          <w:rFonts w:hint="eastAsia" w:ascii="仿宋_GB2312" w:hAnsi="仿宋_GB2312" w:eastAsia="仿宋_GB2312" w:cs="仿宋_GB2312"/>
          <w:b w:val="0"/>
          <w:bCs w:val="0"/>
          <w:kern w:val="2"/>
          <w:sz w:val="28"/>
          <w:szCs w:val="28"/>
          <w:highlight w:val="none"/>
          <w:lang w:val="en-US" w:eastAsia="zh-CN" w:bidi="ar-SA"/>
        </w:rPr>
        <w:t>5</w:t>
      </w:r>
      <w:r>
        <w:rPr>
          <w:rFonts w:hint="eastAsia" w:ascii="仿宋_GB2312" w:hAnsi="仿宋_GB2312" w:eastAsia="仿宋_GB2312" w:cs="仿宋_GB2312"/>
          <w:sz w:val="28"/>
          <w:szCs w:val="28"/>
        </w:rPr>
        <w:t>万元，其中：财政本级资金</w:t>
      </w:r>
      <w:r>
        <w:rPr>
          <w:rFonts w:hint="eastAsia" w:ascii="仿宋_GB2312" w:hAnsi="仿宋_GB2312" w:eastAsia="仿宋_GB2312" w:cs="仿宋_GB2312"/>
          <w:b w:val="0"/>
          <w:bCs w:val="0"/>
          <w:kern w:val="2"/>
          <w:sz w:val="28"/>
          <w:szCs w:val="28"/>
          <w:highlight w:val="none"/>
          <w:lang w:val="en-US" w:eastAsia="zh-CN" w:bidi="ar-SA"/>
        </w:rPr>
        <w:t>0</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，单位其他资金</w:t>
      </w:r>
      <w:r>
        <w:rPr>
          <w:rFonts w:hint="eastAsia" w:ascii="仿宋_GB2312" w:hAnsi="仿宋_GB2312" w:eastAsia="仿宋_GB2312" w:cs="仿宋_GB2312"/>
          <w:b w:val="0"/>
          <w:bCs w:val="0"/>
          <w:kern w:val="2"/>
          <w:sz w:val="28"/>
          <w:szCs w:val="28"/>
          <w:highlight w:val="none"/>
          <w:lang w:val="en-US" w:eastAsia="zh-CN" w:bidi="ar-SA"/>
        </w:rPr>
        <w:t>5</w:t>
      </w:r>
      <w:r>
        <w:rPr>
          <w:rFonts w:hint="eastAsia" w:ascii="仿宋_GB2312" w:hAnsi="仿宋_GB2312" w:eastAsia="仿宋_GB2312" w:cs="仿宋_GB2312"/>
          <w:sz w:val="28"/>
          <w:szCs w:val="28"/>
          <w:lang w:val="en-US" w:eastAsia="zh-CN"/>
        </w:rPr>
        <w:t>万元（事业基金结余）</w:t>
      </w:r>
      <w:r>
        <w:rPr>
          <w:rFonts w:hint="eastAsia" w:ascii="仿宋_GB2312" w:hAnsi="仿宋_GB2312" w:eastAsia="仿宋_GB2312" w:cs="仿宋_GB2312"/>
          <w:sz w:val="28"/>
          <w:szCs w:val="28"/>
        </w:rPr>
        <w:t>。监测业务楼配电</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lang w:val="en-US" w:eastAsia="zh-CN"/>
        </w:rPr>
        <w:t>已</w:t>
      </w:r>
      <w:r>
        <w:rPr>
          <w:rFonts w:hint="eastAsia" w:ascii="仿宋_GB2312" w:hAnsi="仿宋_GB2312" w:eastAsia="仿宋_GB2312" w:cs="仿宋_GB2312"/>
          <w:sz w:val="28"/>
          <w:szCs w:val="28"/>
          <w:lang w:eastAsia="zh-CN"/>
        </w:rPr>
        <w:t>正常实施</w:t>
      </w:r>
      <w:r>
        <w:rPr>
          <w:rFonts w:hint="eastAsia" w:ascii="仿宋_GB2312" w:hAnsi="仿宋_GB2312" w:cs="仿宋_GB2312"/>
          <w:sz w:val="28"/>
          <w:szCs w:val="28"/>
          <w:lang w:val="en-US" w:eastAsia="zh-CN"/>
        </w:rPr>
        <w:t>.</w:t>
      </w:r>
    </w:p>
    <w:p w14:paraId="1F666176">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28"/>
          <w:szCs w:val="28"/>
          <w:lang w:val="en-US" w:eastAsia="zh-CN"/>
        </w:rPr>
        <w:t>资金使用情况</w:t>
      </w:r>
    </w:p>
    <w:p w14:paraId="3CBEDBF9">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cs="仿宋_GB2312"/>
          <w:sz w:val="28"/>
          <w:szCs w:val="28"/>
          <w:lang w:val="en-US" w:eastAsia="zh-CN"/>
        </w:rPr>
        <w:t>该项目全年预算数5万元，</w:t>
      </w:r>
      <w:r>
        <w:rPr>
          <w:rFonts w:hint="eastAsia" w:ascii="仿宋_GB2312" w:hAnsi="仿宋_GB2312" w:eastAsia="仿宋_GB2312" w:cs="仿宋_GB2312"/>
          <w:sz w:val="28"/>
          <w:szCs w:val="28"/>
          <w:lang w:val="en-US" w:eastAsia="zh-CN"/>
        </w:rPr>
        <w:t>项目</w:t>
      </w:r>
      <w:r>
        <w:rPr>
          <w:rFonts w:hint="eastAsia" w:ascii="仿宋_GB2312" w:hAnsi="仿宋_GB2312" w:eastAsia="仿宋_GB2312" w:cs="仿宋_GB2312"/>
          <w:sz w:val="28"/>
          <w:szCs w:val="28"/>
        </w:rPr>
        <w:t>实际</w:t>
      </w:r>
      <w:r>
        <w:rPr>
          <w:rFonts w:hint="eastAsia" w:ascii="仿宋_GB2312" w:hAnsi="仿宋_GB2312" w:cs="仿宋_GB2312"/>
          <w:sz w:val="28"/>
          <w:szCs w:val="28"/>
          <w:lang w:eastAsia="zh-CN"/>
        </w:rPr>
        <w:t>资金</w:t>
      </w:r>
      <w:r>
        <w:rPr>
          <w:rFonts w:hint="eastAsia" w:ascii="仿宋_GB2312" w:hAnsi="仿宋_GB2312" w:eastAsia="仿宋_GB2312" w:cs="仿宋_GB2312"/>
          <w:sz w:val="28"/>
          <w:szCs w:val="28"/>
        </w:rPr>
        <w:t>支出</w:t>
      </w:r>
      <w:r>
        <w:rPr>
          <w:rFonts w:hint="eastAsia" w:ascii="仿宋_GB2312" w:hAnsi="仿宋_GB2312" w:eastAsia="仿宋_GB2312" w:cs="仿宋_GB2312"/>
          <w:sz w:val="28"/>
          <w:szCs w:val="28"/>
          <w:lang w:val="en-US" w:eastAsia="zh-CN"/>
        </w:rPr>
        <w:t>4.084</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val="en-US" w:eastAsia="zh-CN"/>
        </w:rPr>
        <w:t>资金</w:t>
      </w:r>
      <w:r>
        <w:rPr>
          <w:rFonts w:hint="eastAsia" w:ascii="仿宋_GB2312" w:hAnsi="仿宋_GB2312" w:eastAsia="仿宋_GB2312" w:cs="仿宋_GB2312"/>
          <w:sz w:val="28"/>
          <w:szCs w:val="28"/>
        </w:rPr>
        <w:t>支</w:t>
      </w:r>
      <w:r>
        <w:rPr>
          <w:rFonts w:hint="eastAsia" w:ascii="仿宋_GB2312" w:hAnsi="仿宋_GB2312" w:eastAsia="仿宋_GB2312" w:cs="仿宋_GB2312"/>
          <w:sz w:val="28"/>
          <w:szCs w:val="28"/>
          <w:lang w:val="en-US" w:eastAsia="zh-CN"/>
        </w:rPr>
        <w:t>付</w:t>
      </w:r>
      <w:r>
        <w:rPr>
          <w:rFonts w:hint="eastAsia" w:ascii="仿宋_GB2312" w:hAnsi="仿宋_GB2312" w:eastAsia="仿宋_GB2312" w:cs="仿宋_GB2312"/>
          <w:sz w:val="28"/>
          <w:szCs w:val="28"/>
        </w:rPr>
        <w:t>率为</w:t>
      </w:r>
      <w:r>
        <w:rPr>
          <w:rFonts w:hint="eastAsia" w:ascii="仿宋_GB2312" w:hAnsi="仿宋_GB2312" w:eastAsia="仿宋_GB2312" w:cs="仿宋_GB2312"/>
          <w:b w:val="0"/>
          <w:bCs w:val="0"/>
          <w:kern w:val="2"/>
          <w:sz w:val="28"/>
          <w:szCs w:val="28"/>
          <w:highlight w:val="none"/>
          <w:lang w:val="en-US" w:eastAsia="zh-CN" w:bidi="ar-SA"/>
        </w:rPr>
        <w:t>81.60%</w:t>
      </w:r>
      <w:r>
        <w:rPr>
          <w:rFonts w:hint="eastAsia" w:ascii="仿宋_GB2312" w:hAnsi="仿宋_GB2312" w:cs="仿宋_GB2312"/>
          <w:b w:val="0"/>
          <w:bCs w:val="0"/>
          <w:kern w:val="2"/>
          <w:sz w:val="28"/>
          <w:szCs w:val="28"/>
          <w:highlight w:val="none"/>
          <w:lang w:val="en-US" w:eastAsia="zh-CN" w:bidi="ar-SA"/>
        </w:rPr>
        <w:t>，主要用于监测业务楼配电项目维护（修）</w:t>
      </w:r>
      <w:r>
        <w:rPr>
          <w:rFonts w:hint="eastAsia" w:ascii="仿宋_GB2312" w:hAnsi="仿宋_GB2312" w:eastAsia="仿宋_GB2312" w:cs="仿宋_GB2312"/>
          <w:sz w:val="28"/>
          <w:szCs w:val="28"/>
        </w:rPr>
        <w:t>。</w:t>
      </w:r>
    </w:p>
    <w:p w14:paraId="784FD864">
      <w:pPr>
        <w:keepNext w:val="0"/>
        <w:keepLines w:val="0"/>
        <w:pageBreakBefore w:val="0"/>
        <w:kinsoku/>
        <w:wordWrap/>
        <w:overflowPunct/>
        <w:topLinePunct w:val="0"/>
        <w:autoSpaceDE/>
        <w:autoSpaceDN/>
        <w:bidi w:val="0"/>
        <w:adjustRightInd/>
        <w:spacing w:line="540" w:lineRule="exact"/>
        <w:ind w:firstLine="301" w:firstLineChars="100"/>
        <w:textAlignment w:val="auto"/>
        <w:rPr>
          <w:rFonts w:ascii="仿宋_GB2312"/>
        </w:rPr>
      </w:pPr>
      <w:r>
        <w:rPr>
          <w:rFonts w:hint="eastAsia" w:eastAsia="楷体_GB2312"/>
          <w:b/>
          <w:bCs/>
          <w:sz w:val="30"/>
          <w:szCs w:val="30"/>
        </w:rPr>
        <w:t>（二）项目绩效目标</w:t>
      </w:r>
    </w:p>
    <w:p w14:paraId="60E3EF76">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总体目标</w:t>
      </w:r>
    </w:p>
    <w:p w14:paraId="23CBFE09">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黑体" w:hAnsi="黑体" w:eastAsia="黑体"/>
          <w:sz w:val="28"/>
          <w:szCs w:val="28"/>
        </w:rPr>
      </w:pPr>
      <w:r>
        <w:rPr>
          <w:rFonts w:hint="eastAsia" w:ascii="仿宋_GB2312" w:hAnsi="Times New Roman" w:cs="Times New Roman"/>
          <w:sz w:val="28"/>
          <w:szCs w:val="28"/>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w:t>
      </w:r>
      <w:r>
        <w:rPr>
          <w:rFonts w:hint="eastAsia" w:ascii="仿宋_GB2312" w:cs="Times New Roman"/>
          <w:sz w:val="28"/>
          <w:szCs w:val="28"/>
          <w:lang w:eastAsia="zh-CN"/>
        </w:rPr>
        <w:t>。</w:t>
      </w:r>
      <w:r>
        <w:rPr>
          <w:rFonts w:hint="eastAsia" w:ascii="仿宋_GB2312" w:hAnsi="Times New Roman" w:cs="Times New Roman"/>
          <w:sz w:val="28"/>
          <w:szCs w:val="28"/>
        </w:rPr>
        <w:t>按照</w:t>
      </w:r>
      <w:r>
        <w:rPr>
          <w:rFonts w:hint="eastAsia" w:ascii="仿宋_GB2312"/>
          <w:sz w:val="28"/>
          <w:szCs w:val="28"/>
        </w:rPr>
        <w:t>安</w:t>
      </w:r>
      <w:r>
        <w:rPr>
          <w:rFonts w:hint="eastAsia" w:ascii="仿宋_GB2312"/>
          <w:sz w:val="28"/>
          <w:szCs w:val="28"/>
          <w:lang w:eastAsia="zh-CN"/>
        </w:rPr>
        <w:t>全</w:t>
      </w:r>
      <w:r>
        <w:rPr>
          <w:rFonts w:hint="eastAsia" w:ascii="仿宋_GB2312"/>
          <w:sz w:val="28"/>
          <w:szCs w:val="28"/>
        </w:rPr>
        <w:t>生产及无线电管理工作有关要求</w:t>
      </w:r>
      <w:r>
        <w:rPr>
          <w:rFonts w:hint="eastAsia" w:ascii="仿宋_GB2312" w:hAnsi="Times New Roman" w:cs="Times New Roman"/>
          <w:sz w:val="28"/>
          <w:szCs w:val="28"/>
        </w:rPr>
        <w:t>，</w:t>
      </w:r>
      <w:r>
        <w:rPr>
          <w:rFonts w:hint="eastAsia" w:ascii="仿宋_GB2312" w:cs="Times New Roman"/>
          <w:sz w:val="28"/>
          <w:szCs w:val="28"/>
          <w:lang w:val="en-US" w:eastAsia="zh-CN"/>
        </w:rPr>
        <w:t>需</w:t>
      </w:r>
      <w:r>
        <w:rPr>
          <w:rFonts w:hint="eastAsia" w:ascii="仿宋_GB2312" w:hAnsi="Times New Roman" w:cs="Times New Roman"/>
          <w:sz w:val="28"/>
          <w:szCs w:val="28"/>
        </w:rPr>
        <w:t>做好对</w:t>
      </w:r>
      <w:r>
        <w:rPr>
          <w:rFonts w:hint="eastAsia" w:ascii="仿宋_GB2312"/>
          <w:sz w:val="28"/>
          <w:szCs w:val="28"/>
        </w:rPr>
        <w:t>监测业务楼配电</w:t>
      </w:r>
      <w:r>
        <w:rPr>
          <w:rFonts w:hint="eastAsia" w:ascii="仿宋_GB2312"/>
          <w:sz w:val="28"/>
          <w:szCs w:val="28"/>
          <w:lang w:eastAsia="zh-CN"/>
        </w:rPr>
        <w:t>室电路</w:t>
      </w:r>
      <w:r>
        <w:rPr>
          <w:rFonts w:hint="eastAsia" w:ascii="仿宋_GB2312" w:hAnsi="Times New Roman" w:cs="Times New Roman"/>
          <w:sz w:val="28"/>
          <w:szCs w:val="28"/>
        </w:rPr>
        <w:t>整治</w:t>
      </w:r>
      <w:r>
        <w:rPr>
          <w:rFonts w:hint="eastAsia" w:ascii="仿宋_GB2312" w:cs="Times New Roman"/>
          <w:sz w:val="28"/>
          <w:szCs w:val="28"/>
          <w:lang w:eastAsia="zh-CN"/>
        </w:rPr>
        <w:t>维修</w:t>
      </w:r>
      <w:r>
        <w:rPr>
          <w:rFonts w:hint="eastAsia" w:ascii="仿宋_GB2312" w:hAnsi="Times New Roman" w:cs="Times New Roman"/>
          <w:sz w:val="28"/>
          <w:szCs w:val="28"/>
        </w:rPr>
        <w:t>工作。保障项目质量和效益，助力经济社会发展，维护社会稳定和长治久安。</w:t>
      </w:r>
    </w:p>
    <w:p w14:paraId="3330C08E">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阶段性目标</w:t>
      </w:r>
    </w:p>
    <w:p w14:paraId="44FDE18C">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（1）前期准备：通过制定项目实施方案，经项目负责人审核通过后，有序开展后续工作。</w:t>
      </w:r>
    </w:p>
    <w:p w14:paraId="2C3F07A6">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sz w:val="30"/>
          <w:szCs w:val="30"/>
        </w:rPr>
      </w:pPr>
      <w:r>
        <w:rPr>
          <w:rFonts w:hint="eastAsia" w:ascii="仿宋_GB2312" w:hAnsi="仿宋_GB2312" w:eastAsia="仿宋_GB2312" w:cs="仿宋_GB2312"/>
          <w:sz w:val="28"/>
          <w:szCs w:val="28"/>
        </w:rPr>
        <w:t>（2）组织实施：</w:t>
      </w:r>
      <w:r>
        <w:rPr>
          <w:rFonts w:hint="eastAsia" w:ascii="仿宋_GB2312" w:hAnsi="仿宋_GB2312" w:eastAsia="仿宋_GB2312" w:cs="仿宋_GB2312"/>
          <w:sz w:val="28"/>
          <w:szCs w:val="28"/>
          <w:lang w:eastAsia="zh-CN"/>
        </w:rPr>
        <w:t>安排专人</w:t>
      </w:r>
      <w:r>
        <w:rPr>
          <w:rFonts w:hint="eastAsia" w:ascii="仿宋_GB2312" w:hAnsi="仿宋_GB2312" w:eastAsia="仿宋_GB2312" w:cs="仿宋_GB2312"/>
          <w:sz w:val="28"/>
          <w:szCs w:val="28"/>
        </w:rPr>
        <w:t>根据项目要求</w:t>
      </w:r>
      <w:r>
        <w:rPr>
          <w:rFonts w:hint="eastAsia" w:ascii="仿宋_GB2312" w:hAnsi="仿宋_GB2312" w:eastAsia="仿宋_GB2312" w:cs="仿宋_GB2312"/>
          <w:sz w:val="28"/>
          <w:szCs w:val="28"/>
          <w:lang w:eastAsia="zh-CN"/>
        </w:rPr>
        <w:t>组织实施项目前期各种手续，</w:t>
      </w:r>
      <w:r>
        <w:rPr>
          <w:rFonts w:hint="eastAsia" w:ascii="仿宋_GB2312" w:hAnsi="仿宋_GB2312" w:eastAsia="仿宋_GB2312" w:cs="仿宋_GB2312"/>
          <w:sz w:val="28"/>
          <w:szCs w:val="28"/>
        </w:rPr>
        <w:t>项目责任人按照项目实施方案要求逐一进行项目部署安排，</w:t>
      </w:r>
      <w:r>
        <w:rPr>
          <w:rFonts w:hint="eastAsia" w:ascii="仿宋_GB2312" w:hAnsi="仿宋_GB2312" w:eastAsia="仿宋_GB2312" w:cs="仿宋_GB2312"/>
          <w:sz w:val="28"/>
          <w:szCs w:val="28"/>
          <w:lang w:eastAsia="zh-CN"/>
        </w:rPr>
        <w:t>以</w:t>
      </w:r>
      <w:r>
        <w:rPr>
          <w:rFonts w:hint="eastAsia" w:ascii="仿宋_GB2312" w:hAnsi="仿宋_GB2312" w:eastAsia="仿宋_GB2312" w:cs="仿宋_GB2312"/>
          <w:sz w:val="28"/>
          <w:szCs w:val="28"/>
        </w:rPr>
        <w:t>提高项目质量及效率性。</w:t>
      </w:r>
    </w:p>
    <w:p w14:paraId="146590CC">
      <w:pPr>
        <w:keepNext w:val="0"/>
        <w:keepLines w:val="0"/>
        <w:pageBreakBefore w:val="0"/>
        <w:kinsoku/>
        <w:wordWrap/>
        <w:overflowPunct/>
        <w:topLinePunct w:val="0"/>
        <w:autoSpaceDE/>
        <w:autoSpaceDN/>
        <w:bidi w:val="0"/>
        <w:adjustRightInd/>
        <w:spacing w:line="540" w:lineRule="exact"/>
        <w:ind w:firstLine="600" w:firstLineChars="200"/>
        <w:textAlignment w:val="auto"/>
        <w:rPr>
          <w:rFonts w:ascii="黑体" w:hAnsi="黑体" w:eastAsia="黑体"/>
        </w:rPr>
      </w:pPr>
      <w:r>
        <w:rPr>
          <w:rFonts w:hint="eastAsia" w:ascii="黑体" w:hAnsi="黑体" w:eastAsia="黑体"/>
        </w:rPr>
        <w:t>二、绩效评价工作开展情况</w:t>
      </w:r>
    </w:p>
    <w:p w14:paraId="50375104">
      <w:pPr>
        <w:keepNext w:val="0"/>
        <w:keepLines w:val="0"/>
        <w:pageBreakBefore w:val="0"/>
        <w:kinsoku/>
        <w:wordWrap/>
        <w:overflowPunct/>
        <w:topLinePunct w:val="0"/>
        <w:autoSpaceDE/>
        <w:autoSpaceDN/>
        <w:bidi w:val="0"/>
        <w:adjustRightInd/>
        <w:spacing w:line="540" w:lineRule="exact"/>
        <w:ind w:firstLine="301" w:firstLineChars="100"/>
        <w:textAlignment w:val="auto"/>
        <w:rPr>
          <w:rFonts w:hint="eastAsia" w:eastAsia="楷体_GB2312"/>
          <w:b/>
          <w:bCs/>
          <w:sz w:val="30"/>
          <w:szCs w:val="30"/>
        </w:rPr>
      </w:pPr>
      <w:r>
        <w:rPr>
          <w:rFonts w:hint="eastAsia" w:eastAsia="楷体_GB2312"/>
          <w:b/>
          <w:bCs/>
          <w:sz w:val="30"/>
          <w:szCs w:val="30"/>
        </w:rPr>
        <w:t>（一）绩效评价目的、对象和范围</w:t>
      </w:r>
    </w:p>
    <w:p w14:paraId="0C69BE2A">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绩效评价的目的</w:t>
      </w:r>
    </w:p>
    <w:p w14:paraId="027D6AEB">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支出绩效评价运用科学、规范的绩效评价方法，制定统一的评价标准，使</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资金得到事前、事中和事后多方面的控制。</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支出绩效评价贯穿于</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支出安排和实施的全过程，是对</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支出效益、管理水平、投入风险等方面的综合评价；是发挥财政调控功能、提高</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资金安排科学性、促进社会经济目标实现的重要保证。</w:t>
      </w:r>
    </w:p>
    <w:p w14:paraId="2E76FDC0">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auto"/>
          <w:sz w:val="28"/>
          <w:szCs w:val="28"/>
        </w:rPr>
        <w:t>通过绩效评价，客观地评判项目的管理绩效，了解和掌握</w:t>
      </w:r>
      <w:r>
        <w:rPr>
          <w:rFonts w:hint="eastAsia" w:ascii="仿宋_GB2312" w:hAnsi="仿宋_GB2312" w:eastAsia="仿宋_GB2312" w:cs="仿宋_GB2312"/>
          <w:b w:val="0"/>
          <w:bCs w:val="0"/>
          <w:color w:val="auto"/>
          <w:sz w:val="28"/>
          <w:szCs w:val="28"/>
          <w:lang w:eastAsia="zh-CN"/>
        </w:rPr>
        <w:t>业务用房</w:t>
      </w:r>
      <w:r>
        <w:rPr>
          <w:rFonts w:hint="eastAsia" w:ascii="仿宋_GB2312" w:hAnsi="仿宋_GB2312" w:cs="仿宋_GB2312"/>
          <w:b w:val="0"/>
          <w:bCs w:val="0"/>
          <w:color w:val="auto"/>
          <w:sz w:val="28"/>
          <w:szCs w:val="28"/>
          <w:lang w:val="en-US" w:eastAsia="zh-CN"/>
        </w:rPr>
        <w:t>(配电室）</w:t>
      </w:r>
      <w:r>
        <w:rPr>
          <w:rFonts w:hint="eastAsia" w:ascii="仿宋_GB2312" w:hAnsi="仿宋_GB2312" w:eastAsia="仿宋_GB2312" w:cs="仿宋_GB2312"/>
          <w:b w:val="0"/>
          <w:bCs w:val="0"/>
          <w:color w:val="auto"/>
          <w:sz w:val="28"/>
          <w:szCs w:val="28"/>
          <w:lang w:eastAsia="zh-CN"/>
        </w:rPr>
        <w:t>改造项目的</w:t>
      </w:r>
      <w:r>
        <w:rPr>
          <w:rFonts w:hint="eastAsia" w:ascii="仿宋_GB2312" w:hAnsi="仿宋_GB2312" w:eastAsia="仿宋_GB2312" w:cs="仿宋_GB2312"/>
          <w:b w:val="0"/>
          <w:bCs w:val="0"/>
          <w:color w:val="auto"/>
          <w:sz w:val="28"/>
          <w:szCs w:val="28"/>
        </w:rPr>
        <w:t>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14:paraId="670DFB3B">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综合来看，通过开展有效的财政支出绩效评价管理，达到改进预算管理、控制节约成本，提高预算资金使用效益的目的。</w:t>
      </w:r>
    </w:p>
    <w:p w14:paraId="370013A8">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2"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绩效评价的对象</w:t>
      </w:r>
    </w:p>
    <w:p w14:paraId="2B653E58">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监测业务楼配电系统改造项目所包含的全部项目建设内容。</w:t>
      </w:r>
    </w:p>
    <w:p w14:paraId="29883957">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2"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绩效评价的范围</w:t>
      </w:r>
    </w:p>
    <w:p w14:paraId="24DF9F3E">
      <w:pPr>
        <w:keepNext w:val="0"/>
        <w:keepLines w:val="0"/>
        <w:pageBreakBefore w:val="0"/>
        <w:kinsoku/>
        <w:wordWrap/>
        <w:overflowPunct/>
        <w:topLinePunct w:val="0"/>
        <w:autoSpaceDE/>
        <w:autoSpaceDN/>
        <w:bidi w:val="0"/>
        <w:adjustRightIn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val="0"/>
          <w:color w:val="auto"/>
          <w:sz w:val="28"/>
          <w:szCs w:val="28"/>
          <w:lang w:eastAsia="zh-CN"/>
        </w:rPr>
        <w:t>对</w:t>
      </w:r>
      <w:r>
        <w:rPr>
          <w:rFonts w:hint="eastAsia" w:ascii="仿宋_GB2312" w:hAnsi="仿宋_GB2312" w:eastAsia="仿宋_GB2312" w:cs="仿宋_GB2312"/>
          <w:sz w:val="28"/>
          <w:szCs w:val="28"/>
        </w:rPr>
        <w:t>监测业务楼配电系统改造项目</w:t>
      </w:r>
      <w:r>
        <w:rPr>
          <w:rFonts w:hint="eastAsia" w:ascii="仿宋_GB2312" w:hAnsi="仿宋_GB2312" w:eastAsia="仿宋_GB2312" w:cs="仿宋_GB2312"/>
          <w:b w:val="0"/>
          <w:bCs w:val="0"/>
          <w:color w:val="auto"/>
          <w:sz w:val="28"/>
          <w:szCs w:val="28"/>
        </w:rPr>
        <w:t>评价从项目决策（包括绩效目标、决策过程）、项目管理（包括项目资金、项目实施）、项目产出（包括项目产出数量、产出质量、产出时效和产出成本）项目效益四个</w:t>
      </w:r>
      <w:r>
        <w:rPr>
          <w:rFonts w:hint="eastAsia" w:ascii="仿宋_GB2312" w:hAnsi="仿宋_GB2312" w:eastAsia="仿宋_GB2312" w:cs="仿宋_GB2312"/>
          <w:b w:val="0"/>
          <w:bCs w:val="0"/>
          <w:color w:val="auto"/>
          <w:sz w:val="28"/>
          <w:szCs w:val="28"/>
          <w:lang w:eastAsia="zh-CN"/>
        </w:rPr>
        <w:t>方面</w:t>
      </w:r>
      <w:r>
        <w:rPr>
          <w:rFonts w:hint="eastAsia" w:ascii="仿宋_GB2312" w:hAnsi="仿宋_GB2312" w:eastAsia="仿宋_GB2312" w:cs="仿宋_GB2312"/>
          <w:b w:val="0"/>
          <w:bCs w:val="0"/>
          <w:color w:val="auto"/>
          <w:sz w:val="28"/>
          <w:szCs w:val="28"/>
        </w:rPr>
        <w:t>进行评价，评价核心为</w:t>
      </w:r>
      <w:r>
        <w:rPr>
          <w:rFonts w:hint="eastAsia" w:ascii="仿宋_GB2312" w:hAnsi="仿宋_GB2312" w:eastAsia="仿宋_GB2312" w:cs="仿宋_GB2312"/>
          <w:sz w:val="28"/>
          <w:szCs w:val="28"/>
          <w:lang w:eastAsia="zh-CN"/>
        </w:rPr>
        <w:t>业务用房改造项目</w:t>
      </w:r>
      <w:r>
        <w:rPr>
          <w:rFonts w:hint="eastAsia" w:ascii="仿宋_GB2312" w:hAnsi="仿宋_GB2312" w:eastAsia="仿宋_GB2312" w:cs="仿宋_GB2312"/>
          <w:b w:val="0"/>
          <w:bCs w:val="0"/>
          <w:color w:val="auto"/>
          <w:sz w:val="28"/>
          <w:szCs w:val="28"/>
        </w:rPr>
        <w:t>支出完成情况和效果。</w:t>
      </w:r>
    </w:p>
    <w:p w14:paraId="22D11D03">
      <w:pPr>
        <w:keepNext w:val="0"/>
        <w:keepLines w:val="0"/>
        <w:pageBreakBefore w:val="0"/>
        <w:kinsoku/>
        <w:wordWrap/>
        <w:overflowPunct/>
        <w:topLinePunct w:val="0"/>
        <w:autoSpaceDE/>
        <w:autoSpaceDN/>
        <w:bidi w:val="0"/>
        <w:adjustRightInd/>
        <w:spacing w:line="540" w:lineRule="exact"/>
        <w:ind w:firstLine="301" w:firstLineChars="100"/>
        <w:textAlignment w:val="auto"/>
        <w:rPr>
          <w:rFonts w:hint="eastAsia"/>
        </w:rPr>
      </w:pPr>
      <w:r>
        <w:rPr>
          <w:rFonts w:hint="eastAsia" w:eastAsia="楷体_GB2312"/>
          <w:b/>
          <w:bCs/>
          <w:sz w:val="30"/>
          <w:szCs w:val="30"/>
          <w:lang w:eastAsia="zh-CN"/>
        </w:rPr>
        <w:t>（</w:t>
      </w:r>
      <w:r>
        <w:rPr>
          <w:rFonts w:hint="eastAsia" w:eastAsia="楷体_GB2312"/>
          <w:b/>
          <w:bCs/>
          <w:sz w:val="30"/>
          <w:szCs w:val="30"/>
          <w:lang w:val="en-US" w:eastAsia="zh-CN"/>
        </w:rPr>
        <w:t>二）</w:t>
      </w:r>
      <w:r>
        <w:rPr>
          <w:rFonts w:hint="eastAsia" w:eastAsia="楷体_GB2312"/>
          <w:b/>
          <w:bCs/>
          <w:sz w:val="30"/>
          <w:szCs w:val="30"/>
        </w:rPr>
        <w:t>绩效评价原则、评价指标体系（附表说明）、评价方法、评价标准</w:t>
      </w:r>
    </w:p>
    <w:p w14:paraId="7FB425C0">
      <w:pPr>
        <w:keepNext w:val="0"/>
        <w:keepLines w:val="0"/>
        <w:pageBreakBefore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sz w:val="28"/>
          <w:szCs w:val="28"/>
          <w:lang w:eastAsia="zh-CN"/>
        </w:rPr>
        <w:t>1</w:t>
      </w:r>
      <w:r>
        <w:rPr>
          <w:rFonts w:hint="eastAsia" w:ascii="仿宋_GB2312" w:hAnsi="仿宋_GB2312" w:eastAsia="仿宋_GB2312" w:cs="仿宋_GB2312"/>
          <w:b/>
          <w:bCs/>
          <w:sz w:val="28"/>
          <w:szCs w:val="28"/>
          <w:lang w:val="en-US" w:eastAsia="zh-CN"/>
        </w:rPr>
        <w:t>.</w:t>
      </w:r>
      <w:r>
        <w:rPr>
          <w:rFonts w:hint="eastAsia" w:ascii="仿宋_GB2312" w:hAnsi="仿宋_GB2312" w:eastAsia="仿宋_GB2312" w:cs="仿宋_GB2312"/>
          <w:b/>
          <w:bCs/>
          <w:color w:val="000000"/>
          <w:sz w:val="28"/>
          <w:szCs w:val="28"/>
          <w:lang w:eastAsia="zh-CN"/>
        </w:rPr>
        <w:t>绩效评价原则</w:t>
      </w:r>
    </w:p>
    <w:p w14:paraId="45B9F7D2">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本次项目绩效评价遵循以下基本原则：</w:t>
      </w:r>
    </w:p>
    <w:p w14:paraId="68F57FB5">
      <w:pPr>
        <w:pStyle w:val="2"/>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outlineLvl w:val="9"/>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kern w:val="28"/>
          <w:sz w:val="28"/>
          <w:szCs w:val="28"/>
          <w:lang w:val="en-US" w:eastAsia="zh-CN" w:bidi="ar-SA"/>
        </w:rPr>
        <w:t>科学公正。绩效评价应当运用科学合理的方法，按照规范的程序，对项目绩效进行客观、公正的反映。</w:t>
      </w:r>
    </w:p>
    <w:p w14:paraId="1A00B18C">
      <w:pPr>
        <w:pStyle w:val="2"/>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outlineLvl w:val="9"/>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kern w:val="28"/>
          <w:sz w:val="28"/>
          <w:szCs w:val="28"/>
          <w:lang w:val="en-US" w:eastAsia="zh-CN" w:bidi="ar-SA"/>
        </w:rPr>
        <w:t>统筹兼顾。单位自评、部门评价和财政评价应职责明确，各有侧重，相互衔接。单位自评应由项目单位自主实施，即“谁支出、谁自评”。部门评价和财政评价应在单位自评的基础上开展。</w:t>
      </w:r>
    </w:p>
    <w:p w14:paraId="04E474CF">
      <w:pPr>
        <w:pStyle w:val="2"/>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outlineLvl w:val="9"/>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kern w:val="28"/>
          <w:sz w:val="28"/>
          <w:szCs w:val="28"/>
          <w:lang w:val="en-US" w:eastAsia="zh-CN" w:bidi="ar-SA"/>
        </w:rPr>
        <w:t>激励约束。绩效评价结果应与预算安排、政策调整、改进管理实质性挂钩，体现奖优罚劣和激励相容导向，有效要安排、低效要压减、无效要问责。</w:t>
      </w:r>
    </w:p>
    <w:p w14:paraId="75A29B4E">
      <w:pPr>
        <w:pStyle w:val="2"/>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outlineLvl w:val="9"/>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kern w:val="28"/>
          <w:sz w:val="28"/>
          <w:szCs w:val="28"/>
          <w:lang w:val="en-US" w:eastAsia="zh-CN" w:bidi="ar-SA"/>
        </w:rPr>
        <w:t>公开透明。绩效评价结果应依法依规公开，并自觉接受社会监督。</w:t>
      </w:r>
    </w:p>
    <w:p w14:paraId="0848D8DF">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2"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ab/>
      </w: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val="en-US" w:eastAsia="zh-CN"/>
        </w:rPr>
        <w:t>.</w:t>
      </w:r>
      <w:r>
        <w:rPr>
          <w:rFonts w:hint="eastAsia" w:ascii="仿宋_GB2312" w:hAnsi="仿宋_GB2312" w:eastAsia="仿宋_GB2312" w:cs="仿宋_GB2312"/>
          <w:b/>
          <w:bCs/>
          <w:sz w:val="28"/>
          <w:szCs w:val="28"/>
        </w:rPr>
        <w:t>评价指标体系</w:t>
      </w:r>
    </w:p>
    <w:p w14:paraId="4F461BD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绩效评价框架是开展绩效评价的核心。绩效评价框架包括评价准则、关键评价问题、评价指标、数据来源、数据收集方法等。指标体系建立过程如下：</w:t>
      </w:r>
    </w:p>
    <w:p w14:paraId="1427F68E">
      <w:pPr>
        <w:keepNext w:val="0"/>
        <w:keepLines w:val="0"/>
        <w:pageBreakBefore w:val="0"/>
        <w:widowControl w:val="0"/>
        <w:kinsoku/>
        <w:wordWrap/>
        <w:overflowPunct/>
        <w:topLinePunct w:val="0"/>
        <w:autoSpaceDE/>
        <w:autoSpaceDN/>
        <w:bidi w:val="0"/>
        <w:adjustRightInd/>
        <w:snapToGrid/>
        <w:spacing w:line="540" w:lineRule="exact"/>
        <w:ind w:firstLine="628"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color w:val="000000"/>
          <w:spacing w:val="17"/>
          <w:sz w:val="28"/>
          <w:szCs w:val="28"/>
        </w:rPr>
        <w:t>（1）</w:t>
      </w:r>
      <w:r>
        <w:rPr>
          <w:rFonts w:hint="eastAsia" w:ascii="仿宋_GB2312" w:hAnsi="仿宋_GB2312" w:eastAsia="仿宋_GB2312" w:cs="仿宋_GB2312"/>
          <w:b w:val="0"/>
          <w:bCs w:val="0"/>
          <w:kern w:val="28"/>
          <w:sz w:val="28"/>
          <w:szCs w:val="28"/>
          <w:lang w:val="en-US" w:eastAsia="zh-CN" w:bidi="ar-SA"/>
        </w:rPr>
        <w:t>确定评价指标</w:t>
      </w:r>
    </w:p>
    <w:p w14:paraId="6A1EAE4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239B2B73">
      <w:pPr>
        <w:keepNext w:val="0"/>
        <w:keepLines w:val="0"/>
        <w:pageBreakBefore w:val="0"/>
        <w:widowControl w:val="0"/>
        <w:kinsoku/>
        <w:wordWrap/>
        <w:overflowPunct/>
        <w:topLinePunct w:val="0"/>
        <w:autoSpaceDE/>
        <w:autoSpaceDN/>
        <w:bidi w:val="0"/>
        <w:adjustRightInd/>
        <w:snapToGrid/>
        <w:spacing w:line="540" w:lineRule="exact"/>
        <w:ind w:firstLine="628"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color w:val="000000"/>
          <w:spacing w:val="17"/>
          <w:sz w:val="28"/>
          <w:szCs w:val="28"/>
        </w:rPr>
        <w:t>（2</w:t>
      </w:r>
      <w:r>
        <w:rPr>
          <w:rFonts w:hint="eastAsia" w:ascii="仿宋_GB2312" w:hAnsi="仿宋_GB2312" w:eastAsia="仿宋_GB2312" w:cs="仿宋_GB2312"/>
          <w:b w:val="0"/>
          <w:bCs w:val="0"/>
          <w:kern w:val="28"/>
          <w:sz w:val="28"/>
          <w:szCs w:val="28"/>
          <w:lang w:val="en-US" w:eastAsia="zh-CN" w:bidi="ar-SA"/>
        </w:rPr>
        <w:t>）确定权重</w:t>
      </w:r>
    </w:p>
    <w:p w14:paraId="3C33AAA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确定各个指标相对于项目总体绩效的权重分值。在绩效评价指标体系中，项目决策权重为20分，项目过程权重为20分，项目产出权重为40分，项目效益权重为20分。</w:t>
      </w:r>
    </w:p>
    <w:p w14:paraId="24C62480">
      <w:pPr>
        <w:keepNext w:val="0"/>
        <w:keepLines w:val="0"/>
        <w:pageBreakBefore w:val="0"/>
        <w:widowControl w:val="0"/>
        <w:kinsoku/>
        <w:wordWrap/>
        <w:overflowPunct/>
        <w:topLinePunct w:val="0"/>
        <w:autoSpaceDE/>
        <w:autoSpaceDN/>
        <w:bidi w:val="0"/>
        <w:adjustRightInd/>
        <w:snapToGrid/>
        <w:spacing w:line="540" w:lineRule="exact"/>
        <w:ind w:firstLine="628"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color w:val="000000"/>
          <w:spacing w:val="17"/>
          <w:sz w:val="28"/>
          <w:szCs w:val="28"/>
        </w:rPr>
        <w:t>（3）</w:t>
      </w:r>
      <w:r>
        <w:rPr>
          <w:rFonts w:hint="eastAsia" w:ascii="仿宋_GB2312" w:hAnsi="仿宋_GB2312" w:eastAsia="仿宋_GB2312" w:cs="仿宋_GB2312"/>
          <w:b w:val="0"/>
          <w:bCs w:val="0"/>
          <w:kern w:val="28"/>
          <w:sz w:val="28"/>
          <w:szCs w:val="28"/>
          <w:lang w:val="en-US" w:eastAsia="zh-CN" w:bidi="ar-SA"/>
        </w:rPr>
        <w:t>确定指标标准值</w:t>
      </w:r>
    </w:p>
    <w:p w14:paraId="0F1541B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指标标准值是绩效评价指标的尺度，既要反映同类项目的先进水平，又要符合项目的实际绩效水平。具体采用计划标准等确定此次绩效评价指标标准值。</w:t>
      </w:r>
    </w:p>
    <w:p w14:paraId="01B9C33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93151D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具体评价指标体系详情见附件1</w:t>
      </w:r>
      <w:r>
        <w:rPr>
          <w:rFonts w:hint="eastAsia" w:ascii="仿宋_GB2312" w:hAnsi="仿宋_GB2312" w:cs="仿宋_GB2312"/>
          <w:b w:val="0"/>
          <w:bCs w:val="0"/>
          <w:kern w:val="28"/>
          <w:sz w:val="28"/>
          <w:szCs w:val="28"/>
          <w:lang w:val="en-US" w:eastAsia="zh-CN" w:bidi="ar-SA"/>
        </w:rPr>
        <w:t>。</w:t>
      </w:r>
    </w:p>
    <w:p w14:paraId="28299F7F">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2"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绩效评价方法</w:t>
      </w:r>
    </w:p>
    <w:p w14:paraId="62E2CD5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绩效评价从项目决策、项目过程、项目产出、项目效益四个维度进行评价。评价对象为项目目标实施情况，评价核心为资金的支出完成情况和项目的产出效益。</w:t>
      </w:r>
    </w:p>
    <w:p w14:paraId="3985C33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绩效评价方法主要包括成本效益分析法、比较法、因素分析法、最低成本法、公众评判法、标杆管理法等。针对本项目，在评价过程中主要采用了定量和定性相结合的比较法，本次专项资金绩效评价过程中，评价组将各指标的实际完成值与绩效目标进行对比分析，考察分析绩效目标的完成情况及实现程度和效果，总得分由各分项指标得分汇总而成</w:t>
      </w:r>
    </w:p>
    <w:p w14:paraId="224DF4D9">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2"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评价标准</w:t>
      </w:r>
    </w:p>
    <w:p w14:paraId="35A9E72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绩效评价标准通常包括计划标准、行业标准、历史标准等，用于对绩效指标完成情况进行比较。本次评价主要采用了计划标准和行业标准。</w:t>
      </w:r>
    </w:p>
    <w:p w14:paraId="08B62BF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监测业务楼配电系统改造</w:t>
      </w:r>
      <w:r>
        <w:rPr>
          <w:rStyle w:val="10"/>
          <w:rFonts w:hint="eastAsia" w:ascii="仿宋_GB2312" w:hAnsi="仿宋_GB2312" w:eastAsia="仿宋_GB2312" w:cs="仿宋_GB2312"/>
          <w:b w:val="0"/>
          <w:spacing w:val="-4"/>
          <w:sz w:val="28"/>
          <w:szCs w:val="28"/>
        </w:rPr>
        <w:t>项目</w:t>
      </w:r>
      <w:r>
        <w:rPr>
          <w:rFonts w:hint="eastAsia" w:ascii="仿宋_GB2312" w:hAnsi="仿宋_GB2312" w:eastAsia="仿宋_GB2312" w:cs="仿宋_GB2312"/>
          <w:sz w:val="28"/>
          <w:szCs w:val="28"/>
        </w:rPr>
        <w:t>绩效评价标准，采用计划标准的方法进行自评，按年初预算制定的目标、计划、预算、定额等指标，作为绩效评价的标准。</w:t>
      </w:r>
    </w:p>
    <w:p w14:paraId="377860A3">
      <w:pPr>
        <w:spacing w:line="600" w:lineRule="exact"/>
        <w:ind w:firstLine="301" w:firstLineChars="100"/>
        <w:rPr>
          <w:rFonts w:hint="eastAsia" w:eastAsia="楷体_GB2312"/>
          <w:b/>
          <w:bCs/>
          <w:sz w:val="30"/>
          <w:szCs w:val="30"/>
        </w:rPr>
      </w:pPr>
      <w:r>
        <w:rPr>
          <w:rFonts w:hint="eastAsia" w:eastAsia="楷体_GB2312"/>
          <w:b/>
          <w:bCs/>
          <w:sz w:val="30"/>
          <w:szCs w:val="30"/>
          <w:lang w:eastAsia="zh-CN"/>
        </w:rPr>
        <w:t>（</w:t>
      </w:r>
      <w:r>
        <w:rPr>
          <w:rFonts w:hint="eastAsia" w:eastAsia="楷体_GB2312"/>
          <w:b/>
          <w:bCs/>
          <w:sz w:val="30"/>
          <w:szCs w:val="30"/>
          <w:lang w:val="en-US" w:eastAsia="zh-CN"/>
        </w:rPr>
        <w:t>二）</w:t>
      </w:r>
      <w:r>
        <w:rPr>
          <w:rFonts w:hint="eastAsia" w:eastAsia="楷体_GB2312"/>
          <w:b/>
          <w:bCs/>
          <w:sz w:val="30"/>
          <w:szCs w:val="30"/>
        </w:rPr>
        <w:t>绩效评价工作过程</w:t>
      </w:r>
    </w:p>
    <w:p w14:paraId="1FA0179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02"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b/>
          <w:bCs w:val="0"/>
          <w:sz w:val="30"/>
          <w:szCs w:val="30"/>
          <w:lang w:val="en-US" w:eastAsia="zh-CN"/>
        </w:rPr>
        <w:t>1.</w:t>
      </w:r>
      <w:r>
        <w:rPr>
          <w:rFonts w:hint="eastAsia" w:ascii="仿宋_GB2312" w:hAnsi="仿宋_GB2312" w:eastAsia="仿宋_GB2312" w:cs="仿宋_GB2312"/>
          <w:b/>
          <w:bCs w:val="0"/>
          <w:sz w:val="28"/>
          <w:szCs w:val="28"/>
        </w:rPr>
        <w:t>前期准备。</w:t>
      </w:r>
      <w:r>
        <w:rPr>
          <w:rFonts w:hint="eastAsia" w:ascii="仿宋_GB2312" w:hAnsi="仿宋_GB2312" w:eastAsia="仿宋_GB2312" w:cs="仿宋_GB2312"/>
          <w:b w:val="0"/>
          <w:bCs w:val="0"/>
          <w:kern w:val="28"/>
          <w:sz w:val="28"/>
          <w:szCs w:val="28"/>
          <w:lang w:val="zh-CN" w:eastAsia="zh-CN" w:bidi="ar-SA"/>
        </w:rPr>
        <w:t>202</w:t>
      </w:r>
      <w:r>
        <w:rPr>
          <w:rFonts w:hint="eastAsia" w:ascii="仿宋_GB2312" w:hAnsi="仿宋_GB2312" w:eastAsia="仿宋_GB2312" w:cs="仿宋_GB2312"/>
          <w:b w:val="0"/>
          <w:bCs w:val="0"/>
          <w:kern w:val="28"/>
          <w:sz w:val="28"/>
          <w:szCs w:val="28"/>
          <w:lang w:val="en-US" w:eastAsia="zh-CN" w:bidi="ar-SA"/>
        </w:rPr>
        <w:t>3</w:t>
      </w:r>
      <w:r>
        <w:rPr>
          <w:rFonts w:hint="eastAsia" w:ascii="仿宋_GB2312" w:hAnsi="仿宋_GB2312" w:eastAsia="仿宋_GB2312" w:cs="仿宋_GB2312"/>
          <w:b w:val="0"/>
          <w:bCs w:val="0"/>
          <w:kern w:val="28"/>
          <w:sz w:val="28"/>
          <w:szCs w:val="28"/>
          <w:lang w:val="zh-CN" w:eastAsia="zh-CN" w:bidi="ar-SA"/>
        </w:rPr>
        <w:t xml:space="preserve">年 </w:t>
      </w:r>
      <w:r>
        <w:rPr>
          <w:rFonts w:hint="eastAsia" w:ascii="仿宋_GB2312" w:hAnsi="仿宋_GB2312" w:eastAsia="仿宋_GB2312" w:cs="仿宋_GB2312"/>
          <w:b w:val="0"/>
          <w:bCs w:val="0"/>
          <w:kern w:val="28"/>
          <w:sz w:val="28"/>
          <w:szCs w:val="28"/>
          <w:lang w:val="en-US" w:eastAsia="zh-CN" w:bidi="ar-SA"/>
        </w:rPr>
        <w:t>6 月 15日</w:t>
      </w:r>
      <w:r>
        <w:rPr>
          <w:rFonts w:hint="eastAsia" w:ascii="仿宋_GB2312" w:hAnsi="仿宋_GB2312" w:eastAsia="仿宋_GB2312" w:cs="仿宋_GB2312"/>
          <w:b w:val="0"/>
          <w:bCs w:val="0"/>
          <w:kern w:val="28"/>
          <w:sz w:val="28"/>
          <w:szCs w:val="28"/>
          <w:lang w:val="zh-CN" w:eastAsia="zh-CN" w:bidi="ar-SA"/>
        </w:rPr>
        <w:t>开始前期准备工作</w:t>
      </w:r>
      <w:r>
        <w:rPr>
          <w:rFonts w:hint="eastAsia" w:ascii="仿宋_GB2312" w:hAnsi="仿宋_GB2312" w:eastAsia="仿宋_GB2312" w:cs="仿宋_GB2312"/>
          <w:b w:val="0"/>
          <w:bCs w:val="0"/>
          <w:kern w:val="28"/>
          <w:sz w:val="28"/>
          <w:szCs w:val="28"/>
          <w:lang w:val="en-US" w:eastAsia="zh-CN" w:bidi="ar-SA"/>
        </w:rPr>
        <w:t>。首先成立评价工作组，开展前期调研；其次明确项目绩效目标，设计绩效评价指标体系并确定绩效评价方法；接着确定现场和非现场评价范围，设计资料清单；最后制定评价实施方案并进行论证。</w:t>
      </w:r>
    </w:p>
    <w:p w14:paraId="4BFCF5E5">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bCs w:val="0"/>
          <w:sz w:val="28"/>
          <w:szCs w:val="28"/>
          <w:lang w:val="en-US" w:eastAsia="zh-CN"/>
        </w:rPr>
        <w:t>2.</w:t>
      </w:r>
      <w:r>
        <w:rPr>
          <w:rFonts w:hint="eastAsia" w:ascii="仿宋_GB2312" w:hAnsi="仿宋_GB2312" w:eastAsia="仿宋_GB2312" w:cs="仿宋_GB2312"/>
          <w:b/>
          <w:bCs w:val="0"/>
          <w:sz w:val="28"/>
          <w:szCs w:val="28"/>
        </w:rPr>
        <w:t>组织实施。</w:t>
      </w:r>
      <w:r>
        <w:rPr>
          <w:rFonts w:hint="eastAsia" w:ascii="仿宋_GB2312" w:hAnsi="仿宋_GB2312" w:eastAsia="仿宋_GB2312" w:cs="仿宋_GB2312"/>
          <w:b w:val="0"/>
          <w:bCs w:val="0"/>
          <w:kern w:val="28"/>
          <w:sz w:val="28"/>
          <w:szCs w:val="28"/>
          <w:lang w:val="en-US" w:eastAsia="zh-CN" w:bidi="ar-SA"/>
        </w:rPr>
        <w:t>2023年7 月 1 日- 8月6日，制定绩效评价工作方案，具体包括项目概况、评价思路、方法手段、组织实施、进度安排等。收集项目立项依据、相关会议纪要等相关评价资料并进行梳理。</w:t>
      </w:r>
    </w:p>
    <w:p w14:paraId="62843390">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bCs w:val="0"/>
          <w:color w:val="auto"/>
          <w:sz w:val="28"/>
          <w:szCs w:val="28"/>
          <w:lang w:val="en-US" w:eastAsia="zh-CN"/>
        </w:rPr>
        <w:t>3.</w:t>
      </w:r>
      <w:r>
        <w:rPr>
          <w:rFonts w:hint="eastAsia" w:ascii="仿宋_GB2312" w:hAnsi="仿宋_GB2312" w:eastAsia="仿宋_GB2312" w:cs="仿宋_GB2312"/>
          <w:b/>
          <w:bCs w:val="0"/>
          <w:color w:val="auto"/>
          <w:sz w:val="28"/>
          <w:szCs w:val="28"/>
        </w:rPr>
        <w:t>分析评价。</w:t>
      </w:r>
      <w:r>
        <w:rPr>
          <w:rFonts w:hint="eastAsia" w:ascii="仿宋_GB2312" w:hAnsi="仿宋_GB2312" w:eastAsia="仿宋_GB2312" w:cs="仿宋_GB2312"/>
          <w:b w:val="0"/>
          <w:bCs w:val="0"/>
          <w:kern w:val="28"/>
          <w:sz w:val="28"/>
          <w:szCs w:val="28"/>
          <w:lang w:val="en-US" w:eastAsia="zh-CN" w:bidi="ar-SA"/>
        </w:rPr>
        <w:t>2024年 1月 1 日- 1月 31 日根据收集梳理的资料围绕项目立项、资金落实、业务管理、财务管理、项目产出、项目效益等内容，对照已确定的绩效评价指标进行详细全面的分析评价，逐项打分并形成绩效评价最终结果。</w:t>
      </w:r>
    </w:p>
    <w:p w14:paraId="5E26FEA2">
      <w:pPr>
        <w:spacing w:line="600" w:lineRule="exact"/>
        <w:ind w:firstLine="600" w:firstLineChars="200"/>
        <w:rPr>
          <w:rFonts w:hint="eastAsia" w:ascii="黑体" w:hAnsi="黑体" w:eastAsia="黑体" w:cs="黑体"/>
        </w:rPr>
      </w:pPr>
      <w:r>
        <w:rPr>
          <w:rFonts w:hint="eastAsia" w:ascii="黑体" w:hAnsi="黑体" w:eastAsia="黑体" w:cs="黑体"/>
        </w:rPr>
        <w:t>三、综合评价情况及评价结论（附相关评分表）</w:t>
      </w:r>
    </w:p>
    <w:p w14:paraId="7DD6AF7A">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560" w:firstLineChars="200"/>
        <w:jc w:val="both"/>
        <w:textAlignment w:val="auto"/>
        <w:outlineLvl w:val="9"/>
        <w:rPr>
          <w:rFonts w:hint="eastAsia" w:ascii="仿宋_GB2312" w:hAnsi="仿宋_GB2312" w:eastAsia="仿宋_GB2312" w:cs="仿宋_GB2312"/>
          <w:b w:val="0"/>
          <w:bCs w:val="0"/>
          <w:kern w:val="28"/>
          <w:sz w:val="28"/>
          <w:szCs w:val="28"/>
          <w:lang w:val="en-US" w:eastAsia="zh-CN" w:bidi="ar-SA"/>
        </w:rPr>
      </w:pPr>
      <w:r>
        <w:rPr>
          <w:rFonts w:hint="eastAsia" w:ascii="仿宋_GB2312" w:hAnsi="仿宋_GB2312" w:eastAsia="仿宋_GB2312" w:cs="仿宋_GB2312"/>
          <w:b w:val="0"/>
          <w:bCs w:val="0"/>
          <w:kern w:val="28"/>
          <w:sz w:val="28"/>
          <w:szCs w:val="28"/>
          <w:lang w:val="en-US" w:eastAsia="zh-CN" w:bidi="ar-SA"/>
        </w:rPr>
        <w:t>对监测业务楼配电系统改造项目进行客观评价，最终评分结果：总得分为90.81分，属于“优”。其中，项目决策类指标权重为5分，得分为 5分，得分率为5%。项目过程类指标权重为5分，得分为4.81分，得分率为4.8%。项目产出类指标权重为60分，得分为51分，得分率为51%。项目效益类指标权重为30分，得分为30分，得分率为30%。</w:t>
      </w:r>
    </w:p>
    <w:p w14:paraId="279BC868">
      <w:pPr>
        <w:pStyle w:val="2"/>
        <w:keepNext w:val="0"/>
        <w:keepLines w:val="0"/>
        <w:pageBreakBefore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p>
    <w:p w14:paraId="207676D6">
      <w:pPr>
        <w:pStyle w:val="2"/>
        <w:keepNext w:val="0"/>
        <w:keepLines w:val="0"/>
        <w:pageBreakBefore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p>
    <w:p w14:paraId="67031F1F">
      <w:pPr>
        <w:pStyle w:val="2"/>
        <w:keepNext w:val="0"/>
        <w:keepLines w:val="0"/>
        <w:pageBreakBefore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p>
    <w:p w14:paraId="21946B8D">
      <w:pPr>
        <w:pStyle w:val="2"/>
        <w:keepNext w:val="0"/>
        <w:keepLines w:val="0"/>
        <w:pageBreakBefore w:val="0"/>
        <w:kinsoku/>
        <w:wordWrap/>
        <w:overflowPunct/>
        <w:topLinePunct w:val="0"/>
        <w:autoSpaceDE/>
        <w:autoSpaceDN/>
        <w:bidi w:val="0"/>
        <w:adjustRightInd/>
        <w:snapToGrid/>
        <w:spacing w:line="540" w:lineRule="exact"/>
        <w:jc w:val="both"/>
        <w:textAlignment w:val="auto"/>
        <w:rPr>
          <w:rFonts w:ascii="Times New Roman" w:hAnsi="Times New Roman" w:eastAsia="仿宋_GB2312"/>
          <w:sz w:val="30"/>
          <w:szCs w:val="30"/>
        </w:rPr>
      </w:pPr>
    </w:p>
    <w:p w14:paraId="2213B809">
      <w:pPr>
        <w:pStyle w:val="2"/>
        <w:keepNext w:val="0"/>
        <w:keepLines w:val="0"/>
        <w:pageBreakBefore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p w14:paraId="2EBA45F4">
      <w:pPr>
        <w:keepNext w:val="0"/>
        <w:keepLines w:val="0"/>
        <w:pageBreakBefore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p>
    <w:tbl>
      <w:tblPr>
        <w:tblStyle w:val="8"/>
        <w:tblpPr w:leftFromText="180" w:rightFromText="180" w:vertAnchor="text" w:horzAnchor="page" w:tblpX="1421" w:tblpY="-67"/>
        <w:tblOverlap w:val="never"/>
        <w:tblW w:w="911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11"/>
        <w:gridCol w:w="906"/>
        <w:gridCol w:w="1175"/>
        <w:gridCol w:w="1564"/>
        <w:gridCol w:w="664"/>
        <w:gridCol w:w="957"/>
        <w:gridCol w:w="846"/>
        <w:gridCol w:w="1114"/>
        <w:gridCol w:w="879"/>
      </w:tblGrid>
      <w:tr w14:paraId="5549C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blHeader/>
        </w:trPr>
        <w:tc>
          <w:tcPr>
            <w:tcW w:w="1011" w:type="dxa"/>
            <w:shd w:val="clear" w:color="auto" w:fill="BFBFBF"/>
            <w:vAlign w:val="center"/>
          </w:tcPr>
          <w:p w14:paraId="29292641">
            <w:pPr>
              <w:widowControl/>
              <w:spacing w:line="0" w:lineRule="atLeast"/>
              <w:rPr>
                <w:b/>
                <w:bCs/>
                <w:color w:val="000000"/>
                <w:kern w:val="0"/>
                <w:sz w:val="22"/>
                <w:szCs w:val="22"/>
              </w:rPr>
            </w:pPr>
            <w:r>
              <w:rPr>
                <w:b/>
                <w:bCs/>
                <w:color w:val="000000"/>
                <w:kern w:val="0"/>
                <w:sz w:val="22"/>
                <w:szCs w:val="22"/>
              </w:rPr>
              <w:t>一级指标</w:t>
            </w:r>
          </w:p>
        </w:tc>
        <w:tc>
          <w:tcPr>
            <w:tcW w:w="906" w:type="dxa"/>
            <w:shd w:val="clear" w:color="auto" w:fill="BFBFBF"/>
            <w:vAlign w:val="center"/>
          </w:tcPr>
          <w:p w14:paraId="0AE4F7CF">
            <w:pPr>
              <w:widowControl/>
              <w:spacing w:line="0" w:lineRule="atLeast"/>
              <w:jc w:val="center"/>
              <w:rPr>
                <w:b/>
                <w:bCs/>
                <w:color w:val="000000"/>
                <w:kern w:val="0"/>
                <w:sz w:val="22"/>
                <w:szCs w:val="22"/>
              </w:rPr>
            </w:pPr>
            <w:r>
              <w:rPr>
                <w:b/>
                <w:bCs/>
                <w:color w:val="000000"/>
                <w:kern w:val="0"/>
                <w:sz w:val="22"/>
                <w:szCs w:val="22"/>
              </w:rPr>
              <w:t>分值</w:t>
            </w:r>
          </w:p>
        </w:tc>
        <w:tc>
          <w:tcPr>
            <w:tcW w:w="1175" w:type="dxa"/>
            <w:shd w:val="clear" w:color="auto" w:fill="BFBFBF"/>
            <w:vAlign w:val="center"/>
          </w:tcPr>
          <w:p w14:paraId="2E213F54">
            <w:pPr>
              <w:widowControl/>
              <w:spacing w:line="0" w:lineRule="atLeast"/>
              <w:jc w:val="center"/>
              <w:rPr>
                <w:b/>
                <w:bCs/>
                <w:color w:val="000000"/>
                <w:kern w:val="0"/>
                <w:sz w:val="22"/>
                <w:szCs w:val="22"/>
              </w:rPr>
            </w:pPr>
            <w:r>
              <w:rPr>
                <w:b/>
                <w:bCs/>
                <w:color w:val="000000"/>
                <w:kern w:val="0"/>
                <w:sz w:val="22"/>
                <w:szCs w:val="22"/>
              </w:rPr>
              <w:t>二级指标</w:t>
            </w:r>
          </w:p>
        </w:tc>
        <w:tc>
          <w:tcPr>
            <w:tcW w:w="1564" w:type="dxa"/>
            <w:shd w:val="clear" w:color="auto" w:fill="BFBFBF"/>
            <w:vAlign w:val="center"/>
          </w:tcPr>
          <w:p w14:paraId="1A6C01D0">
            <w:pPr>
              <w:widowControl/>
              <w:spacing w:line="0" w:lineRule="atLeast"/>
              <w:jc w:val="center"/>
              <w:rPr>
                <w:b/>
                <w:bCs/>
                <w:color w:val="000000"/>
                <w:kern w:val="0"/>
                <w:sz w:val="22"/>
                <w:szCs w:val="22"/>
              </w:rPr>
            </w:pPr>
            <w:r>
              <w:rPr>
                <w:b/>
                <w:bCs/>
                <w:color w:val="000000"/>
                <w:kern w:val="0"/>
                <w:sz w:val="22"/>
                <w:szCs w:val="22"/>
              </w:rPr>
              <w:t>三级指标</w:t>
            </w:r>
          </w:p>
        </w:tc>
        <w:tc>
          <w:tcPr>
            <w:tcW w:w="664" w:type="dxa"/>
            <w:shd w:val="clear" w:color="auto" w:fill="BFBFBF"/>
            <w:vAlign w:val="center"/>
          </w:tcPr>
          <w:p w14:paraId="12BE3E82">
            <w:pPr>
              <w:widowControl/>
              <w:spacing w:line="0" w:lineRule="atLeast"/>
              <w:jc w:val="center"/>
              <w:rPr>
                <w:b/>
                <w:bCs/>
                <w:color w:val="000000"/>
                <w:kern w:val="0"/>
                <w:sz w:val="22"/>
                <w:szCs w:val="22"/>
              </w:rPr>
            </w:pPr>
            <w:r>
              <w:rPr>
                <w:b/>
                <w:bCs/>
                <w:color w:val="000000"/>
                <w:kern w:val="0"/>
                <w:sz w:val="22"/>
                <w:szCs w:val="22"/>
              </w:rPr>
              <w:t>权重</w:t>
            </w:r>
          </w:p>
        </w:tc>
        <w:tc>
          <w:tcPr>
            <w:tcW w:w="957" w:type="dxa"/>
            <w:shd w:val="clear" w:color="auto" w:fill="BFBFBF"/>
            <w:vAlign w:val="center"/>
          </w:tcPr>
          <w:p w14:paraId="46BEBB4E">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846" w:type="dxa"/>
            <w:shd w:val="clear" w:color="auto" w:fill="BFBFBF"/>
            <w:vAlign w:val="center"/>
          </w:tcPr>
          <w:p w14:paraId="4BA7BA00">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114" w:type="dxa"/>
            <w:shd w:val="clear" w:color="auto" w:fill="BFBFBF"/>
            <w:vAlign w:val="center"/>
          </w:tcPr>
          <w:p w14:paraId="1736660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879" w:type="dxa"/>
            <w:shd w:val="clear" w:color="auto" w:fill="BFBFBF"/>
            <w:vAlign w:val="center"/>
          </w:tcPr>
          <w:p w14:paraId="08D274D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0B8D0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restart"/>
            <w:shd w:val="clear" w:color="auto" w:fill="FFFFFF"/>
            <w:vAlign w:val="center"/>
          </w:tcPr>
          <w:p w14:paraId="603F94B6">
            <w:pPr>
              <w:widowControl/>
              <w:spacing w:line="0" w:lineRule="atLeast"/>
              <w:jc w:val="center"/>
              <w:rPr>
                <w:color w:val="000000"/>
                <w:kern w:val="0"/>
                <w:sz w:val="22"/>
                <w:szCs w:val="22"/>
              </w:rPr>
            </w:pPr>
            <w:r>
              <w:rPr>
                <w:color w:val="000000"/>
                <w:kern w:val="0"/>
                <w:sz w:val="22"/>
                <w:szCs w:val="22"/>
              </w:rPr>
              <w:t>决策　</w:t>
            </w:r>
          </w:p>
          <w:p w14:paraId="2C668AB1">
            <w:pPr>
              <w:widowControl/>
              <w:spacing w:line="0" w:lineRule="atLeast"/>
              <w:jc w:val="center"/>
              <w:rPr>
                <w:color w:val="000000"/>
                <w:kern w:val="0"/>
                <w:sz w:val="22"/>
                <w:szCs w:val="22"/>
              </w:rPr>
            </w:pPr>
            <w:r>
              <w:rPr>
                <w:color w:val="000000"/>
                <w:kern w:val="0"/>
                <w:sz w:val="22"/>
                <w:szCs w:val="22"/>
              </w:rPr>
              <w:t>　</w:t>
            </w:r>
          </w:p>
          <w:p w14:paraId="580A4222">
            <w:pPr>
              <w:spacing w:line="0" w:lineRule="atLeast"/>
              <w:jc w:val="center"/>
              <w:rPr>
                <w:color w:val="000000"/>
                <w:kern w:val="0"/>
                <w:sz w:val="22"/>
                <w:szCs w:val="22"/>
              </w:rPr>
            </w:pPr>
            <w:r>
              <w:rPr>
                <w:color w:val="000000"/>
                <w:kern w:val="0"/>
                <w:sz w:val="22"/>
                <w:szCs w:val="22"/>
              </w:rPr>
              <w:t>　</w:t>
            </w:r>
          </w:p>
          <w:p w14:paraId="7B328B8B">
            <w:pPr>
              <w:widowControl/>
              <w:spacing w:line="0" w:lineRule="atLeast"/>
              <w:jc w:val="center"/>
              <w:rPr>
                <w:color w:val="000000"/>
                <w:kern w:val="0"/>
                <w:sz w:val="22"/>
                <w:szCs w:val="22"/>
              </w:rPr>
            </w:pPr>
            <w:r>
              <w:rPr>
                <w:color w:val="000000"/>
                <w:kern w:val="0"/>
                <w:sz w:val="22"/>
                <w:szCs w:val="22"/>
              </w:rPr>
              <w:t>　</w:t>
            </w:r>
          </w:p>
        </w:tc>
        <w:tc>
          <w:tcPr>
            <w:tcW w:w="906" w:type="dxa"/>
            <w:vMerge w:val="restart"/>
            <w:shd w:val="clear" w:color="auto" w:fill="FFFFFF"/>
            <w:vAlign w:val="center"/>
          </w:tcPr>
          <w:p w14:paraId="52CF7628">
            <w:pPr>
              <w:widowControl/>
              <w:spacing w:line="0" w:lineRule="atLeast"/>
              <w:jc w:val="center"/>
              <w:rPr>
                <w:color w:val="000000"/>
                <w:kern w:val="0"/>
                <w:sz w:val="22"/>
                <w:szCs w:val="22"/>
              </w:rPr>
            </w:pPr>
            <w:r>
              <w:rPr>
                <w:rFonts w:hint="eastAsia"/>
                <w:kern w:val="0"/>
                <w:sz w:val="22"/>
                <w:szCs w:val="22"/>
                <w:lang w:val="en-US" w:eastAsia="zh-CN"/>
              </w:rPr>
              <w:t>5</w:t>
            </w:r>
            <w:r>
              <w:rPr>
                <w:kern w:val="0"/>
                <w:sz w:val="22"/>
                <w:szCs w:val="22"/>
              </w:rPr>
              <w:t>分</w:t>
            </w:r>
          </w:p>
        </w:tc>
        <w:tc>
          <w:tcPr>
            <w:tcW w:w="1175" w:type="dxa"/>
            <w:vMerge w:val="restart"/>
            <w:shd w:val="clear" w:color="auto" w:fill="FFFFFF"/>
            <w:vAlign w:val="center"/>
          </w:tcPr>
          <w:p w14:paraId="1C0A2BFE">
            <w:pPr>
              <w:widowControl/>
              <w:spacing w:line="0" w:lineRule="atLeast"/>
              <w:jc w:val="center"/>
              <w:rPr>
                <w:color w:val="000000"/>
                <w:kern w:val="0"/>
                <w:sz w:val="22"/>
                <w:szCs w:val="22"/>
              </w:rPr>
            </w:pPr>
            <w:r>
              <w:rPr>
                <w:color w:val="000000"/>
                <w:kern w:val="0"/>
                <w:sz w:val="22"/>
                <w:szCs w:val="22"/>
              </w:rPr>
              <w:t>项目立项　</w:t>
            </w:r>
          </w:p>
        </w:tc>
        <w:tc>
          <w:tcPr>
            <w:tcW w:w="1564" w:type="dxa"/>
            <w:shd w:val="clear" w:color="auto" w:fill="FFFFFF"/>
            <w:vAlign w:val="center"/>
          </w:tcPr>
          <w:p w14:paraId="3F8BA11F">
            <w:pPr>
              <w:widowControl/>
              <w:spacing w:line="0" w:lineRule="atLeast"/>
              <w:jc w:val="center"/>
              <w:rPr>
                <w:color w:val="000000"/>
                <w:kern w:val="0"/>
                <w:sz w:val="22"/>
                <w:szCs w:val="22"/>
              </w:rPr>
            </w:pPr>
            <w:r>
              <w:rPr>
                <w:color w:val="000000"/>
                <w:kern w:val="0"/>
                <w:sz w:val="22"/>
                <w:szCs w:val="22"/>
              </w:rPr>
              <w:t>立项依据</w:t>
            </w:r>
          </w:p>
          <w:p w14:paraId="576FF3BE">
            <w:pPr>
              <w:widowControl/>
              <w:spacing w:line="0" w:lineRule="atLeast"/>
              <w:jc w:val="center"/>
              <w:rPr>
                <w:color w:val="000000"/>
                <w:kern w:val="0"/>
                <w:sz w:val="22"/>
                <w:szCs w:val="22"/>
              </w:rPr>
            </w:pPr>
            <w:r>
              <w:rPr>
                <w:color w:val="000000"/>
                <w:kern w:val="0"/>
                <w:sz w:val="22"/>
                <w:szCs w:val="22"/>
              </w:rPr>
              <w:t>充分性</w:t>
            </w:r>
          </w:p>
        </w:tc>
        <w:tc>
          <w:tcPr>
            <w:tcW w:w="664" w:type="dxa"/>
            <w:shd w:val="clear" w:color="auto" w:fill="FFFFFF"/>
            <w:vAlign w:val="center"/>
          </w:tcPr>
          <w:p w14:paraId="42ADF4B6">
            <w:pPr>
              <w:widowControl/>
              <w:spacing w:line="0" w:lineRule="atLeast"/>
              <w:jc w:val="center"/>
              <w:rPr>
                <w:rFonts w:hint="eastAsia" w:eastAsia="仿宋_GB2312"/>
                <w:color w:val="000000"/>
                <w:kern w:val="0"/>
                <w:sz w:val="22"/>
                <w:szCs w:val="22"/>
                <w:lang w:eastAsia="zh-CN"/>
              </w:rPr>
            </w:pPr>
            <w:r>
              <w:rPr>
                <w:rFonts w:hint="eastAsia"/>
                <w:color w:val="000000"/>
                <w:kern w:val="0"/>
                <w:sz w:val="22"/>
                <w:szCs w:val="22"/>
                <w:lang w:val="en-US" w:eastAsia="zh-CN"/>
              </w:rPr>
              <w:t>1</w:t>
            </w:r>
          </w:p>
        </w:tc>
        <w:tc>
          <w:tcPr>
            <w:tcW w:w="957" w:type="dxa"/>
            <w:shd w:val="clear" w:color="auto" w:fill="FFFFFF"/>
            <w:vAlign w:val="center"/>
          </w:tcPr>
          <w:p w14:paraId="422FC695">
            <w:pPr>
              <w:widowControl/>
              <w:spacing w:line="0" w:lineRule="atLeast"/>
              <w:jc w:val="center"/>
              <w:rPr>
                <w:color w:val="000000"/>
                <w:kern w:val="0"/>
                <w:sz w:val="22"/>
                <w:szCs w:val="22"/>
              </w:rPr>
            </w:pPr>
            <w:r>
              <w:rPr>
                <w:color w:val="000000"/>
                <w:kern w:val="0"/>
                <w:sz w:val="22"/>
                <w:szCs w:val="22"/>
              </w:rPr>
              <w:t>充分</w:t>
            </w:r>
          </w:p>
        </w:tc>
        <w:tc>
          <w:tcPr>
            <w:tcW w:w="846" w:type="dxa"/>
            <w:shd w:val="clear" w:color="auto" w:fill="FFFFFF"/>
            <w:vAlign w:val="center"/>
          </w:tcPr>
          <w:p w14:paraId="2659677E">
            <w:pPr>
              <w:widowControl/>
              <w:spacing w:line="0" w:lineRule="atLeast"/>
              <w:jc w:val="center"/>
              <w:rPr>
                <w:color w:val="000000"/>
                <w:kern w:val="0"/>
                <w:sz w:val="22"/>
                <w:szCs w:val="22"/>
              </w:rPr>
            </w:pPr>
            <w:r>
              <w:rPr>
                <w:color w:val="000000"/>
                <w:kern w:val="0"/>
                <w:sz w:val="22"/>
                <w:szCs w:val="22"/>
              </w:rPr>
              <w:t>充分</w:t>
            </w:r>
          </w:p>
        </w:tc>
        <w:tc>
          <w:tcPr>
            <w:tcW w:w="1114" w:type="dxa"/>
            <w:shd w:val="clear" w:color="auto" w:fill="FFFFFF"/>
            <w:vAlign w:val="center"/>
          </w:tcPr>
          <w:p w14:paraId="70776716">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auto" w:fill="FFFFFF"/>
            <w:vAlign w:val="center"/>
          </w:tcPr>
          <w:p w14:paraId="5AA64EDD">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1F9FA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72598C7C">
            <w:pPr>
              <w:spacing w:line="0" w:lineRule="atLeast"/>
              <w:jc w:val="center"/>
              <w:rPr>
                <w:color w:val="000000"/>
                <w:kern w:val="0"/>
                <w:sz w:val="22"/>
                <w:szCs w:val="22"/>
              </w:rPr>
            </w:pPr>
          </w:p>
        </w:tc>
        <w:tc>
          <w:tcPr>
            <w:tcW w:w="906" w:type="dxa"/>
            <w:vMerge w:val="continue"/>
            <w:shd w:val="clear" w:color="auto" w:fill="FFFFFF"/>
            <w:vAlign w:val="center"/>
          </w:tcPr>
          <w:p w14:paraId="419C3D23">
            <w:pPr>
              <w:widowControl/>
              <w:spacing w:line="0" w:lineRule="atLeast"/>
              <w:jc w:val="center"/>
              <w:rPr>
                <w:color w:val="000000"/>
                <w:kern w:val="0"/>
                <w:sz w:val="22"/>
                <w:szCs w:val="22"/>
              </w:rPr>
            </w:pPr>
          </w:p>
        </w:tc>
        <w:tc>
          <w:tcPr>
            <w:tcW w:w="1175" w:type="dxa"/>
            <w:vMerge w:val="continue"/>
            <w:shd w:val="clear" w:color="auto" w:fill="FFFFFF"/>
            <w:vAlign w:val="center"/>
          </w:tcPr>
          <w:p w14:paraId="4AC256C6">
            <w:pPr>
              <w:widowControl/>
              <w:spacing w:line="0" w:lineRule="atLeast"/>
              <w:jc w:val="center"/>
              <w:rPr>
                <w:color w:val="000000"/>
                <w:kern w:val="0"/>
                <w:sz w:val="22"/>
                <w:szCs w:val="22"/>
              </w:rPr>
            </w:pPr>
          </w:p>
        </w:tc>
        <w:tc>
          <w:tcPr>
            <w:tcW w:w="1564" w:type="dxa"/>
            <w:shd w:val="clear" w:color="auto" w:fill="FFFFFF"/>
            <w:vAlign w:val="center"/>
          </w:tcPr>
          <w:p w14:paraId="5CA61A7E">
            <w:pPr>
              <w:widowControl/>
              <w:spacing w:line="0" w:lineRule="atLeast"/>
              <w:jc w:val="center"/>
              <w:rPr>
                <w:color w:val="000000"/>
                <w:kern w:val="0"/>
                <w:sz w:val="22"/>
                <w:szCs w:val="22"/>
              </w:rPr>
            </w:pPr>
            <w:r>
              <w:rPr>
                <w:color w:val="000000"/>
                <w:kern w:val="0"/>
                <w:sz w:val="22"/>
                <w:szCs w:val="22"/>
              </w:rPr>
              <w:t>立项程序</w:t>
            </w:r>
          </w:p>
          <w:p w14:paraId="7AC8106C">
            <w:pPr>
              <w:widowControl/>
              <w:spacing w:line="0" w:lineRule="atLeast"/>
              <w:jc w:val="center"/>
              <w:rPr>
                <w:color w:val="000000"/>
                <w:kern w:val="0"/>
                <w:sz w:val="22"/>
                <w:szCs w:val="22"/>
              </w:rPr>
            </w:pPr>
            <w:r>
              <w:rPr>
                <w:color w:val="000000"/>
                <w:kern w:val="0"/>
                <w:sz w:val="22"/>
                <w:szCs w:val="22"/>
              </w:rPr>
              <w:t>规范性</w:t>
            </w:r>
          </w:p>
        </w:tc>
        <w:tc>
          <w:tcPr>
            <w:tcW w:w="664" w:type="dxa"/>
            <w:shd w:val="clear" w:color="auto" w:fill="FFFFFF"/>
            <w:vAlign w:val="center"/>
          </w:tcPr>
          <w:p w14:paraId="62B9DF62">
            <w:pPr>
              <w:widowControl/>
              <w:spacing w:line="0" w:lineRule="atLeast"/>
              <w:jc w:val="center"/>
              <w:rPr>
                <w:rFonts w:hint="eastAsia" w:eastAsia="仿宋_GB2312"/>
                <w:color w:val="000000"/>
                <w:kern w:val="0"/>
                <w:sz w:val="22"/>
                <w:szCs w:val="22"/>
                <w:lang w:eastAsia="zh-CN"/>
              </w:rPr>
            </w:pPr>
            <w:r>
              <w:rPr>
                <w:rFonts w:hint="eastAsia"/>
                <w:color w:val="000000"/>
                <w:kern w:val="0"/>
                <w:sz w:val="22"/>
                <w:szCs w:val="22"/>
                <w:lang w:val="en-US" w:eastAsia="zh-CN"/>
              </w:rPr>
              <w:t>1</w:t>
            </w:r>
          </w:p>
        </w:tc>
        <w:tc>
          <w:tcPr>
            <w:tcW w:w="957" w:type="dxa"/>
            <w:shd w:val="clear" w:color="auto" w:fill="FFFFFF"/>
            <w:vAlign w:val="center"/>
          </w:tcPr>
          <w:p w14:paraId="5F5A7D07">
            <w:pPr>
              <w:widowControl/>
              <w:spacing w:line="0" w:lineRule="atLeast"/>
              <w:jc w:val="center"/>
              <w:rPr>
                <w:color w:val="000000"/>
                <w:kern w:val="0"/>
                <w:sz w:val="22"/>
                <w:szCs w:val="22"/>
              </w:rPr>
            </w:pPr>
            <w:r>
              <w:rPr>
                <w:color w:val="000000"/>
                <w:kern w:val="0"/>
                <w:sz w:val="22"/>
                <w:szCs w:val="22"/>
              </w:rPr>
              <w:t>规范</w:t>
            </w:r>
          </w:p>
        </w:tc>
        <w:tc>
          <w:tcPr>
            <w:tcW w:w="846" w:type="dxa"/>
            <w:shd w:val="clear" w:color="auto" w:fill="FFFFFF"/>
            <w:vAlign w:val="center"/>
          </w:tcPr>
          <w:p w14:paraId="47D5BC4F">
            <w:pPr>
              <w:widowControl/>
              <w:spacing w:line="0" w:lineRule="atLeast"/>
              <w:jc w:val="center"/>
              <w:rPr>
                <w:color w:val="000000"/>
                <w:kern w:val="0"/>
                <w:sz w:val="22"/>
                <w:szCs w:val="22"/>
              </w:rPr>
            </w:pPr>
            <w:r>
              <w:rPr>
                <w:color w:val="000000"/>
                <w:kern w:val="0"/>
                <w:sz w:val="22"/>
                <w:szCs w:val="22"/>
              </w:rPr>
              <w:t>规范</w:t>
            </w:r>
          </w:p>
        </w:tc>
        <w:tc>
          <w:tcPr>
            <w:tcW w:w="1114" w:type="dxa"/>
            <w:shd w:val="clear" w:color="auto" w:fill="FFFFFF"/>
            <w:vAlign w:val="center"/>
          </w:tcPr>
          <w:p w14:paraId="34D35E4A">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c>
          <w:tcPr>
            <w:tcW w:w="879" w:type="dxa"/>
            <w:shd w:val="clear" w:color="auto" w:fill="FFFFFF"/>
            <w:vAlign w:val="center"/>
          </w:tcPr>
          <w:p w14:paraId="2643B91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3D577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27471772">
            <w:pPr>
              <w:spacing w:line="0" w:lineRule="atLeast"/>
              <w:jc w:val="center"/>
              <w:rPr>
                <w:color w:val="000000"/>
                <w:kern w:val="0"/>
                <w:sz w:val="22"/>
                <w:szCs w:val="22"/>
              </w:rPr>
            </w:pPr>
          </w:p>
        </w:tc>
        <w:tc>
          <w:tcPr>
            <w:tcW w:w="906" w:type="dxa"/>
            <w:vMerge w:val="continue"/>
            <w:shd w:val="clear" w:color="auto" w:fill="FFFFFF"/>
            <w:vAlign w:val="center"/>
          </w:tcPr>
          <w:p w14:paraId="00B4190D">
            <w:pPr>
              <w:widowControl/>
              <w:spacing w:line="0" w:lineRule="atLeast"/>
              <w:jc w:val="center"/>
              <w:rPr>
                <w:color w:val="000000"/>
                <w:kern w:val="0"/>
                <w:sz w:val="22"/>
                <w:szCs w:val="22"/>
              </w:rPr>
            </w:pPr>
          </w:p>
        </w:tc>
        <w:tc>
          <w:tcPr>
            <w:tcW w:w="1175" w:type="dxa"/>
            <w:vMerge w:val="restart"/>
            <w:shd w:val="clear" w:color="auto" w:fill="FFFFFF"/>
            <w:vAlign w:val="center"/>
          </w:tcPr>
          <w:p w14:paraId="49D94D71">
            <w:pPr>
              <w:widowControl/>
              <w:spacing w:line="0" w:lineRule="atLeast"/>
              <w:jc w:val="center"/>
              <w:rPr>
                <w:color w:val="000000"/>
                <w:kern w:val="0"/>
                <w:sz w:val="22"/>
                <w:szCs w:val="22"/>
              </w:rPr>
            </w:pPr>
            <w:r>
              <w:rPr>
                <w:color w:val="000000"/>
                <w:kern w:val="0"/>
                <w:sz w:val="22"/>
                <w:szCs w:val="22"/>
              </w:rPr>
              <w:t>绩效目标　</w:t>
            </w:r>
          </w:p>
        </w:tc>
        <w:tc>
          <w:tcPr>
            <w:tcW w:w="1564" w:type="dxa"/>
            <w:shd w:val="clear" w:color="auto" w:fill="FFFFFF"/>
            <w:vAlign w:val="center"/>
          </w:tcPr>
          <w:p w14:paraId="399142C4">
            <w:pPr>
              <w:widowControl/>
              <w:spacing w:line="0" w:lineRule="atLeast"/>
              <w:jc w:val="center"/>
              <w:rPr>
                <w:color w:val="000000"/>
                <w:kern w:val="0"/>
                <w:sz w:val="22"/>
                <w:szCs w:val="22"/>
              </w:rPr>
            </w:pPr>
            <w:r>
              <w:rPr>
                <w:color w:val="000000"/>
                <w:kern w:val="0"/>
                <w:sz w:val="22"/>
                <w:szCs w:val="22"/>
              </w:rPr>
              <w:t>绩效目标</w:t>
            </w:r>
          </w:p>
          <w:p w14:paraId="3BFA7801">
            <w:pPr>
              <w:widowControl/>
              <w:spacing w:line="0" w:lineRule="atLeast"/>
              <w:jc w:val="center"/>
              <w:rPr>
                <w:color w:val="000000"/>
                <w:kern w:val="0"/>
                <w:sz w:val="22"/>
                <w:szCs w:val="22"/>
              </w:rPr>
            </w:pPr>
            <w:r>
              <w:rPr>
                <w:color w:val="000000"/>
                <w:kern w:val="0"/>
                <w:sz w:val="22"/>
                <w:szCs w:val="22"/>
              </w:rPr>
              <w:t>合理性</w:t>
            </w:r>
          </w:p>
        </w:tc>
        <w:tc>
          <w:tcPr>
            <w:tcW w:w="664" w:type="dxa"/>
            <w:shd w:val="clear" w:color="000000" w:fill="FFFFFF"/>
            <w:vAlign w:val="center"/>
          </w:tcPr>
          <w:p w14:paraId="2D196A11">
            <w:pPr>
              <w:widowControl/>
              <w:spacing w:line="0" w:lineRule="atLeast"/>
              <w:jc w:val="center"/>
              <w:rPr>
                <w:rFonts w:hint="eastAsia" w:eastAsia="仿宋_GB2312"/>
                <w:color w:val="000000"/>
                <w:kern w:val="0"/>
                <w:sz w:val="22"/>
                <w:szCs w:val="22"/>
                <w:lang w:eastAsia="zh-CN"/>
              </w:rPr>
            </w:pPr>
            <w:r>
              <w:rPr>
                <w:rFonts w:hint="eastAsia"/>
                <w:color w:val="000000"/>
                <w:kern w:val="0"/>
                <w:sz w:val="22"/>
                <w:szCs w:val="22"/>
                <w:lang w:val="en-US" w:eastAsia="zh-CN"/>
              </w:rPr>
              <w:t>1</w:t>
            </w:r>
          </w:p>
        </w:tc>
        <w:tc>
          <w:tcPr>
            <w:tcW w:w="957" w:type="dxa"/>
            <w:shd w:val="clear" w:color="000000" w:fill="FFFFFF"/>
            <w:vAlign w:val="center"/>
          </w:tcPr>
          <w:p w14:paraId="3F39FBE0">
            <w:pPr>
              <w:widowControl/>
              <w:spacing w:line="0" w:lineRule="atLeast"/>
              <w:jc w:val="center"/>
              <w:rPr>
                <w:color w:val="000000"/>
                <w:kern w:val="0"/>
                <w:sz w:val="22"/>
                <w:szCs w:val="22"/>
              </w:rPr>
            </w:pPr>
            <w:r>
              <w:rPr>
                <w:color w:val="000000"/>
                <w:kern w:val="0"/>
                <w:sz w:val="22"/>
                <w:szCs w:val="22"/>
              </w:rPr>
              <w:t>合理</w:t>
            </w:r>
          </w:p>
        </w:tc>
        <w:tc>
          <w:tcPr>
            <w:tcW w:w="846" w:type="dxa"/>
            <w:shd w:val="clear" w:color="000000" w:fill="FFFFFF"/>
            <w:vAlign w:val="center"/>
          </w:tcPr>
          <w:p w14:paraId="3EDD4586">
            <w:pPr>
              <w:widowControl/>
              <w:spacing w:line="0" w:lineRule="atLeast"/>
              <w:jc w:val="center"/>
              <w:rPr>
                <w:color w:val="000000"/>
                <w:kern w:val="0"/>
                <w:sz w:val="22"/>
                <w:szCs w:val="22"/>
              </w:rPr>
            </w:pPr>
            <w:r>
              <w:rPr>
                <w:color w:val="000000"/>
                <w:kern w:val="0"/>
                <w:sz w:val="22"/>
                <w:szCs w:val="22"/>
              </w:rPr>
              <w:t>合理</w:t>
            </w:r>
          </w:p>
        </w:tc>
        <w:tc>
          <w:tcPr>
            <w:tcW w:w="1114" w:type="dxa"/>
            <w:shd w:val="clear" w:color="000000" w:fill="FFFFFF"/>
            <w:vAlign w:val="center"/>
          </w:tcPr>
          <w:p w14:paraId="19774668">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1AC7EADE">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37493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4B1F153F">
            <w:pPr>
              <w:widowControl/>
              <w:spacing w:line="0" w:lineRule="atLeast"/>
              <w:jc w:val="center"/>
              <w:rPr>
                <w:color w:val="000000"/>
                <w:kern w:val="0"/>
                <w:sz w:val="22"/>
                <w:szCs w:val="22"/>
              </w:rPr>
            </w:pPr>
          </w:p>
        </w:tc>
        <w:tc>
          <w:tcPr>
            <w:tcW w:w="906" w:type="dxa"/>
            <w:vMerge w:val="continue"/>
            <w:shd w:val="clear" w:color="auto" w:fill="FFFFFF"/>
            <w:vAlign w:val="center"/>
          </w:tcPr>
          <w:p w14:paraId="2A91B57C">
            <w:pPr>
              <w:widowControl/>
              <w:spacing w:line="0" w:lineRule="atLeast"/>
              <w:jc w:val="center"/>
              <w:rPr>
                <w:color w:val="000000"/>
                <w:kern w:val="0"/>
                <w:sz w:val="22"/>
                <w:szCs w:val="22"/>
              </w:rPr>
            </w:pPr>
          </w:p>
        </w:tc>
        <w:tc>
          <w:tcPr>
            <w:tcW w:w="1175" w:type="dxa"/>
            <w:vMerge w:val="continue"/>
            <w:shd w:val="clear" w:color="auto" w:fill="FFFFFF"/>
            <w:vAlign w:val="center"/>
          </w:tcPr>
          <w:p w14:paraId="4D67C7DB">
            <w:pPr>
              <w:widowControl/>
              <w:spacing w:line="0" w:lineRule="atLeast"/>
              <w:jc w:val="center"/>
              <w:rPr>
                <w:color w:val="000000"/>
                <w:kern w:val="0"/>
                <w:sz w:val="22"/>
                <w:szCs w:val="22"/>
              </w:rPr>
            </w:pPr>
          </w:p>
        </w:tc>
        <w:tc>
          <w:tcPr>
            <w:tcW w:w="1564" w:type="dxa"/>
            <w:shd w:val="clear" w:color="auto" w:fill="FFFFFF"/>
            <w:vAlign w:val="center"/>
          </w:tcPr>
          <w:p w14:paraId="35301CF5">
            <w:pPr>
              <w:widowControl/>
              <w:spacing w:line="0" w:lineRule="atLeast"/>
              <w:jc w:val="center"/>
              <w:rPr>
                <w:color w:val="000000"/>
                <w:kern w:val="0"/>
                <w:sz w:val="22"/>
                <w:szCs w:val="22"/>
              </w:rPr>
            </w:pPr>
            <w:r>
              <w:rPr>
                <w:color w:val="000000"/>
                <w:kern w:val="0"/>
                <w:sz w:val="22"/>
                <w:szCs w:val="22"/>
              </w:rPr>
              <w:t>绩效指标</w:t>
            </w:r>
          </w:p>
          <w:p w14:paraId="5199239A">
            <w:pPr>
              <w:widowControl/>
              <w:spacing w:line="0" w:lineRule="atLeast"/>
              <w:jc w:val="center"/>
              <w:rPr>
                <w:color w:val="000000"/>
                <w:kern w:val="0"/>
                <w:sz w:val="22"/>
                <w:szCs w:val="22"/>
              </w:rPr>
            </w:pPr>
            <w:r>
              <w:rPr>
                <w:color w:val="000000"/>
                <w:kern w:val="0"/>
                <w:sz w:val="22"/>
                <w:szCs w:val="22"/>
              </w:rPr>
              <w:t>明确性</w:t>
            </w:r>
          </w:p>
        </w:tc>
        <w:tc>
          <w:tcPr>
            <w:tcW w:w="664" w:type="dxa"/>
            <w:shd w:val="clear" w:color="000000" w:fill="FFFFFF"/>
            <w:vAlign w:val="center"/>
          </w:tcPr>
          <w:p w14:paraId="6ED38C3B">
            <w:pPr>
              <w:widowControl/>
              <w:spacing w:line="0" w:lineRule="atLeast"/>
              <w:jc w:val="center"/>
              <w:rPr>
                <w:rFonts w:hint="eastAsia" w:eastAsia="仿宋_GB2312"/>
                <w:color w:val="000000"/>
                <w:kern w:val="0"/>
                <w:sz w:val="22"/>
                <w:szCs w:val="22"/>
                <w:lang w:eastAsia="zh-CN"/>
              </w:rPr>
            </w:pPr>
            <w:r>
              <w:rPr>
                <w:rFonts w:hint="eastAsia"/>
                <w:color w:val="000000"/>
                <w:kern w:val="0"/>
                <w:sz w:val="22"/>
                <w:szCs w:val="22"/>
                <w:lang w:val="en-US" w:eastAsia="zh-CN"/>
              </w:rPr>
              <w:t>1</w:t>
            </w:r>
          </w:p>
        </w:tc>
        <w:tc>
          <w:tcPr>
            <w:tcW w:w="957" w:type="dxa"/>
            <w:shd w:val="clear" w:color="000000" w:fill="FFFFFF"/>
            <w:vAlign w:val="center"/>
          </w:tcPr>
          <w:p w14:paraId="03F2CE75">
            <w:pPr>
              <w:widowControl/>
              <w:spacing w:line="0" w:lineRule="atLeast"/>
              <w:jc w:val="center"/>
              <w:rPr>
                <w:color w:val="000000"/>
                <w:kern w:val="0"/>
                <w:sz w:val="22"/>
                <w:szCs w:val="22"/>
              </w:rPr>
            </w:pPr>
            <w:r>
              <w:rPr>
                <w:color w:val="000000"/>
                <w:kern w:val="0"/>
                <w:sz w:val="22"/>
                <w:szCs w:val="22"/>
              </w:rPr>
              <w:t>明确</w:t>
            </w:r>
          </w:p>
        </w:tc>
        <w:tc>
          <w:tcPr>
            <w:tcW w:w="846" w:type="dxa"/>
            <w:shd w:val="clear" w:color="000000" w:fill="FFFFFF"/>
            <w:vAlign w:val="center"/>
          </w:tcPr>
          <w:p w14:paraId="57CEDF7E">
            <w:pPr>
              <w:widowControl/>
              <w:spacing w:line="0" w:lineRule="atLeast"/>
              <w:jc w:val="center"/>
              <w:rPr>
                <w:color w:val="000000"/>
                <w:kern w:val="0"/>
                <w:sz w:val="22"/>
                <w:szCs w:val="22"/>
              </w:rPr>
            </w:pPr>
            <w:r>
              <w:rPr>
                <w:color w:val="000000"/>
                <w:kern w:val="0"/>
                <w:sz w:val="22"/>
                <w:szCs w:val="22"/>
              </w:rPr>
              <w:t>明确</w:t>
            </w:r>
          </w:p>
        </w:tc>
        <w:tc>
          <w:tcPr>
            <w:tcW w:w="1114" w:type="dxa"/>
            <w:shd w:val="clear" w:color="000000" w:fill="FFFFFF"/>
            <w:vAlign w:val="center"/>
          </w:tcPr>
          <w:p w14:paraId="5097B1F8">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24C4C662">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5F8B1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3355E91C">
            <w:pPr>
              <w:spacing w:line="0" w:lineRule="atLeast"/>
              <w:jc w:val="center"/>
              <w:rPr>
                <w:color w:val="000000"/>
                <w:kern w:val="0"/>
                <w:sz w:val="22"/>
                <w:szCs w:val="22"/>
              </w:rPr>
            </w:pPr>
          </w:p>
        </w:tc>
        <w:tc>
          <w:tcPr>
            <w:tcW w:w="906" w:type="dxa"/>
            <w:vMerge w:val="continue"/>
            <w:shd w:val="clear" w:color="auto" w:fill="FFFFFF"/>
            <w:vAlign w:val="center"/>
          </w:tcPr>
          <w:p w14:paraId="19FDDDA7">
            <w:pPr>
              <w:spacing w:line="0" w:lineRule="atLeast"/>
              <w:jc w:val="center"/>
              <w:rPr>
                <w:color w:val="000000"/>
                <w:kern w:val="0"/>
                <w:sz w:val="22"/>
                <w:szCs w:val="22"/>
              </w:rPr>
            </w:pPr>
          </w:p>
        </w:tc>
        <w:tc>
          <w:tcPr>
            <w:tcW w:w="1175" w:type="dxa"/>
            <w:shd w:val="clear" w:color="auto" w:fill="FFFFFF"/>
            <w:vAlign w:val="center"/>
          </w:tcPr>
          <w:p w14:paraId="43B79D17">
            <w:pPr>
              <w:widowControl/>
              <w:spacing w:line="0" w:lineRule="atLeast"/>
              <w:jc w:val="center"/>
              <w:rPr>
                <w:color w:val="000000"/>
                <w:kern w:val="0"/>
                <w:sz w:val="22"/>
                <w:szCs w:val="22"/>
              </w:rPr>
            </w:pPr>
            <w:r>
              <w:rPr>
                <w:color w:val="000000"/>
                <w:kern w:val="0"/>
                <w:sz w:val="22"/>
                <w:szCs w:val="22"/>
              </w:rPr>
              <w:t>资金投入</w:t>
            </w:r>
          </w:p>
        </w:tc>
        <w:tc>
          <w:tcPr>
            <w:tcW w:w="1564" w:type="dxa"/>
            <w:shd w:val="clear" w:color="auto" w:fill="FFFFFF"/>
            <w:vAlign w:val="center"/>
          </w:tcPr>
          <w:p w14:paraId="1D4AFCB4">
            <w:pPr>
              <w:widowControl/>
              <w:spacing w:line="0" w:lineRule="atLeast"/>
              <w:jc w:val="center"/>
              <w:rPr>
                <w:color w:val="000000"/>
                <w:kern w:val="0"/>
                <w:sz w:val="22"/>
                <w:szCs w:val="22"/>
              </w:rPr>
            </w:pPr>
            <w:r>
              <w:rPr>
                <w:color w:val="000000"/>
                <w:kern w:val="0"/>
                <w:sz w:val="22"/>
                <w:szCs w:val="22"/>
              </w:rPr>
              <w:t>预算编制</w:t>
            </w:r>
          </w:p>
          <w:p w14:paraId="09AE11EB">
            <w:pPr>
              <w:widowControl/>
              <w:spacing w:line="0" w:lineRule="atLeast"/>
              <w:jc w:val="center"/>
              <w:rPr>
                <w:color w:val="000000"/>
                <w:kern w:val="0"/>
                <w:sz w:val="22"/>
                <w:szCs w:val="22"/>
              </w:rPr>
            </w:pPr>
            <w:r>
              <w:rPr>
                <w:color w:val="000000"/>
                <w:kern w:val="0"/>
                <w:sz w:val="22"/>
                <w:szCs w:val="22"/>
              </w:rPr>
              <w:t>科学性</w:t>
            </w:r>
          </w:p>
        </w:tc>
        <w:tc>
          <w:tcPr>
            <w:tcW w:w="664" w:type="dxa"/>
            <w:shd w:val="clear" w:color="auto" w:fill="FFFFFF"/>
            <w:vAlign w:val="center"/>
          </w:tcPr>
          <w:p w14:paraId="3BEA36C1">
            <w:pPr>
              <w:widowControl/>
              <w:spacing w:line="0" w:lineRule="atLeast"/>
              <w:jc w:val="center"/>
              <w:rPr>
                <w:rFonts w:hint="eastAsia" w:eastAsia="仿宋_GB2312"/>
                <w:color w:val="000000"/>
                <w:kern w:val="0"/>
                <w:sz w:val="22"/>
                <w:szCs w:val="22"/>
                <w:lang w:eastAsia="zh-CN"/>
              </w:rPr>
            </w:pPr>
            <w:r>
              <w:rPr>
                <w:rFonts w:hint="eastAsia"/>
                <w:color w:val="000000"/>
                <w:kern w:val="0"/>
                <w:sz w:val="22"/>
                <w:szCs w:val="22"/>
                <w:lang w:val="en-US" w:eastAsia="zh-CN"/>
              </w:rPr>
              <w:t>1</w:t>
            </w:r>
          </w:p>
        </w:tc>
        <w:tc>
          <w:tcPr>
            <w:tcW w:w="957" w:type="dxa"/>
            <w:shd w:val="clear" w:color="auto" w:fill="FFFFFF"/>
            <w:vAlign w:val="center"/>
          </w:tcPr>
          <w:p w14:paraId="35463711">
            <w:pPr>
              <w:widowControl/>
              <w:spacing w:line="0" w:lineRule="atLeast"/>
              <w:jc w:val="center"/>
              <w:rPr>
                <w:color w:val="000000"/>
                <w:kern w:val="0"/>
                <w:sz w:val="22"/>
                <w:szCs w:val="22"/>
              </w:rPr>
            </w:pPr>
            <w:r>
              <w:rPr>
                <w:color w:val="000000"/>
                <w:kern w:val="0"/>
                <w:sz w:val="22"/>
                <w:szCs w:val="22"/>
              </w:rPr>
              <w:t>科学</w:t>
            </w:r>
          </w:p>
        </w:tc>
        <w:tc>
          <w:tcPr>
            <w:tcW w:w="846" w:type="dxa"/>
            <w:shd w:val="clear" w:color="auto" w:fill="FFFFFF"/>
            <w:vAlign w:val="center"/>
          </w:tcPr>
          <w:p w14:paraId="48C40353">
            <w:pPr>
              <w:widowControl/>
              <w:spacing w:line="0" w:lineRule="atLeast"/>
              <w:jc w:val="center"/>
              <w:rPr>
                <w:color w:val="000000"/>
                <w:kern w:val="0"/>
                <w:sz w:val="22"/>
                <w:szCs w:val="22"/>
              </w:rPr>
            </w:pPr>
            <w:r>
              <w:rPr>
                <w:color w:val="000000"/>
                <w:kern w:val="0"/>
                <w:sz w:val="22"/>
                <w:szCs w:val="22"/>
              </w:rPr>
              <w:t>科学</w:t>
            </w:r>
          </w:p>
        </w:tc>
        <w:tc>
          <w:tcPr>
            <w:tcW w:w="1114" w:type="dxa"/>
            <w:shd w:val="clear" w:color="auto" w:fill="FFFFFF"/>
            <w:vAlign w:val="center"/>
          </w:tcPr>
          <w:p w14:paraId="0FE63DBA">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auto" w:fill="FFFFFF"/>
            <w:vAlign w:val="center"/>
          </w:tcPr>
          <w:p w14:paraId="68521C41">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292DB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8" w:hRule="atLeast"/>
        </w:trPr>
        <w:tc>
          <w:tcPr>
            <w:tcW w:w="1011" w:type="dxa"/>
            <w:vMerge w:val="restart"/>
            <w:shd w:val="clear" w:color="auto" w:fill="FFFFFF"/>
            <w:vAlign w:val="center"/>
          </w:tcPr>
          <w:p w14:paraId="0119456A">
            <w:pPr>
              <w:spacing w:line="0" w:lineRule="atLeast"/>
              <w:jc w:val="center"/>
              <w:rPr>
                <w:color w:val="000000"/>
                <w:kern w:val="0"/>
                <w:sz w:val="22"/>
                <w:szCs w:val="22"/>
                <w:highlight w:val="none"/>
              </w:rPr>
            </w:pPr>
            <w:r>
              <w:rPr>
                <w:color w:val="000000"/>
                <w:kern w:val="0"/>
                <w:sz w:val="22"/>
                <w:szCs w:val="22"/>
                <w:highlight w:val="none"/>
              </w:rPr>
              <w:t>过程</w:t>
            </w:r>
          </w:p>
          <w:p w14:paraId="22BB0A02">
            <w:pPr>
              <w:spacing w:line="0" w:lineRule="atLeast"/>
              <w:jc w:val="center"/>
              <w:rPr>
                <w:color w:val="000000"/>
                <w:kern w:val="0"/>
                <w:sz w:val="22"/>
                <w:szCs w:val="22"/>
                <w:highlight w:val="none"/>
              </w:rPr>
            </w:pPr>
            <w:r>
              <w:rPr>
                <w:color w:val="000000"/>
                <w:kern w:val="0"/>
                <w:sz w:val="22"/>
                <w:szCs w:val="22"/>
                <w:highlight w:val="none"/>
              </w:rPr>
              <w:t>　</w:t>
            </w:r>
          </w:p>
        </w:tc>
        <w:tc>
          <w:tcPr>
            <w:tcW w:w="906" w:type="dxa"/>
            <w:vMerge w:val="restart"/>
            <w:shd w:val="clear" w:color="auto" w:fill="FFFFFF"/>
            <w:vAlign w:val="center"/>
          </w:tcPr>
          <w:p w14:paraId="1C2A4A33">
            <w:pPr>
              <w:widowControl/>
              <w:spacing w:line="0" w:lineRule="atLeast"/>
              <w:jc w:val="center"/>
              <w:rPr>
                <w:color w:val="000000"/>
                <w:kern w:val="0"/>
                <w:sz w:val="22"/>
                <w:szCs w:val="22"/>
                <w:highlight w:val="none"/>
              </w:rPr>
            </w:pPr>
            <w:r>
              <w:rPr>
                <w:rFonts w:hint="eastAsia"/>
                <w:kern w:val="0"/>
                <w:sz w:val="22"/>
                <w:szCs w:val="22"/>
                <w:highlight w:val="none"/>
                <w:lang w:val="en-US" w:eastAsia="zh-CN"/>
              </w:rPr>
              <w:t>5</w:t>
            </w:r>
            <w:r>
              <w:rPr>
                <w:kern w:val="0"/>
                <w:sz w:val="22"/>
                <w:szCs w:val="22"/>
                <w:highlight w:val="none"/>
              </w:rPr>
              <w:t>分</w:t>
            </w:r>
          </w:p>
        </w:tc>
        <w:tc>
          <w:tcPr>
            <w:tcW w:w="1175" w:type="dxa"/>
            <w:vMerge w:val="restart"/>
            <w:shd w:val="clear" w:color="auto" w:fill="FFFFFF"/>
            <w:vAlign w:val="center"/>
          </w:tcPr>
          <w:p w14:paraId="1D354FD7">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564" w:type="dxa"/>
            <w:shd w:val="clear" w:color="auto" w:fill="FFFFFF"/>
            <w:vAlign w:val="center"/>
          </w:tcPr>
          <w:p w14:paraId="14052902">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664" w:type="dxa"/>
            <w:shd w:val="clear" w:color="000000" w:fill="FFFFFF"/>
            <w:vAlign w:val="center"/>
          </w:tcPr>
          <w:p w14:paraId="1BB18CE6">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lang w:val="en-US" w:eastAsia="zh-CN"/>
              </w:rPr>
              <w:t>1</w:t>
            </w:r>
          </w:p>
        </w:tc>
        <w:tc>
          <w:tcPr>
            <w:tcW w:w="957" w:type="dxa"/>
            <w:shd w:val="clear" w:color="000000" w:fill="FFFFFF"/>
            <w:vAlign w:val="center"/>
          </w:tcPr>
          <w:p w14:paraId="3542B900">
            <w:pPr>
              <w:widowControl/>
              <w:spacing w:line="0" w:lineRule="atLeast"/>
              <w:jc w:val="center"/>
              <w:rPr>
                <w:color w:val="000000"/>
                <w:kern w:val="0"/>
                <w:sz w:val="22"/>
                <w:szCs w:val="22"/>
                <w:highlight w:val="none"/>
              </w:rPr>
            </w:pPr>
            <w:r>
              <w:rPr>
                <w:color w:val="000000"/>
                <w:kern w:val="0"/>
                <w:sz w:val="22"/>
                <w:szCs w:val="22"/>
                <w:highlight w:val="none"/>
              </w:rPr>
              <w:t>100%</w:t>
            </w:r>
          </w:p>
        </w:tc>
        <w:tc>
          <w:tcPr>
            <w:tcW w:w="846" w:type="dxa"/>
            <w:shd w:val="clear" w:color="000000" w:fill="FFFFFF"/>
            <w:vAlign w:val="center"/>
          </w:tcPr>
          <w:p w14:paraId="5B5CC85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114" w:type="dxa"/>
            <w:shd w:val="clear" w:color="000000" w:fill="FFFFFF"/>
            <w:vAlign w:val="center"/>
          </w:tcPr>
          <w:p w14:paraId="5E9A397D">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0E7BB74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017F5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6" w:hRule="atLeast"/>
        </w:trPr>
        <w:tc>
          <w:tcPr>
            <w:tcW w:w="1011" w:type="dxa"/>
            <w:vMerge w:val="continue"/>
            <w:shd w:val="clear" w:color="auto" w:fill="FFFFFF"/>
            <w:vAlign w:val="center"/>
          </w:tcPr>
          <w:p w14:paraId="05DFAA75">
            <w:pPr>
              <w:spacing w:line="0" w:lineRule="atLeast"/>
              <w:jc w:val="center"/>
              <w:rPr>
                <w:color w:val="000000"/>
                <w:kern w:val="0"/>
                <w:sz w:val="22"/>
                <w:szCs w:val="22"/>
                <w:highlight w:val="none"/>
              </w:rPr>
            </w:pPr>
          </w:p>
        </w:tc>
        <w:tc>
          <w:tcPr>
            <w:tcW w:w="906" w:type="dxa"/>
            <w:vMerge w:val="continue"/>
            <w:shd w:val="clear" w:color="auto" w:fill="FFFFFF"/>
            <w:vAlign w:val="center"/>
          </w:tcPr>
          <w:p w14:paraId="2CA6BDE2">
            <w:pPr>
              <w:spacing w:line="0" w:lineRule="atLeast"/>
              <w:jc w:val="center"/>
              <w:rPr>
                <w:color w:val="000000"/>
                <w:kern w:val="0"/>
                <w:sz w:val="22"/>
                <w:szCs w:val="22"/>
                <w:highlight w:val="none"/>
              </w:rPr>
            </w:pPr>
          </w:p>
        </w:tc>
        <w:tc>
          <w:tcPr>
            <w:tcW w:w="1175" w:type="dxa"/>
            <w:vMerge w:val="continue"/>
            <w:shd w:val="clear" w:color="auto" w:fill="FFFFFF"/>
            <w:vAlign w:val="center"/>
          </w:tcPr>
          <w:p w14:paraId="7219A35E">
            <w:pPr>
              <w:spacing w:line="0" w:lineRule="atLeast"/>
              <w:jc w:val="center"/>
              <w:rPr>
                <w:color w:val="000000"/>
                <w:kern w:val="0"/>
                <w:sz w:val="22"/>
                <w:szCs w:val="22"/>
                <w:highlight w:val="none"/>
              </w:rPr>
            </w:pPr>
          </w:p>
        </w:tc>
        <w:tc>
          <w:tcPr>
            <w:tcW w:w="1564" w:type="dxa"/>
            <w:shd w:val="clear" w:color="auto" w:fill="FFFFFF"/>
            <w:vAlign w:val="center"/>
          </w:tcPr>
          <w:p w14:paraId="049D272E">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664" w:type="dxa"/>
            <w:shd w:val="clear" w:color="auto" w:fill="FFFFFF"/>
            <w:vAlign w:val="center"/>
          </w:tcPr>
          <w:p w14:paraId="6CAA3EF4">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lang w:val="en-US" w:eastAsia="zh-CN"/>
              </w:rPr>
              <w:t>1</w:t>
            </w:r>
          </w:p>
        </w:tc>
        <w:tc>
          <w:tcPr>
            <w:tcW w:w="957" w:type="dxa"/>
            <w:shd w:val="clear" w:color="auto" w:fill="FFFFFF"/>
            <w:vAlign w:val="center"/>
          </w:tcPr>
          <w:p w14:paraId="078C59A0">
            <w:pPr>
              <w:widowControl/>
              <w:spacing w:line="0" w:lineRule="atLeast"/>
              <w:jc w:val="center"/>
              <w:rPr>
                <w:color w:val="000000"/>
                <w:kern w:val="0"/>
                <w:sz w:val="22"/>
                <w:szCs w:val="22"/>
                <w:highlight w:val="none"/>
              </w:rPr>
            </w:pPr>
            <w:r>
              <w:rPr>
                <w:color w:val="000000"/>
                <w:kern w:val="0"/>
                <w:sz w:val="22"/>
                <w:szCs w:val="22"/>
                <w:highlight w:val="none"/>
              </w:rPr>
              <w:t>100%</w:t>
            </w:r>
          </w:p>
        </w:tc>
        <w:tc>
          <w:tcPr>
            <w:tcW w:w="846" w:type="dxa"/>
            <w:shd w:val="clear" w:color="auto" w:fill="FFFFFF"/>
            <w:vAlign w:val="center"/>
          </w:tcPr>
          <w:p w14:paraId="74906CE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81.6</w:t>
            </w:r>
            <w:r>
              <w:rPr>
                <w:color w:val="000000"/>
                <w:kern w:val="0"/>
                <w:sz w:val="22"/>
                <w:szCs w:val="22"/>
                <w:highlight w:val="none"/>
              </w:rPr>
              <w:t>%</w:t>
            </w:r>
          </w:p>
        </w:tc>
        <w:tc>
          <w:tcPr>
            <w:tcW w:w="1114" w:type="dxa"/>
            <w:shd w:val="clear" w:color="auto" w:fill="FFFFFF"/>
            <w:vAlign w:val="center"/>
          </w:tcPr>
          <w:p w14:paraId="5CAE2D4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0.81%</w:t>
            </w:r>
          </w:p>
        </w:tc>
        <w:tc>
          <w:tcPr>
            <w:tcW w:w="879" w:type="dxa"/>
            <w:shd w:val="clear" w:color="auto" w:fill="FFFFFF"/>
            <w:vAlign w:val="center"/>
          </w:tcPr>
          <w:p w14:paraId="5A95EB1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0.81</w:t>
            </w:r>
          </w:p>
        </w:tc>
      </w:tr>
      <w:tr w14:paraId="2618D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70A697E8">
            <w:pPr>
              <w:spacing w:line="0" w:lineRule="atLeast"/>
              <w:jc w:val="center"/>
              <w:rPr>
                <w:color w:val="000000"/>
                <w:kern w:val="0"/>
                <w:sz w:val="22"/>
                <w:szCs w:val="22"/>
                <w:highlight w:val="none"/>
              </w:rPr>
            </w:pPr>
          </w:p>
        </w:tc>
        <w:tc>
          <w:tcPr>
            <w:tcW w:w="906" w:type="dxa"/>
            <w:vMerge w:val="continue"/>
            <w:shd w:val="clear" w:color="auto" w:fill="FFFFFF"/>
            <w:vAlign w:val="center"/>
          </w:tcPr>
          <w:p w14:paraId="11976DE1">
            <w:pPr>
              <w:widowControl/>
              <w:spacing w:line="0" w:lineRule="atLeast"/>
              <w:jc w:val="center"/>
              <w:rPr>
                <w:color w:val="000000"/>
                <w:kern w:val="0"/>
                <w:sz w:val="22"/>
                <w:szCs w:val="22"/>
                <w:highlight w:val="none"/>
              </w:rPr>
            </w:pPr>
          </w:p>
        </w:tc>
        <w:tc>
          <w:tcPr>
            <w:tcW w:w="1175" w:type="dxa"/>
            <w:shd w:val="clear" w:color="auto" w:fill="FFFFFF"/>
            <w:vAlign w:val="center"/>
          </w:tcPr>
          <w:p w14:paraId="3078666E">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564" w:type="dxa"/>
            <w:shd w:val="clear" w:color="auto" w:fill="FFFFFF"/>
            <w:vAlign w:val="center"/>
          </w:tcPr>
          <w:p w14:paraId="4CF50BB9">
            <w:pPr>
              <w:widowControl/>
              <w:spacing w:line="0" w:lineRule="atLeast"/>
              <w:jc w:val="center"/>
              <w:rPr>
                <w:color w:val="000000"/>
                <w:kern w:val="0"/>
                <w:sz w:val="22"/>
                <w:szCs w:val="22"/>
                <w:highlight w:val="none"/>
              </w:rPr>
            </w:pPr>
            <w:r>
              <w:rPr>
                <w:color w:val="000000"/>
                <w:kern w:val="0"/>
                <w:sz w:val="22"/>
                <w:szCs w:val="22"/>
                <w:highlight w:val="none"/>
              </w:rPr>
              <w:t>资金使用</w:t>
            </w:r>
          </w:p>
          <w:p w14:paraId="58E89802">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664" w:type="dxa"/>
            <w:shd w:val="clear" w:color="000000" w:fill="FFFFFF"/>
            <w:vAlign w:val="center"/>
          </w:tcPr>
          <w:p w14:paraId="1EC69CF9">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lang w:val="en-US" w:eastAsia="zh-CN"/>
              </w:rPr>
              <w:t>1</w:t>
            </w:r>
          </w:p>
        </w:tc>
        <w:tc>
          <w:tcPr>
            <w:tcW w:w="957" w:type="dxa"/>
            <w:shd w:val="clear" w:color="000000" w:fill="FFFFFF"/>
            <w:vAlign w:val="center"/>
          </w:tcPr>
          <w:p w14:paraId="42E5DE2E">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846" w:type="dxa"/>
            <w:shd w:val="clear" w:color="000000" w:fill="FFFFFF"/>
            <w:vAlign w:val="center"/>
          </w:tcPr>
          <w:p w14:paraId="64BE70DB">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114" w:type="dxa"/>
            <w:shd w:val="clear" w:color="000000" w:fill="FFFFFF"/>
            <w:vAlign w:val="center"/>
          </w:tcPr>
          <w:p w14:paraId="2FDB736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591C6F62">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6B419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1B07E193">
            <w:pPr>
              <w:spacing w:line="0" w:lineRule="atLeast"/>
              <w:jc w:val="center"/>
              <w:rPr>
                <w:color w:val="000000"/>
                <w:kern w:val="0"/>
                <w:sz w:val="22"/>
                <w:szCs w:val="22"/>
                <w:highlight w:val="none"/>
              </w:rPr>
            </w:pPr>
          </w:p>
        </w:tc>
        <w:tc>
          <w:tcPr>
            <w:tcW w:w="906" w:type="dxa"/>
            <w:vMerge w:val="continue"/>
            <w:shd w:val="clear" w:color="auto" w:fill="FFFFFF"/>
            <w:vAlign w:val="center"/>
          </w:tcPr>
          <w:p w14:paraId="2F5764A8">
            <w:pPr>
              <w:spacing w:line="0" w:lineRule="atLeast"/>
              <w:jc w:val="center"/>
              <w:rPr>
                <w:color w:val="000000"/>
                <w:kern w:val="0"/>
                <w:sz w:val="22"/>
                <w:szCs w:val="22"/>
                <w:highlight w:val="none"/>
              </w:rPr>
            </w:pPr>
          </w:p>
        </w:tc>
        <w:tc>
          <w:tcPr>
            <w:tcW w:w="1175" w:type="dxa"/>
            <w:vMerge w:val="restart"/>
            <w:shd w:val="clear" w:color="auto" w:fill="FFFFFF"/>
            <w:vAlign w:val="center"/>
          </w:tcPr>
          <w:p w14:paraId="5A854696">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564" w:type="dxa"/>
            <w:shd w:val="clear" w:color="auto" w:fill="FFFFFF"/>
            <w:vAlign w:val="center"/>
          </w:tcPr>
          <w:p w14:paraId="51169F25">
            <w:pPr>
              <w:widowControl/>
              <w:spacing w:line="0" w:lineRule="atLeast"/>
              <w:jc w:val="center"/>
              <w:rPr>
                <w:color w:val="000000"/>
                <w:kern w:val="0"/>
                <w:sz w:val="22"/>
                <w:szCs w:val="22"/>
                <w:highlight w:val="none"/>
              </w:rPr>
            </w:pPr>
            <w:r>
              <w:rPr>
                <w:color w:val="000000"/>
                <w:kern w:val="0"/>
                <w:sz w:val="22"/>
                <w:szCs w:val="22"/>
                <w:highlight w:val="none"/>
              </w:rPr>
              <w:t>管理制度</w:t>
            </w:r>
          </w:p>
          <w:p w14:paraId="05C0365C">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664" w:type="dxa"/>
            <w:shd w:val="clear" w:color="000000" w:fill="FFFFFF"/>
            <w:vAlign w:val="center"/>
          </w:tcPr>
          <w:p w14:paraId="3A97AB58">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957" w:type="dxa"/>
            <w:shd w:val="clear" w:color="000000" w:fill="FFFFFF"/>
            <w:vAlign w:val="center"/>
          </w:tcPr>
          <w:p w14:paraId="0F2CE419">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846" w:type="dxa"/>
            <w:shd w:val="clear" w:color="000000" w:fill="FFFFFF"/>
            <w:vAlign w:val="center"/>
          </w:tcPr>
          <w:p w14:paraId="6AE8C248">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114" w:type="dxa"/>
            <w:shd w:val="clear" w:color="000000" w:fill="FFFFFF"/>
            <w:vAlign w:val="center"/>
          </w:tcPr>
          <w:p w14:paraId="27EB11BC">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3B38B0D6">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lang w:val="en-US" w:eastAsia="zh-CN"/>
              </w:rPr>
              <w:t>1</w:t>
            </w:r>
          </w:p>
        </w:tc>
      </w:tr>
      <w:tr w14:paraId="33D83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9" w:hRule="atLeast"/>
        </w:trPr>
        <w:tc>
          <w:tcPr>
            <w:tcW w:w="1011" w:type="dxa"/>
            <w:vMerge w:val="continue"/>
            <w:shd w:val="clear" w:color="auto" w:fill="FFFFFF"/>
            <w:vAlign w:val="center"/>
          </w:tcPr>
          <w:p w14:paraId="42A79E76">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6D7A21C8">
            <w:pPr>
              <w:widowControl/>
              <w:spacing w:line="0" w:lineRule="atLeast"/>
              <w:jc w:val="center"/>
              <w:rPr>
                <w:color w:val="000000"/>
                <w:kern w:val="0"/>
                <w:sz w:val="22"/>
                <w:szCs w:val="22"/>
                <w:highlight w:val="none"/>
              </w:rPr>
            </w:pPr>
          </w:p>
        </w:tc>
        <w:tc>
          <w:tcPr>
            <w:tcW w:w="1175" w:type="dxa"/>
            <w:vMerge w:val="continue"/>
            <w:shd w:val="clear" w:color="auto" w:fill="FFFFFF"/>
            <w:vAlign w:val="center"/>
          </w:tcPr>
          <w:p w14:paraId="4B90F8B9">
            <w:pPr>
              <w:widowControl/>
              <w:spacing w:line="0" w:lineRule="atLeast"/>
              <w:jc w:val="center"/>
              <w:rPr>
                <w:color w:val="000000"/>
                <w:kern w:val="0"/>
                <w:sz w:val="22"/>
                <w:szCs w:val="22"/>
                <w:highlight w:val="none"/>
              </w:rPr>
            </w:pPr>
          </w:p>
        </w:tc>
        <w:tc>
          <w:tcPr>
            <w:tcW w:w="1564" w:type="dxa"/>
            <w:shd w:val="clear" w:color="auto" w:fill="FFFFFF"/>
            <w:vAlign w:val="center"/>
          </w:tcPr>
          <w:p w14:paraId="3B576626">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B9880C0">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664" w:type="dxa"/>
            <w:shd w:val="clear" w:color="000000" w:fill="FFFFFF"/>
            <w:vAlign w:val="center"/>
          </w:tcPr>
          <w:p w14:paraId="225E9CEB">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lang w:val="en-US" w:eastAsia="zh-CN"/>
              </w:rPr>
              <w:t>1</w:t>
            </w:r>
          </w:p>
        </w:tc>
        <w:tc>
          <w:tcPr>
            <w:tcW w:w="957" w:type="dxa"/>
            <w:shd w:val="clear" w:color="000000" w:fill="FFFFFF"/>
            <w:vAlign w:val="center"/>
          </w:tcPr>
          <w:p w14:paraId="67BD998B">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846" w:type="dxa"/>
            <w:shd w:val="clear" w:color="000000" w:fill="FFFFFF"/>
            <w:vAlign w:val="center"/>
          </w:tcPr>
          <w:p w14:paraId="44C49CED">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114" w:type="dxa"/>
            <w:shd w:val="clear" w:color="000000" w:fill="FFFFFF"/>
            <w:vAlign w:val="center"/>
          </w:tcPr>
          <w:p w14:paraId="78BBD2F0">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w:t>
            </w:r>
          </w:p>
        </w:tc>
        <w:tc>
          <w:tcPr>
            <w:tcW w:w="879" w:type="dxa"/>
            <w:shd w:val="clear" w:color="000000" w:fill="FFFFFF"/>
            <w:vAlign w:val="center"/>
          </w:tcPr>
          <w:p w14:paraId="18DE8610">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1</w:t>
            </w:r>
          </w:p>
        </w:tc>
      </w:tr>
      <w:tr w14:paraId="0839E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6" w:hRule="atLeast"/>
        </w:trPr>
        <w:tc>
          <w:tcPr>
            <w:tcW w:w="1011" w:type="dxa"/>
            <w:vMerge w:val="restart"/>
            <w:shd w:val="clear" w:color="auto" w:fill="FFFFFF"/>
            <w:vAlign w:val="center"/>
          </w:tcPr>
          <w:p w14:paraId="7D12DF1B">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906" w:type="dxa"/>
            <w:vMerge w:val="restart"/>
            <w:shd w:val="clear" w:color="auto" w:fill="FFFFFF"/>
            <w:vAlign w:val="center"/>
          </w:tcPr>
          <w:p w14:paraId="0B99B111">
            <w:pPr>
              <w:widowControl/>
              <w:spacing w:line="0" w:lineRule="atLeast"/>
              <w:jc w:val="center"/>
              <w:rPr>
                <w:color w:val="000000"/>
                <w:kern w:val="0"/>
                <w:sz w:val="22"/>
                <w:szCs w:val="22"/>
                <w:highlight w:val="none"/>
              </w:rPr>
            </w:pPr>
            <w:r>
              <w:rPr>
                <w:rFonts w:hint="eastAsia"/>
                <w:kern w:val="0"/>
                <w:sz w:val="22"/>
                <w:szCs w:val="22"/>
                <w:highlight w:val="none"/>
                <w:lang w:val="en-US" w:eastAsia="zh-CN"/>
              </w:rPr>
              <w:t>6</w:t>
            </w:r>
            <w:r>
              <w:rPr>
                <w:rFonts w:hint="eastAsia"/>
                <w:kern w:val="0"/>
                <w:sz w:val="22"/>
                <w:szCs w:val="22"/>
                <w:highlight w:val="none"/>
              </w:rPr>
              <w:t>0</w:t>
            </w:r>
            <w:r>
              <w:rPr>
                <w:kern w:val="0"/>
                <w:sz w:val="22"/>
                <w:szCs w:val="22"/>
                <w:highlight w:val="none"/>
              </w:rPr>
              <w:t>分</w:t>
            </w:r>
          </w:p>
        </w:tc>
        <w:tc>
          <w:tcPr>
            <w:tcW w:w="1175" w:type="dxa"/>
            <w:shd w:val="clear" w:color="auto" w:fill="FFFFFF"/>
            <w:vAlign w:val="center"/>
          </w:tcPr>
          <w:p w14:paraId="06CAB227">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564" w:type="dxa"/>
            <w:shd w:val="clear" w:color="auto" w:fill="FFFFFF"/>
            <w:vAlign w:val="center"/>
          </w:tcPr>
          <w:p w14:paraId="37D8D148">
            <w:pPr>
              <w:widowControl/>
              <w:spacing w:line="0" w:lineRule="atLeast"/>
              <w:jc w:val="center"/>
              <w:rPr>
                <w:color w:val="000000"/>
                <w:kern w:val="0"/>
                <w:sz w:val="22"/>
                <w:szCs w:val="22"/>
                <w:highlight w:val="none"/>
              </w:rPr>
            </w:pPr>
            <w:r>
              <w:rPr>
                <w:rFonts w:hint="eastAsia"/>
                <w:color w:val="000000"/>
                <w:kern w:val="0"/>
                <w:sz w:val="22"/>
                <w:szCs w:val="22"/>
                <w:highlight w:val="none"/>
              </w:rPr>
              <w:t>电路系统设施更新数量</w:t>
            </w:r>
          </w:p>
        </w:tc>
        <w:tc>
          <w:tcPr>
            <w:tcW w:w="664" w:type="dxa"/>
            <w:shd w:val="clear" w:color="000000" w:fill="FFFFFF"/>
            <w:vAlign w:val="center"/>
          </w:tcPr>
          <w:p w14:paraId="66A49286">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957" w:type="dxa"/>
            <w:shd w:val="clear" w:color="000000" w:fill="FFFFFF"/>
            <w:vAlign w:val="center"/>
          </w:tcPr>
          <w:p w14:paraId="17CC31EB">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lang w:val="en-US" w:eastAsia="zh-CN"/>
              </w:rPr>
              <w:t>1套</w:t>
            </w:r>
          </w:p>
        </w:tc>
        <w:tc>
          <w:tcPr>
            <w:tcW w:w="846" w:type="dxa"/>
            <w:shd w:val="clear" w:color="000000" w:fill="FFFFFF"/>
            <w:vAlign w:val="center"/>
          </w:tcPr>
          <w:p w14:paraId="24F7468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1套</w:t>
            </w:r>
          </w:p>
        </w:tc>
        <w:tc>
          <w:tcPr>
            <w:tcW w:w="1114" w:type="dxa"/>
            <w:shd w:val="clear" w:color="000000" w:fill="FFFFFF"/>
            <w:vAlign w:val="center"/>
          </w:tcPr>
          <w:p w14:paraId="6CEAC26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000000" w:fill="FFFFFF"/>
            <w:vAlign w:val="center"/>
          </w:tcPr>
          <w:p w14:paraId="1F380ABB">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4BDF65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8" w:hRule="atLeast"/>
        </w:trPr>
        <w:tc>
          <w:tcPr>
            <w:tcW w:w="1011" w:type="dxa"/>
            <w:vMerge w:val="continue"/>
            <w:shd w:val="clear" w:color="auto" w:fill="FFFFFF"/>
            <w:vAlign w:val="center"/>
          </w:tcPr>
          <w:p w14:paraId="6273F8FE">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11A22C45">
            <w:pPr>
              <w:widowControl/>
              <w:spacing w:line="0" w:lineRule="atLeast"/>
              <w:jc w:val="center"/>
              <w:rPr>
                <w:color w:val="000000"/>
                <w:kern w:val="0"/>
                <w:sz w:val="22"/>
                <w:szCs w:val="22"/>
                <w:highlight w:val="none"/>
              </w:rPr>
            </w:pPr>
          </w:p>
        </w:tc>
        <w:tc>
          <w:tcPr>
            <w:tcW w:w="1175" w:type="dxa"/>
            <w:shd w:val="clear" w:color="auto" w:fill="FFFFFF"/>
            <w:vAlign w:val="center"/>
          </w:tcPr>
          <w:p w14:paraId="65E9D162">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564" w:type="dxa"/>
            <w:shd w:val="clear" w:color="auto" w:fill="FFFFFF"/>
            <w:vAlign w:val="center"/>
          </w:tcPr>
          <w:p w14:paraId="3F319A90">
            <w:pPr>
              <w:widowControl/>
              <w:spacing w:line="0" w:lineRule="atLeast"/>
              <w:jc w:val="center"/>
              <w:rPr>
                <w:color w:val="000000"/>
                <w:kern w:val="0"/>
                <w:sz w:val="22"/>
                <w:szCs w:val="22"/>
                <w:highlight w:val="none"/>
              </w:rPr>
            </w:pPr>
            <w:r>
              <w:rPr>
                <w:rFonts w:hint="eastAsia"/>
                <w:color w:val="000000"/>
                <w:kern w:val="0"/>
                <w:sz w:val="22"/>
                <w:szCs w:val="22"/>
                <w:highlight w:val="none"/>
              </w:rPr>
              <w:t>电路设施验收合格率</w:t>
            </w:r>
          </w:p>
        </w:tc>
        <w:tc>
          <w:tcPr>
            <w:tcW w:w="664" w:type="dxa"/>
            <w:shd w:val="clear" w:color="000000" w:fill="FFFFFF"/>
            <w:vAlign w:val="center"/>
          </w:tcPr>
          <w:p w14:paraId="7F833CCA">
            <w:pPr>
              <w:widowControl/>
              <w:spacing w:line="0" w:lineRule="atLeast"/>
              <w:jc w:val="center"/>
              <w:rPr>
                <w:color w:val="000000"/>
                <w:kern w:val="0"/>
                <w:sz w:val="22"/>
                <w:szCs w:val="22"/>
                <w:highlight w:val="none"/>
              </w:rPr>
            </w:pPr>
            <w:r>
              <w:rPr>
                <w:color w:val="000000"/>
                <w:kern w:val="0"/>
                <w:sz w:val="22"/>
                <w:szCs w:val="22"/>
                <w:highlight w:val="none"/>
              </w:rPr>
              <w:t>10</w:t>
            </w:r>
          </w:p>
        </w:tc>
        <w:tc>
          <w:tcPr>
            <w:tcW w:w="957" w:type="dxa"/>
            <w:shd w:val="clear" w:color="000000" w:fill="FFFFFF"/>
            <w:vAlign w:val="center"/>
          </w:tcPr>
          <w:p w14:paraId="346DBE42">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rPr>
              <w:t>90%</w:t>
            </w:r>
          </w:p>
        </w:tc>
        <w:tc>
          <w:tcPr>
            <w:tcW w:w="846" w:type="dxa"/>
            <w:shd w:val="clear" w:color="000000" w:fill="FFFFFF"/>
            <w:vAlign w:val="center"/>
          </w:tcPr>
          <w:p w14:paraId="7184FC5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92</w:t>
            </w:r>
            <w:r>
              <w:rPr>
                <w:color w:val="000000"/>
                <w:kern w:val="0"/>
                <w:sz w:val="22"/>
                <w:szCs w:val="22"/>
                <w:highlight w:val="none"/>
              </w:rPr>
              <w:t>%</w:t>
            </w:r>
          </w:p>
        </w:tc>
        <w:tc>
          <w:tcPr>
            <w:tcW w:w="1114" w:type="dxa"/>
            <w:shd w:val="clear" w:color="000000" w:fill="FFFFFF"/>
            <w:vAlign w:val="center"/>
          </w:tcPr>
          <w:p w14:paraId="1CAA078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000000" w:fill="FFFFFF"/>
            <w:vAlign w:val="center"/>
          </w:tcPr>
          <w:p w14:paraId="27F9A7B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C516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8" w:hRule="atLeast"/>
        </w:trPr>
        <w:tc>
          <w:tcPr>
            <w:tcW w:w="1011" w:type="dxa"/>
            <w:vMerge w:val="continue"/>
            <w:shd w:val="clear" w:color="auto" w:fill="FFFFFF"/>
            <w:vAlign w:val="center"/>
          </w:tcPr>
          <w:p w14:paraId="40F1BCE3">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5FA1BE96">
            <w:pPr>
              <w:widowControl/>
              <w:spacing w:line="0" w:lineRule="atLeast"/>
              <w:jc w:val="center"/>
              <w:rPr>
                <w:color w:val="000000"/>
                <w:kern w:val="0"/>
                <w:sz w:val="22"/>
                <w:szCs w:val="22"/>
                <w:highlight w:val="none"/>
              </w:rPr>
            </w:pPr>
          </w:p>
        </w:tc>
        <w:tc>
          <w:tcPr>
            <w:tcW w:w="1175" w:type="dxa"/>
            <w:shd w:val="clear" w:color="auto" w:fill="FFFFFF"/>
            <w:vAlign w:val="center"/>
          </w:tcPr>
          <w:p w14:paraId="72C2EA2E">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564" w:type="dxa"/>
            <w:shd w:val="clear" w:color="auto" w:fill="FFFFFF"/>
            <w:vAlign w:val="center"/>
          </w:tcPr>
          <w:p w14:paraId="33DEAF6C">
            <w:pPr>
              <w:widowControl/>
              <w:spacing w:line="0" w:lineRule="atLeast"/>
              <w:jc w:val="center"/>
              <w:rPr>
                <w:rFonts w:hint="eastAsia"/>
                <w:color w:val="000000"/>
                <w:kern w:val="0"/>
                <w:sz w:val="22"/>
                <w:szCs w:val="22"/>
                <w:highlight w:val="none"/>
              </w:rPr>
            </w:pPr>
            <w:r>
              <w:rPr>
                <w:rFonts w:hint="eastAsia"/>
                <w:color w:val="000000"/>
                <w:kern w:val="0"/>
                <w:sz w:val="22"/>
                <w:szCs w:val="22"/>
                <w:highlight w:val="none"/>
              </w:rPr>
              <w:t>设备质量合格率</w:t>
            </w:r>
          </w:p>
        </w:tc>
        <w:tc>
          <w:tcPr>
            <w:tcW w:w="664" w:type="dxa"/>
            <w:shd w:val="clear" w:color="000000" w:fill="FFFFFF"/>
            <w:vAlign w:val="center"/>
          </w:tcPr>
          <w:p w14:paraId="14582CDA">
            <w:pPr>
              <w:widowControl/>
              <w:spacing w:line="0" w:lineRule="atLeast"/>
              <w:jc w:val="center"/>
              <w:rPr>
                <w:rFonts w:hint="default" w:eastAsia="仿宋_GB2312"/>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957" w:type="dxa"/>
            <w:shd w:val="clear" w:color="000000" w:fill="FFFFFF"/>
            <w:vAlign w:val="center"/>
          </w:tcPr>
          <w:p w14:paraId="16A28B63">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rPr>
              <w:t>95%</w:t>
            </w:r>
          </w:p>
        </w:tc>
        <w:tc>
          <w:tcPr>
            <w:tcW w:w="846" w:type="dxa"/>
            <w:shd w:val="clear" w:color="000000" w:fill="FFFFFF"/>
            <w:vAlign w:val="center"/>
          </w:tcPr>
          <w:p w14:paraId="1C84FCF8">
            <w:pPr>
              <w:widowControl/>
              <w:spacing w:line="0" w:lineRule="atLeast"/>
              <w:jc w:val="center"/>
              <w:rPr>
                <w:rFonts w:hint="default"/>
                <w:color w:val="000000"/>
                <w:kern w:val="0"/>
                <w:sz w:val="22"/>
                <w:szCs w:val="22"/>
                <w:highlight w:val="none"/>
                <w:lang w:val="en-US" w:eastAsia="zh-CN"/>
              </w:rPr>
            </w:pPr>
            <w:r>
              <w:rPr>
                <w:rFonts w:hint="eastAsia"/>
                <w:color w:val="000000"/>
                <w:kern w:val="0"/>
                <w:sz w:val="22"/>
                <w:szCs w:val="22"/>
                <w:highlight w:val="none"/>
                <w:lang w:val="en-US" w:eastAsia="zh-CN"/>
              </w:rPr>
              <w:t>96%</w:t>
            </w:r>
          </w:p>
        </w:tc>
        <w:tc>
          <w:tcPr>
            <w:tcW w:w="1114" w:type="dxa"/>
            <w:shd w:val="clear" w:color="000000" w:fill="FFFFFF"/>
            <w:vAlign w:val="center"/>
          </w:tcPr>
          <w:p w14:paraId="6555553F">
            <w:pPr>
              <w:widowControl/>
              <w:spacing w:line="0" w:lineRule="atLeast"/>
              <w:jc w:val="center"/>
              <w:rPr>
                <w:rFonts w:hint="eastAsia"/>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000000" w:fill="FFFFFF"/>
            <w:vAlign w:val="center"/>
          </w:tcPr>
          <w:p w14:paraId="0BD4D040">
            <w:pPr>
              <w:widowControl/>
              <w:spacing w:line="0" w:lineRule="atLeast"/>
              <w:jc w:val="center"/>
              <w:rPr>
                <w:rFonts w:hint="eastAsia"/>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7FA3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5" w:hRule="atLeast"/>
        </w:trPr>
        <w:tc>
          <w:tcPr>
            <w:tcW w:w="1011" w:type="dxa"/>
            <w:vMerge w:val="continue"/>
            <w:shd w:val="clear" w:color="auto" w:fill="FFFFFF"/>
            <w:vAlign w:val="center"/>
          </w:tcPr>
          <w:p w14:paraId="0DBF8680">
            <w:pPr>
              <w:spacing w:line="0" w:lineRule="atLeast"/>
              <w:jc w:val="center"/>
              <w:rPr>
                <w:color w:val="000000"/>
                <w:kern w:val="0"/>
                <w:sz w:val="22"/>
                <w:szCs w:val="22"/>
                <w:highlight w:val="none"/>
              </w:rPr>
            </w:pPr>
          </w:p>
        </w:tc>
        <w:tc>
          <w:tcPr>
            <w:tcW w:w="906" w:type="dxa"/>
            <w:vMerge w:val="continue"/>
            <w:shd w:val="clear" w:color="auto" w:fill="FFFFFF"/>
            <w:vAlign w:val="center"/>
          </w:tcPr>
          <w:p w14:paraId="63BDD8CD">
            <w:pPr>
              <w:spacing w:line="0" w:lineRule="atLeast"/>
              <w:jc w:val="center"/>
              <w:rPr>
                <w:color w:val="000000"/>
                <w:kern w:val="0"/>
                <w:sz w:val="22"/>
                <w:szCs w:val="22"/>
                <w:highlight w:val="none"/>
              </w:rPr>
            </w:pPr>
          </w:p>
        </w:tc>
        <w:tc>
          <w:tcPr>
            <w:tcW w:w="1175" w:type="dxa"/>
            <w:shd w:val="clear" w:color="auto" w:fill="FFFFFF"/>
            <w:vAlign w:val="center"/>
          </w:tcPr>
          <w:p w14:paraId="4FCA0BA0">
            <w:pPr>
              <w:spacing w:line="0" w:lineRule="atLeast"/>
              <w:jc w:val="center"/>
              <w:rPr>
                <w:color w:val="000000"/>
                <w:kern w:val="0"/>
                <w:sz w:val="22"/>
                <w:szCs w:val="22"/>
                <w:highlight w:val="none"/>
              </w:rPr>
            </w:pPr>
            <w:r>
              <w:rPr>
                <w:color w:val="000000"/>
                <w:kern w:val="0"/>
                <w:sz w:val="22"/>
                <w:szCs w:val="22"/>
                <w:highlight w:val="none"/>
              </w:rPr>
              <w:t>产出时效</w:t>
            </w:r>
          </w:p>
        </w:tc>
        <w:tc>
          <w:tcPr>
            <w:tcW w:w="1564" w:type="dxa"/>
            <w:shd w:val="clear" w:color="auto" w:fill="FFFFFF"/>
            <w:vAlign w:val="center"/>
          </w:tcPr>
          <w:p w14:paraId="6DAF9FDA">
            <w:pPr>
              <w:widowControl/>
              <w:spacing w:line="0" w:lineRule="atLeast"/>
              <w:jc w:val="center"/>
              <w:rPr>
                <w:color w:val="000000"/>
                <w:kern w:val="0"/>
                <w:sz w:val="22"/>
                <w:szCs w:val="22"/>
                <w:highlight w:val="none"/>
              </w:rPr>
            </w:pPr>
            <w:r>
              <w:rPr>
                <w:rFonts w:hint="eastAsia"/>
                <w:color w:val="000000"/>
                <w:kern w:val="0"/>
                <w:sz w:val="22"/>
                <w:szCs w:val="22"/>
                <w:highlight w:val="none"/>
              </w:rPr>
              <w:t>项目计划完工时间</w:t>
            </w:r>
          </w:p>
        </w:tc>
        <w:tc>
          <w:tcPr>
            <w:tcW w:w="664" w:type="dxa"/>
            <w:shd w:val="clear" w:color="000000" w:fill="FFFFFF"/>
            <w:vAlign w:val="center"/>
          </w:tcPr>
          <w:p w14:paraId="615C4458">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957" w:type="dxa"/>
            <w:shd w:val="clear" w:color="000000" w:fill="FFFFFF"/>
            <w:vAlign w:val="center"/>
          </w:tcPr>
          <w:p w14:paraId="1BB89311">
            <w:pPr>
              <w:widowControl/>
              <w:spacing w:line="0" w:lineRule="atLeast"/>
              <w:jc w:val="center"/>
              <w:rPr>
                <w:color w:val="000000"/>
                <w:kern w:val="0"/>
                <w:sz w:val="22"/>
                <w:szCs w:val="22"/>
                <w:highlight w:val="none"/>
              </w:rPr>
            </w:pPr>
            <w:r>
              <w:rPr>
                <w:rFonts w:hint="eastAsia"/>
                <w:color w:val="000000"/>
                <w:kern w:val="0"/>
                <w:sz w:val="22"/>
                <w:szCs w:val="22"/>
                <w:highlight w:val="none"/>
              </w:rPr>
              <w:t>2023-12-15</w:t>
            </w:r>
          </w:p>
        </w:tc>
        <w:tc>
          <w:tcPr>
            <w:tcW w:w="846" w:type="dxa"/>
            <w:shd w:val="clear" w:color="000000" w:fill="FFFFFF"/>
            <w:vAlign w:val="center"/>
          </w:tcPr>
          <w:p w14:paraId="7B451675">
            <w:pPr>
              <w:widowControl/>
              <w:spacing w:line="0" w:lineRule="atLeast"/>
              <w:jc w:val="center"/>
              <w:rPr>
                <w:rFonts w:hint="eastAsia" w:eastAsia="仿宋_GB2312"/>
                <w:color w:val="000000"/>
                <w:kern w:val="0"/>
                <w:sz w:val="22"/>
                <w:szCs w:val="22"/>
                <w:highlight w:val="none"/>
                <w:lang w:eastAsia="zh-CN"/>
              </w:rPr>
            </w:pPr>
            <w:r>
              <w:rPr>
                <w:rFonts w:hint="eastAsia"/>
                <w:color w:val="000000"/>
                <w:kern w:val="0"/>
                <w:sz w:val="22"/>
                <w:szCs w:val="22"/>
                <w:highlight w:val="none"/>
              </w:rPr>
              <w:t>2023-</w:t>
            </w:r>
            <w:r>
              <w:rPr>
                <w:rFonts w:hint="eastAsia"/>
                <w:color w:val="000000"/>
                <w:kern w:val="0"/>
                <w:sz w:val="22"/>
                <w:szCs w:val="22"/>
                <w:highlight w:val="none"/>
                <w:lang w:val="en-US" w:eastAsia="zh-CN"/>
              </w:rPr>
              <w:t>8</w:t>
            </w:r>
            <w:r>
              <w:rPr>
                <w:rFonts w:hint="eastAsia"/>
                <w:color w:val="000000"/>
                <w:kern w:val="0"/>
                <w:sz w:val="22"/>
                <w:szCs w:val="22"/>
                <w:highlight w:val="none"/>
              </w:rPr>
              <w:t>-1</w:t>
            </w:r>
            <w:r>
              <w:rPr>
                <w:rFonts w:hint="eastAsia"/>
                <w:color w:val="000000"/>
                <w:kern w:val="0"/>
                <w:sz w:val="22"/>
                <w:szCs w:val="22"/>
                <w:highlight w:val="none"/>
                <w:lang w:val="en-US" w:eastAsia="zh-CN"/>
              </w:rPr>
              <w:t>7</w:t>
            </w:r>
          </w:p>
        </w:tc>
        <w:tc>
          <w:tcPr>
            <w:tcW w:w="1114" w:type="dxa"/>
            <w:shd w:val="clear" w:color="000000" w:fill="FFFFFF"/>
            <w:vAlign w:val="center"/>
          </w:tcPr>
          <w:p w14:paraId="7CF9AD3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000000" w:fill="FFFFFF"/>
            <w:vAlign w:val="center"/>
          </w:tcPr>
          <w:p w14:paraId="29BD1CE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3510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8" w:hRule="atLeast"/>
        </w:trPr>
        <w:tc>
          <w:tcPr>
            <w:tcW w:w="1011" w:type="dxa"/>
            <w:vMerge w:val="continue"/>
            <w:shd w:val="clear" w:color="auto" w:fill="FFFFFF"/>
            <w:vAlign w:val="center"/>
          </w:tcPr>
          <w:p w14:paraId="7397069A">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1FD77CC6">
            <w:pPr>
              <w:widowControl/>
              <w:spacing w:line="0" w:lineRule="atLeast"/>
              <w:jc w:val="center"/>
              <w:rPr>
                <w:color w:val="000000"/>
                <w:kern w:val="0"/>
                <w:sz w:val="22"/>
                <w:szCs w:val="22"/>
                <w:highlight w:val="none"/>
              </w:rPr>
            </w:pPr>
          </w:p>
        </w:tc>
        <w:tc>
          <w:tcPr>
            <w:tcW w:w="1175" w:type="dxa"/>
            <w:shd w:val="clear" w:color="auto" w:fill="FFFFFF"/>
            <w:vAlign w:val="center"/>
          </w:tcPr>
          <w:p w14:paraId="29B63676">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564" w:type="dxa"/>
            <w:shd w:val="clear" w:color="auto" w:fill="FFFFFF"/>
            <w:vAlign w:val="center"/>
          </w:tcPr>
          <w:p w14:paraId="27A54280">
            <w:pPr>
              <w:widowControl/>
              <w:spacing w:line="0" w:lineRule="atLeast"/>
              <w:jc w:val="center"/>
              <w:rPr>
                <w:color w:val="000000"/>
                <w:kern w:val="0"/>
                <w:sz w:val="22"/>
                <w:szCs w:val="22"/>
                <w:highlight w:val="none"/>
              </w:rPr>
            </w:pPr>
            <w:r>
              <w:rPr>
                <w:rFonts w:hint="eastAsia"/>
                <w:color w:val="000000"/>
                <w:kern w:val="0"/>
                <w:sz w:val="22"/>
                <w:szCs w:val="22"/>
                <w:highlight w:val="none"/>
              </w:rPr>
              <w:t>预算控制率</w:t>
            </w:r>
          </w:p>
        </w:tc>
        <w:tc>
          <w:tcPr>
            <w:tcW w:w="664" w:type="dxa"/>
            <w:shd w:val="clear" w:color="000000" w:fill="FFFFFF"/>
            <w:vAlign w:val="center"/>
          </w:tcPr>
          <w:p w14:paraId="391AEFC6">
            <w:pPr>
              <w:widowControl/>
              <w:spacing w:line="0" w:lineRule="atLeast"/>
              <w:jc w:val="center"/>
              <w:rPr>
                <w:rFonts w:hint="default" w:eastAsia="仿宋_GB2312"/>
                <w:color w:val="000000"/>
                <w:kern w:val="0"/>
                <w:sz w:val="22"/>
                <w:szCs w:val="22"/>
                <w:highlight w:val="none"/>
                <w:lang w:val="en-US" w:eastAsia="zh-CN"/>
              </w:rPr>
            </w:pPr>
            <w:r>
              <w:rPr>
                <w:rFonts w:hint="eastAsia"/>
                <w:color w:val="000000"/>
                <w:kern w:val="0"/>
                <w:sz w:val="22"/>
                <w:szCs w:val="22"/>
                <w:highlight w:val="none"/>
                <w:lang w:val="en-US" w:eastAsia="zh-CN"/>
              </w:rPr>
              <w:t>20</w:t>
            </w:r>
          </w:p>
        </w:tc>
        <w:tc>
          <w:tcPr>
            <w:tcW w:w="957" w:type="dxa"/>
            <w:shd w:val="clear" w:color="000000" w:fill="FFFFFF"/>
            <w:vAlign w:val="center"/>
          </w:tcPr>
          <w:p w14:paraId="3008050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846" w:type="dxa"/>
            <w:shd w:val="clear" w:color="000000" w:fill="FFFFFF"/>
            <w:vAlign w:val="center"/>
          </w:tcPr>
          <w:p w14:paraId="0DA8A6E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81.6</w:t>
            </w:r>
            <w:r>
              <w:rPr>
                <w:color w:val="000000"/>
                <w:kern w:val="0"/>
                <w:sz w:val="22"/>
                <w:szCs w:val="22"/>
                <w:highlight w:val="none"/>
              </w:rPr>
              <w:t>%</w:t>
            </w:r>
          </w:p>
        </w:tc>
        <w:tc>
          <w:tcPr>
            <w:tcW w:w="1114" w:type="dxa"/>
            <w:shd w:val="clear" w:color="000000" w:fill="FFFFFF"/>
            <w:vAlign w:val="center"/>
          </w:tcPr>
          <w:p w14:paraId="6FB3FC9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8.2%</w:t>
            </w:r>
          </w:p>
        </w:tc>
        <w:tc>
          <w:tcPr>
            <w:tcW w:w="879" w:type="dxa"/>
            <w:shd w:val="clear" w:color="000000" w:fill="FFFFFF"/>
            <w:vAlign w:val="center"/>
          </w:tcPr>
          <w:p w14:paraId="28896CA1">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11</w:t>
            </w:r>
          </w:p>
        </w:tc>
      </w:tr>
      <w:tr w14:paraId="619A09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1" w:hRule="atLeast"/>
        </w:trPr>
        <w:tc>
          <w:tcPr>
            <w:tcW w:w="1011" w:type="dxa"/>
            <w:vMerge w:val="restart"/>
            <w:shd w:val="clear" w:color="auto" w:fill="FFFFFF"/>
            <w:vAlign w:val="center"/>
          </w:tcPr>
          <w:p w14:paraId="236F637E">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906" w:type="dxa"/>
            <w:vMerge w:val="restart"/>
            <w:shd w:val="clear" w:color="auto" w:fill="FFFFFF"/>
            <w:vAlign w:val="center"/>
          </w:tcPr>
          <w:p w14:paraId="52B833E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r>
              <w:rPr>
                <w:rFonts w:hint="eastAsia"/>
                <w:color w:val="000000"/>
                <w:kern w:val="0"/>
                <w:sz w:val="22"/>
                <w:szCs w:val="22"/>
                <w:highlight w:val="none"/>
              </w:rPr>
              <w:t>0</w:t>
            </w:r>
            <w:r>
              <w:rPr>
                <w:color w:val="000000"/>
                <w:kern w:val="0"/>
                <w:sz w:val="22"/>
                <w:szCs w:val="22"/>
                <w:highlight w:val="none"/>
              </w:rPr>
              <w:t>分</w:t>
            </w:r>
          </w:p>
        </w:tc>
        <w:tc>
          <w:tcPr>
            <w:tcW w:w="1175" w:type="dxa"/>
            <w:vMerge w:val="restart"/>
            <w:shd w:val="clear" w:color="auto" w:fill="FFFFFF"/>
            <w:vAlign w:val="center"/>
          </w:tcPr>
          <w:p w14:paraId="713338AB">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564" w:type="dxa"/>
            <w:shd w:val="clear" w:color="auto" w:fill="FFFFFF"/>
            <w:vAlign w:val="center"/>
          </w:tcPr>
          <w:p w14:paraId="222ED118">
            <w:pPr>
              <w:widowControl/>
              <w:spacing w:line="0" w:lineRule="atLeast"/>
              <w:jc w:val="center"/>
              <w:rPr>
                <w:color w:val="000000"/>
                <w:kern w:val="0"/>
                <w:sz w:val="22"/>
                <w:szCs w:val="22"/>
                <w:highlight w:val="none"/>
              </w:rPr>
            </w:pPr>
            <w:r>
              <w:rPr>
                <w:rFonts w:hint="eastAsia"/>
                <w:color w:val="000000"/>
                <w:kern w:val="0"/>
                <w:sz w:val="22"/>
                <w:szCs w:val="22"/>
                <w:highlight w:val="none"/>
              </w:rPr>
              <w:t>社会效益指标</w:t>
            </w:r>
          </w:p>
        </w:tc>
        <w:tc>
          <w:tcPr>
            <w:tcW w:w="664" w:type="dxa"/>
            <w:shd w:val="clear" w:color="auto" w:fill="FFFFFF"/>
            <w:vAlign w:val="center"/>
          </w:tcPr>
          <w:p w14:paraId="7C2D9F08">
            <w:pPr>
              <w:widowControl/>
              <w:spacing w:line="0" w:lineRule="atLeast"/>
              <w:jc w:val="center"/>
              <w:rPr>
                <w:rFonts w:hint="default" w:eastAsia="仿宋_GB2312"/>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957" w:type="dxa"/>
            <w:shd w:val="clear" w:color="auto" w:fill="FFFFFF"/>
            <w:vAlign w:val="center"/>
          </w:tcPr>
          <w:p w14:paraId="45C41005">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98</w:t>
            </w:r>
            <w:r>
              <w:rPr>
                <w:color w:val="000000"/>
                <w:kern w:val="0"/>
                <w:sz w:val="22"/>
                <w:szCs w:val="22"/>
                <w:highlight w:val="none"/>
              </w:rPr>
              <w:t>%</w:t>
            </w:r>
          </w:p>
        </w:tc>
        <w:tc>
          <w:tcPr>
            <w:tcW w:w="846" w:type="dxa"/>
            <w:shd w:val="clear" w:color="auto" w:fill="FFFFFF"/>
            <w:vAlign w:val="center"/>
          </w:tcPr>
          <w:p w14:paraId="1E25B01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98</w:t>
            </w:r>
            <w:r>
              <w:rPr>
                <w:color w:val="000000"/>
                <w:kern w:val="0"/>
                <w:sz w:val="22"/>
                <w:szCs w:val="22"/>
                <w:highlight w:val="none"/>
              </w:rPr>
              <w:t>%</w:t>
            </w:r>
          </w:p>
        </w:tc>
        <w:tc>
          <w:tcPr>
            <w:tcW w:w="1114" w:type="dxa"/>
            <w:shd w:val="clear" w:color="auto" w:fill="FFFFFF"/>
            <w:vAlign w:val="center"/>
          </w:tcPr>
          <w:p w14:paraId="1B067D08">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auto" w:fill="FFFFFF"/>
            <w:vAlign w:val="center"/>
          </w:tcPr>
          <w:p w14:paraId="087E7DEA">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7DC2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2" w:hRule="atLeast"/>
        </w:trPr>
        <w:tc>
          <w:tcPr>
            <w:tcW w:w="1011" w:type="dxa"/>
            <w:vMerge w:val="continue"/>
            <w:shd w:val="clear" w:color="auto" w:fill="FFFFFF"/>
            <w:vAlign w:val="center"/>
          </w:tcPr>
          <w:p w14:paraId="58B46ADC">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14A66455">
            <w:pPr>
              <w:widowControl/>
              <w:spacing w:line="0" w:lineRule="atLeast"/>
              <w:jc w:val="center"/>
              <w:rPr>
                <w:rFonts w:hint="eastAsia"/>
                <w:color w:val="000000"/>
                <w:kern w:val="0"/>
                <w:sz w:val="22"/>
                <w:szCs w:val="22"/>
                <w:highlight w:val="none"/>
              </w:rPr>
            </w:pPr>
          </w:p>
        </w:tc>
        <w:tc>
          <w:tcPr>
            <w:tcW w:w="1175" w:type="dxa"/>
            <w:vMerge w:val="continue"/>
            <w:shd w:val="clear" w:color="auto" w:fill="FFFFFF"/>
            <w:vAlign w:val="center"/>
          </w:tcPr>
          <w:p w14:paraId="00F523C5">
            <w:pPr>
              <w:widowControl/>
              <w:spacing w:line="0" w:lineRule="atLeast"/>
              <w:jc w:val="center"/>
              <w:rPr>
                <w:color w:val="000000"/>
                <w:kern w:val="0"/>
                <w:sz w:val="22"/>
                <w:szCs w:val="22"/>
                <w:highlight w:val="none"/>
              </w:rPr>
            </w:pPr>
          </w:p>
        </w:tc>
        <w:tc>
          <w:tcPr>
            <w:tcW w:w="1564" w:type="dxa"/>
            <w:shd w:val="clear" w:color="auto" w:fill="FFFFFF"/>
            <w:vAlign w:val="center"/>
          </w:tcPr>
          <w:p w14:paraId="0893CD43">
            <w:pPr>
              <w:widowControl/>
              <w:spacing w:line="0" w:lineRule="atLeast"/>
              <w:jc w:val="center"/>
              <w:rPr>
                <w:color w:val="000000"/>
                <w:kern w:val="0"/>
                <w:sz w:val="22"/>
                <w:szCs w:val="22"/>
                <w:highlight w:val="none"/>
              </w:rPr>
            </w:pPr>
            <w:r>
              <w:rPr>
                <w:rFonts w:hint="eastAsia"/>
                <w:color w:val="000000"/>
                <w:kern w:val="0"/>
                <w:sz w:val="22"/>
                <w:szCs w:val="22"/>
                <w:highlight w:val="none"/>
              </w:rPr>
              <w:t>生态效益指标</w:t>
            </w:r>
          </w:p>
        </w:tc>
        <w:tc>
          <w:tcPr>
            <w:tcW w:w="664" w:type="dxa"/>
            <w:shd w:val="clear" w:color="auto" w:fill="FFFFFF"/>
            <w:vAlign w:val="center"/>
          </w:tcPr>
          <w:p w14:paraId="1F98D83A">
            <w:pPr>
              <w:widowControl/>
              <w:spacing w:line="0" w:lineRule="atLeast"/>
              <w:jc w:val="center"/>
              <w:rPr>
                <w:rFonts w:hint="default"/>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957" w:type="dxa"/>
            <w:shd w:val="clear" w:color="auto" w:fill="FFFFFF"/>
            <w:vAlign w:val="center"/>
          </w:tcPr>
          <w:p w14:paraId="2BA4F6D8">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98</w:t>
            </w:r>
            <w:r>
              <w:rPr>
                <w:color w:val="000000"/>
                <w:kern w:val="0"/>
                <w:sz w:val="22"/>
                <w:szCs w:val="22"/>
                <w:highlight w:val="none"/>
              </w:rPr>
              <w:t>%</w:t>
            </w:r>
          </w:p>
        </w:tc>
        <w:tc>
          <w:tcPr>
            <w:tcW w:w="846" w:type="dxa"/>
            <w:shd w:val="clear" w:color="auto" w:fill="FFFFFF"/>
            <w:vAlign w:val="center"/>
          </w:tcPr>
          <w:p w14:paraId="5DCEEDF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98</w:t>
            </w:r>
            <w:r>
              <w:rPr>
                <w:color w:val="000000"/>
                <w:kern w:val="0"/>
                <w:sz w:val="22"/>
                <w:szCs w:val="22"/>
                <w:highlight w:val="none"/>
              </w:rPr>
              <w:t>%</w:t>
            </w:r>
          </w:p>
        </w:tc>
        <w:tc>
          <w:tcPr>
            <w:tcW w:w="1114" w:type="dxa"/>
            <w:shd w:val="clear" w:color="auto" w:fill="FFFFFF"/>
            <w:vAlign w:val="center"/>
          </w:tcPr>
          <w:p w14:paraId="196AC2B6">
            <w:pPr>
              <w:widowControl/>
              <w:spacing w:line="0" w:lineRule="atLeast"/>
              <w:jc w:val="center"/>
              <w:rPr>
                <w:rFonts w:hint="eastAsia"/>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auto" w:fill="FFFFFF"/>
            <w:vAlign w:val="center"/>
          </w:tcPr>
          <w:p w14:paraId="1189DEE1">
            <w:pPr>
              <w:widowControl/>
              <w:spacing w:line="0" w:lineRule="atLeast"/>
              <w:jc w:val="center"/>
              <w:rPr>
                <w:rFonts w:hint="default"/>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0AB8B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6" w:hRule="atLeast"/>
        </w:trPr>
        <w:tc>
          <w:tcPr>
            <w:tcW w:w="1011" w:type="dxa"/>
            <w:vMerge w:val="continue"/>
            <w:shd w:val="clear" w:color="auto" w:fill="FFFFFF"/>
            <w:vAlign w:val="center"/>
          </w:tcPr>
          <w:p w14:paraId="4EADC2DB">
            <w:pPr>
              <w:widowControl/>
              <w:spacing w:line="0" w:lineRule="atLeast"/>
              <w:jc w:val="center"/>
              <w:rPr>
                <w:color w:val="000000"/>
                <w:kern w:val="0"/>
                <w:sz w:val="22"/>
                <w:szCs w:val="22"/>
                <w:highlight w:val="none"/>
              </w:rPr>
            </w:pPr>
          </w:p>
        </w:tc>
        <w:tc>
          <w:tcPr>
            <w:tcW w:w="906" w:type="dxa"/>
            <w:vMerge w:val="continue"/>
            <w:shd w:val="clear" w:color="auto" w:fill="FFFFFF"/>
            <w:vAlign w:val="center"/>
          </w:tcPr>
          <w:p w14:paraId="4A26BCA0">
            <w:pPr>
              <w:widowControl/>
              <w:spacing w:line="0" w:lineRule="atLeast"/>
              <w:jc w:val="center"/>
              <w:rPr>
                <w:color w:val="000000"/>
                <w:kern w:val="0"/>
                <w:sz w:val="22"/>
                <w:szCs w:val="22"/>
                <w:highlight w:val="none"/>
              </w:rPr>
            </w:pPr>
          </w:p>
        </w:tc>
        <w:tc>
          <w:tcPr>
            <w:tcW w:w="1175" w:type="dxa"/>
            <w:vMerge w:val="continue"/>
            <w:shd w:val="clear" w:color="auto" w:fill="FFFFFF"/>
            <w:vAlign w:val="center"/>
          </w:tcPr>
          <w:p w14:paraId="2EF7E54D">
            <w:pPr>
              <w:widowControl/>
              <w:spacing w:line="0" w:lineRule="atLeast"/>
              <w:jc w:val="center"/>
              <w:rPr>
                <w:color w:val="000000"/>
                <w:kern w:val="0"/>
                <w:sz w:val="22"/>
                <w:szCs w:val="22"/>
                <w:highlight w:val="none"/>
              </w:rPr>
            </w:pPr>
          </w:p>
        </w:tc>
        <w:tc>
          <w:tcPr>
            <w:tcW w:w="1564" w:type="dxa"/>
            <w:shd w:val="clear" w:color="auto" w:fill="FFFFFF"/>
            <w:vAlign w:val="center"/>
          </w:tcPr>
          <w:p w14:paraId="369B835B">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664" w:type="dxa"/>
            <w:shd w:val="clear" w:color="000000" w:fill="FFFFFF"/>
            <w:vAlign w:val="center"/>
          </w:tcPr>
          <w:p w14:paraId="008F3911">
            <w:pPr>
              <w:widowControl/>
              <w:spacing w:line="0" w:lineRule="atLeast"/>
              <w:jc w:val="center"/>
              <w:rPr>
                <w:rFonts w:hint="default" w:eastAsia="仿宋_GB2312"/>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957" w:type="dxa"/>
            <w:shd w:val="clear" w:color="000000" w:fill="FFFFFF"/>
            <w:vAlign w:val="center"/>
          </w:tcPr>
          <w:p w14:paraId="4284C7EB">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98</w:t>
            </w:r>
            <w:r>
              <w:rPr>
                <w:color w:val="000000"/>
                <w:kern w:val="0"/>
                <w:sz w:val="22"/>
                <w:szCs w:val="22"/>
                <w:highlight w:val="none"/>
              </w:rPr>
              <w:t>%</w:t>
            </w:r>
          </w:p>
        </w:tc>
        <w:tc>
          <w:tcPr>
            <w:tcW w:w="846" w:type="dxa"/>
            <w:shd w:val="clear" w:color="000000" w:fill="FFFFFF"/>
            <w:vAlign w:val="center"/>
          </w:tcPr>
          <w:p w14:paraId="3EBDCDE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98</w:t>
            </w:r>
            <w:r>
              <w:rPr>
                <w:color w:val="000000"/>
                <w:kern w:val="0"/>
                <w:sz w:val="22"/>
                <w:szCs w:val="22"/>
                <w:highlight w:val="none"/>
              </w:rPr>
              <w:t>%</w:t>
            </w:r>
          </w:p>
        </w:tc>
        <w:tc>
          <w:tcPr>
            <w:tcW w:w="1114" w:type="dxa"/>
            <w:shd w:val="clear" w:color="000000" w:fill="FFFFFF"/>
            <w:vAlign w:val="center"/>
          </w:tcPr>
          <w:p w14:paraId="54095CE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c>
          <w:tcPr>
            <w:tcW w:w="879" w:type="dxa"/>
            <w:shd w:val="clear" w:color="000000" w:fill="FFFFFF"/>
            <w:vAlign w:val="center"/>
          </w:tcPr>
          <w:p w14:paraId="727466C9">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bl>
    <w:p w14:paraId="18CBBEA1">
      <w:pPr>
        <w:spacing w:line="600" w:lineRule="exact"/>
        <w:ind w:firstLine="600" w:firstLineChars="200"/>
        <w:rPr>
          <w:rFonts w:ascii="黑体" w:hAnsi="黑体" w:eastAsia="黑体"/>
        </w:rPr>
      </w:pPr>
      <w:r>
        <w:rPr>
          <w:rFonts w:hint="eastAsia" w:ascii="黑体" w:hAnsi="黑体" w:eastAsia="黑体"/>
        </w:rPr>
        <w:t>四、绩效评价指标分析</w:t>
      </w:r>
    </w:p>
    <w:p w14:paraId="317FC37C">
      <w:pPr>
        <w:spacing w:line="600" w:lineRule="exact"/>
        <w:ind w:firstLine="301" w:firstLineChars="100"/>
        <w:rPr>
          <w:rFonts w:hint="eastAsia" w:eastAsia="楷体_GB2312"/>
          <w:b/>
          <w:bCs/>
          <w:sz w:val="30"/>
          <w:szCs w:val="30"/>
          <w:lang w:eastAsia="zh-CN"/>
        </w:rPr>
      </w:pPr>
      <w:r>
        <w:rPr>
          <w:rFonts w:hint="eastAsia" w:eastAsia="楷体_GB2312"/>
          <w:b/>
          <w:bCs/>
          <w:sz w:val="30"/>
          <w:szCs w:val="30"/>
          <w:lang w:eastAsia="zh-CN"/>
        </w:rPr>
        <w:t>（一）项目决策情况</w:t>
      </w:r>
    </w:p>
    <w:p w14:paraId="65DAC05D">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lang w:eastAsia="zh-CN"/>
        </w:rPr>
        <w:t>针对本项目单位</w:t>
      </w:r>
      <w:r>
        <w:rPr>
          <w:rFonts w:hint="eastAsia" w:ascii="仿宋_GB2312" w:hAnsi="仿宋_GB2312" w:eastAsia="仿宋_GB2312" w:cs="仿宋_GB2312"/>
          <w:color w:val="333333"/>
          <w:sz w:val="28"/>
          <w:szCs w:val="28"/>
        </w:rPr>
        <w:t>从项目立项</w:t>
      </w:r>
      <w:r>
        <w:rPr>
          <w:rFonts w:hint="eastAsia" w:ascii="仿宋_GB2312" w:hAnsi="仿宋_GB2312" w:eastAsia="仿宋_GB2312" w:cs="仿宋_GB2312"/>
          <w:color w:val="333333"/>
          <w:sz w:val="28"/>
          <w:szCs w:val="28"/>
          <w:lang w:eastAsia="zh-CN"/>
        </w:rPr>
        <w:t>、绩效目标、资金投入三方面</w:t>
      </w:r>
      <w:r>
        <w:rPr>
          <w:rFonts w:hint="eastAsia" w:ascii="仿宋_GB2312" w:hAnsi="仿宋_GB2312" w:eastAsia="仿宋_GB2312" w:cs="仿宋_GB2312"/>
          <w:color w:val="333333"/>
          <w:sz w:val="28"/>
          <w:szCs w:val="28"/>
        </w:rPr>
        <w:t>对项目的立项决策目标完成情况进行考察，项目决策类指标分值2</w:t>
      </w:r>
      <w:r>
        <w:rPr>
          <w:rFonts w:hint="eastAsia" w:ascii="仿宋_GB2312" w:hAnsi="仿宋_GB2312" w:cs="仿宋_GB2312"/>
          <w:color w:val="333333"/>
          <w:sz w:val="28"/>
          <w:szCs w:val="28"/>
          <w:lang w:val="en-US" w:eastAsia="zh-CN"/>
        </w:rPr>
        <w:t>0</w:t>
      </w:r>
      <w:r>
        <w:rPr>
          <w:rFonts w:hint="eastAsia" w:ascii="仿宋_GB2312" w:hAnsi="仿宋_GB2312" w:eastAsia="仿宋_GB2312" w:cs="仿宋_GB2312"/>
          <w:color w:val="333333"/>
          <w:sz w:val="28"/>
          <w:szCs w:val="28"/>
        </w:rPr>
        <w:t>分，实际得分2</w:t>
      </w:r>
      <w:r>
        <w:rPr>
          <w:rFonts w:hint="eastAsia" w:ascii="仿宋_GB2312" w:hAnsi="仿宋_GB2312" w:cs="仿宋_GB2312"/>
          <w:color w:val="333333"/>
          <w:sz w:val="28"/>
          <w:szCs w:val="28"/>
          <w:lang w:val="en-US" w:eastAsia="zh-CN"/>
        </w:rPr>
        <w:t>0</w:t>
      </w:r>
      <w:r>
        <w:rPr>
          <w:rFonts w:hint="eastAsia" w:ascii="仿宋_GB2312" w:hAnsi="仿宋_GB2312" w:eastAsia="仿宋_GB2312" w:cs="仿宋_GB2312"/>
          <w:color w:val="333333"/>
          <w:sz w:val="28"/>
          <w:szCs w:val="28"/>
        </w:rPr>
        <w:t>分。</w:t>
      </w:r>
    </w:p>
    <w:p w14:paraId="0E02106C">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val="0"/>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1.项目立项</w:t>
      </w:r>
    </w:p>
    <w:p w14:paraId="602B2EA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（1）立项依据充分性</w:t>
      </w:r>
    </w:p>
    <w:p w14:paraId="0DD283A5">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该项目立项符合国家相关法律法规及发展政策，符合行业规划要求，围绕本年度工作重点和工作计划制定经费预算。本项目与部门内部其他相关项目不重复。</w:t>
      </w:r>
    </w:p>
    <w:p w14:paraId="48C4244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（2）立项程序规范性</w:t>
      </w:r>
    </w:p>
    <w:p w14:paraId="7F46E282">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项目申请、设立过程符合相关要求，</w:t>
      </w:r>
      <w:r>
        <w:rPr>
          <w:rFonts w:hint="eastAsia" w:ascii="仿宋_GB2312" w:hAnsi="仿宋_GB2312" w:eastAsia="仿宋_GB2312" w:cs="仿宋_GB2312"/>
          <w:color w:val="333333"/>
          <w:sz w:val="28"/>
          <w:szCs w:val="28"/>
          <w:lang w:val="en-US" w:eastAsia="zh-Hans"/>
        </w:rPr>
        <w:t>严格按照审批流程准备符合要求的文件、材料；</w:t>
      </w:r>
      <w:r>
        <w:rPr>
          <w:rFonts w:hint="eastAsia" w:ascii="仿宋_GB2312" w:hAnsi="仿宋_GB2312" w:eastAsia="仿宋_GB2312" w:cs="仿宋_GB2312"/>
          <w:color w:val="333333"/>
          <w:sz w:val="28"/>
          <w:szCs w:val="28"/>
          <w:lang w:val="en-US" w:eastAsia="zh-CN"/>
        </w:rPr>
        <w:t>根据决算依据编制工作计划和经费预算，经过与</w:t>
      </w:r>
      <w:r>
        <w:rPr>
          <w:rFonts w:hint="eastAsia" w:ascii="仿宋_GB2312" w:hAnsi="仿宋_GB2312" w:cs="仿宋_GB2312"/>
          <w:color w:val="333333"/>
          <w:sz w:val="28"/>
          <w:szCs w:val="28"/>
          <w:lang w:val="en-US" w:eastAsia="zh-CN"/>
        </w:rPr>
        <w:t>相关人员</w:t>
      </w:r>
      <w:r>
        <w:rPr>
          <w:rFonts w:hint="eastAsia" w:ascii="仿宋_GB2312" w:hAnsi="仿宋_GB2312" w:eastAsia="仿宋_GB2312" w:cs="仿宋_GB2312"/>
          <w:color w:val="333333"/>
          <w:sz w:val="28"/>
          <w:szCs w:val="28"/>
          <w:lang w:val="en-US" w:eastAsia="zh-CN"/>
        </w:rPr>
        <w:t>沟通、筛选确定经费预算计划，确定最终预算方案。项目的审批文件、材料符合相关要求，项目事前经过必要的绩效评估、集体决策，保障了程序的规范性。</w:t>
      </w:r>
    </w:p>
    <w:p w14:paraId="2583BD0A">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76D64510">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（1）绩效目标合理性</w:t>
      </w:r>
    </w:p>
    <w:p w14:paraId="5F5A83CE">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Hans"/>
        </w:rPr>
        <w:t>年初结合实际工作内容</w:t>
      </w:r>
      <w:r>
        <w:rPr>
          <w:rFonts w:hint="eastAsia" w:ascii="仿宋_GB2312" w:hAnsi="仿宋_GB2312" w:eastAsia="仿宋_GB2312" w:cs="仿宋_GB2312"/>
          <w:color w:val="333333"/>
          <w:sz w:val="28"/>
          <w:szCs w:val="28"/>
          <w:lang w:val="en-US" w:eastAsia="zh-CN"/>
        </w:rPr>
        <w:t>设定绩效目标</w:t>
      </w:r>
      <w:r>
        <w:rPr>
          <w:rFonts w:hint="eastAsia" w:ascii="仿宋_GB2312" w:hAnsi="仿宋_GB2312" w:eastAsia="仿宋_GB2312" w:cs="仿宋_GB2312"/>
          <w:color w:val="333333"/>
          <w:sz w:val="28"/>
          <w:szCs w:val="28"/>
          <w:lang w:val="en-US" w:eastAsia="zh-Hans"/>
        </w:rPr>
        <w:t>，绩效目标</w:t>
      </w:r>
      <w:r>
        <w:rPr>
          <w:rFonts w:hint="eastAsia" w:ascii="仿宋_GB2312" w:hAnsi="仿宋_GB2312" w:eastAsia="仿宋_GB2312" w:cs="仿宋_GB2312"/>
          <w:color w:val="333333"/>
          <w:sz w:val="28"/>
          <w:szCs w:val="28"/>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6837F46">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（2）绩效指标明确性</w:t>
      </w:r>
    </w:p>
    <w:p w14:paraId="413935B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项目设置了明确的预期产出效益和效果，将绩效目标细化分解为具体的绩效指标，绩效目标与项目目标任务数相对应，绩效目标设定的绩效指标清晰、细化、可衡量。</w:t>
      </w:r>
    </w:p>
    <w:p w14:paraId="49ACFE93">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492237D0">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（1）预算编制科学性</w:t>
      </w:r>
    </w:p>
    <w:p w14:paraId="3CB9185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预算编制经过科学论证，提供充分的测算依据佐证资料，预算内容与项目内容相匹配。项目投资额与工作任务相匹配。</w:t>
      </w:r>
    </w:p>
    <w:p w14:paraId="233D1A4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（2）资金分配合理性</w:t>
      </w:r>
    </w:p>
    <w:p w14:paraId="21939C2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资金分配额度与项目单位实际工作内容相适应，资金分配额度合理，资金分配依据充分。</w:t>
      </w:r>
    </w:p>
    <w:p w14:paraId="37A0F688">
      <w:pPr>
        <w:spacing w:line="600" w:lineRule="exact"/>
        <w:ind w:firstLine="301" w:firstLineChars="100"/>
        <w:rPr>
          <w:rFonts w:hint="eastAsia" w:eastAsia="楷体_GB2312"/>
          <w:b/>
          <w:bCs/>
          <w:sz w:val="30"/>
          <w:szCs w:val="30"/>
          <w:lang w:eastAsia="zh-CN"/>
        </w:rPr>
      </w:pPr>
      <w:r>
        <w:rPr>
          <w:rFonts w:hint="eastAsia" w:eastAsia="楷体_GB2312"/>
          <w:b/>
          <w:bCs/>
          <w:sz w:val="30"/>
          <w:szCs w:val="30"/>
          <w:lang w:eastAsia="zh-CN"/>
        </w:rPr>
        <w:t>（</w:t>
      </w:r>
      <w:r>
        <w:rPr>
          <w:rFonts w:hint="eastAsia" w:eastAsia="楷体_GB2312"/>
          <w:b/>
          <w:bCs/>
          <w:sz w:val="30"/>
          <w:szCs w:val="30"/>
          <w:lang w:val="en-US" w:eastAsia="zh-CN"/>
        </w:rPr>
        <w:t>二）</w:t>
      </w:r>
      <w:r>
        <w:rPr>
          <w:rFonts w:hint="eastAsia" w:eastAsia="楷体_GB2312"/>
          <w:b/>
          <w:bCs/>
          <w:sz w:val="30"/>
          <w:szCs w:val="30"/>
          <w:lang w:eastAsia="zh-CN"/>
        </w:rPr>
        <w:t>项目过程情况</w:t>
      </w:r>
    </w:p>
    <w:p w14:paraId="31D7130F">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项目过程类指标包括资金管理和组织实施两方面的内容，由5个三级指标构成，权重分值为5分，实际得分4.81分，得分率为96.2%。</w:t>
      </w:r>
    </w:p>
    <w:p w14:paraId="70632E20">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D1B3CBE">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1.资金管理</w:t>
      </w:r>
    </w:p>
    <w:p w14:paraId="1B489B11">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（1）资金到位率</w:t>
      </w:r>
    </w:p>
    <w:p w14:paraId="16B8ECD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本项目总投资5万元，为单位银行利息收入和历年事业基金结余部分，资金到位率100%预算资金按计划进度执行。</w:t>
      </w:r>
    </w:p>
    <w:p w14:paraId="24A7F0EB">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（2）预算执行率</w:t>
      </w:r>
    </w:p>
    <w:p w14:paraId="40CBE64E">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预算编制较为详细，项目资金支出总体较能够按照预算执行，预算资金支出4.084万元，预算执行率为81.68%。</w:t>
      </w:r>
    </w:p>
    <w:p w14:paraId="778D8B8B">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（3）资金使用合规性</w:t>
      </w:r>
    </w:p>
    <w:p w14:paraId="4D04317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75E5DEF">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2.组织实施</w:t>
      </w:r>
    </w:p>
    <w:p w14:paraId="7D2AC056">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（1）管理制度健全性</w:t>
      </w:r>
    </w:p>
    <w:p w14:paraId="19B55B3C">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7D05E90">
      <w:pPr>
        <w:shd w:val="clear"/>
        <w:spacing w:line="600" w:lineRule="exact"/>
        <w:ind w:firstLine="560" w:firstLineChars="200"/>
        <w:outlineLvl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（2）制度执行有效性</w:t>
      </w:r>
    </w:p>
    <w:p w14:paraId="779B4CD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ascii="仿宋_GB2312" w:hAnsi="仿宋_GB2312" w:eastAsia="仿宋_GB2312" w:cs="仿宋_GB2312"/>
          <w:color w:val="333333"/>
          <w:sz w:val="28"/>
          <w:szCs w:val="28"/>
          <w:lang w:val="en-US" w:eastAsia="zh-CN"/>
        </w:rPr>
      </w:pPr>
      <w:r>
        <w:rPr>
          <w:rFonts w:hint="eastAsia" w:ascii="仿宋_GB2312" w:hAnsi="仿宋_GB2312" w:eastAsia="仿宋_GB2312" w:cs="仿宋_GB2312"/>
          <w:color w:val="333333"/>
          <w:sz w:val="28"/>
          <w:szCs w:val="28"/>
          <w:lang w:val="en-US" w:eastAsia="zh-CN"/>
        </w:rPr>
        <w:t>对资金使用的合法合规性进行监督，年末对资金使用效果进行评价。项目管理、实施人员落实到位，有效按照计划执行。项目执行情况等资料齐全，项目相关手续完备，及时进行归档。</w:t>
      </w:r>
    </w:p>
    <w:p w14:paraId="2AF9DB1F">
      <w:pPr>
        <w:spacing w:line="600" w:lineRule="exact"/>
        <w:ind w:firstLine="301" w:firstLineChars="100"/>
        <w:rPr>
          <w:rFonts w:hint="eastAsia" w:eastAsia="楷体_GB2312"/>
          <w:b/>
          <w:bCs/>
          <w:sz w:val="30"/>
          <w:szCs w:val="30"/>
          <w:lang w:eastAsia="zh-CN"/>
        </w:rPr>
      </w:pPr>
      <w:r>
        <w:rPr>
          <w:rFonts w:hint="eastAsia" w:eastAsia="楷体_GB2312"/>
          <w:b/>
          <w:bCs/>
          <w:sz w:val="30"/>
          <w:szCs w:val="30"/>
          <w:lang w:eastAsia="zh-CN"/>
        </w:rPr>
        <w:t>（</w:t>
      </w:r>
      <w:r>
        <w:rPr>
          <w:rFonts w:hint="eastAsia" w:eastAsia="楷体_GB2312"/>
          <w:b/>
          <w:bCs/>
          <w:sz w:val="30"/>
          <w:szCs w:val="30"/>
          <w:lang w:val="en-US" w:eastAsia="zh-CN"/>
        </w:rPr>
        <w:t>三）</w:t>
      </w:r>
      <w:r>
        <w:rPr>
          <w:rFonts w:hint="eastAsia" w:eastAsia="楷体_GB2312"/>
          <w:b/>
          <w:bCs/>
          <w:sz w:val="30"/>
          <w:szCs w:val="30"/>
          <w:lang w:eastAsia="zh-CN"/>
        </w:rPr>
        <w:t>项目产出、成本情况</w:t>
      </w:r>
    </w:p>
    <w:p w14:paraId="69A58C8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contextualSpacing/>
        <w:textAlignment w:val="auto"/>
        <w:rPr>
          <w:rFonts w:hint="eastAsia"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rPr>
        <w:t>项目绩效主要从项目产出的产出数量、产出质量、产出时</w:t>
      </w:r>
    </w:p>
    <w:p w14:paraId="7504DD60">
      <w:pPr>
        <w:keepNext w:val="0"/>
        <w:keepLines w:val="0"/>
        <w:pageBreakBefore w:val="0"/>
        <w:widowControl w:val="0"/>
        <w:numPr>
          <w:ilvl w:val="0"/>
          <w:numId w:val="0"/>
        </w:numPr>
        <w:kinsoku/>
        <w:wordWrap/>
        <w:overflowPunct/>
        <w:topLinePunct w:val="0"/>
        <w:autoSpaceDE/>
        <w:autoSpaceDN/>
        <w:bidi w:val="0"/>
        <w:adjustRightInd/>
        <w:snapToGrid/>
        <w:spacing w:line="540" w:lineRule="exact"/>
        <w:contextualSpacing/>
        <w:textAlignment w:val="auto"/>
        <w:rPr>
          <w:rStyle w:val="10"/>
          <w:rFonts w:hint="eastAsia" w:ascii="仿宋_GB2312" w:hAnsi="仿宋_GB2312" w:eastAsia="仿宋_GB2312" w:cs="仿宋_GB2312"/>
          <w:b w:val="0"/>
          <w:spacing w:val="-4"/>
          <w:sz w:val="28"/>
          <w:szCs w:val="28"/>
        </w:rPr>
      </w:pPr>
      <w:r>
        <w:rPr>
          <w:rFonts w:hint="eastAsia" w:ascii="仿宋_GB2312" w:hAnsi="仿宋_GB2312" w:eastAsia="仿宋_GB2312" w:cs="仿宋_GB2312"/>
          <w:color w:val="333333"/>
          <w:sz w:val="28"/>
          <w:szCs w:val="28"/>
        </w:rPr>
        <w:t>效、成本情况4个方面对项目的绩效情况进行评价。项目</w:t>
      </w:r>
      <w:r>
        <w:rPr>
          <w:rFonts w:hint="eastAsia" w:ascii="仿宋_GB2312" w:hAnsi="仿宋_GB2312" w:eastAsia="仿宋_GB2312" w:cs="仿宋_GB2312"/>
          <w:sz w:val="28"/>
          <w:szCs w:val="28"/>
        </w:rPr>
        <w:t>产出情况</w:t>
      </w:r>
      <w:r>
        <w:rPr>
          <w:rFonts w:hint="eastAsia" w:ascii="仿宋_GB2312" w:hAnsi="仿宋_GB2312" w:eastAsia="仿宋_GB2312" w:cs="仿宋_GB2312"/>
          <w:color w:val="333333"/>
          <w:sz w:val="28"/>
          <w:szCs w:val="28"/>
        </w:rPr>
        <w:t>绩效类指标分值</w:t>
      </w:r>
      <w:r>
        <w:rPr>
          <w:rFonts w:hint="eastAsia" w:ascii="仿宋_GB2312" w:hAnsi="仿宋_GB2312" w:cs="仿宋_GB2312"/>
          <w:color w:val="333333"/>
          <w:sz w:val="28"/>
          <w:szCs w:val="28"/>
          <w:lang w:val="en-US" w:eastAsia="zh-CN"/>
        </w:rPr>
        <w:t>6</w:t>
      </w:r>
      <w:r>
        <w:rPr>
          <w:rFonts w:hint="eastAsia" w:ascii="仿宋_GB2312" w:hAnsi="仿宋_GB2312" w:eastAsia="仿宋_GB2312" w:cs="仿宋_GB2312"/>
          <w:color w:val="333333"/>
          <w:sz w:val="28"/>
          <w:szCs w:val="28"/>
        </w:rPr>
        <w:t>0分，实际得分</w:t>
      </w:r>
      <w:r>
        <w:rPr>
          <w:rFonts w:hint="eastAsia" w:ascii="仿宋_GB2312" w:hAnsi="仿宋_GB2312" w:cs="仿宋_GB2312"/>
          <w:color w:val="333333"/>
          <w:sz w:val="28"/>
          <w:szCs w:val="28"/>
          <w:lang w:val="en-US" w:eastAsia="zh-CN"/>
        </w:rPr>
        <w:t>51</w:t>
      </w:r>
      <w:r>
        <w:rPr>
          <w:rFonts w:hint="eastAsia" w:ascii="仿宋_GB2312" w:hAnsi="仿宋_GB2312" w:eastAsia="仿宋_GB2312" w:cs="仿宋_GB2312"/>
          <w:color w:val="333333"/>
          <w:sz w:val="28"/>
          <w:szCs w:val="28"/>
        </w:rPr>
        <w:t>分，得分率为</w:t>
      </w:r>
      <w:r>
        <w:rPr>
          <w:rFonts w:hint="eastAsia" w:ascii="仿宋_GB2312" w:hAnsi="仿宋_GB2312" w:cs="仿宋_GB2312"/>
          <w:color w:val="333333"/>
          <w:sz w:val="28"/>
          <w:szCs w:val="28"/>
          <w:lang w:val="en-US" w:eastAsia="zh-CN"/>
        </w:rPr>
        <w:t>85</w:t>
      </w:r>
      <w:r>
        <w:rPr>
          <w:rFonts w:hint="eastAsia" w:ascii="仿宋_GB2312" w:hAnsi="仿宋_GB2312" w:eastAsia="仿宋_GB2312" w:cs="仿宋_GB2312"/>
          <w:color w:val="333333"/>
          <w:sz w:val="28"/>
          <w:szCs w:val="28"/>
        </w:rPr>
        <w:t>%。</w:t>
      </w:r>
    </w:p>
    <w:p w14:paraId="48B13003">
      <w:pPr>
        <w:pageBreakBefore w:val="0"/>
        <w:numPr>
          <w:ilvl w:val="0"/>
          <w:numId w:val="0"/>
        </w:numPr>
        <w:kinsoku/>
        <w:wordWrap/>
        <w:overflowPunct/>
        <w:topLinePunct w:val="0"/>
        <w:autoSpaceDE/>
        <w:autoSpaceDN/>
        <w:bidi w:val="0"/>
        <w:adjustRightInd/>
        <w:snapToGrid/>
        <w:spacing w:line="540" w:lineRule="exact"/>
        <w:ind w:leftChars="200"/>
        <w:textAlignment w:val="auto"/>
        <w:rPr>
          <w:rStyle w:val="11"/>
          <w:rFonts w:hint="eastAsia" w:ascii="仿宋_GB2312" w:hAnsi="仿宋_GB2312" w:eastAsia="仿宋_GB2312" w:cs="仿宋_GB2312"/>
          <w:b/>
          <w:bCs/>
          <w:color w:val="auto"/>
          <w:sz w:val="28"/>
          <w:szCs w:val="28"/>
        </w:rPr>
      </w:pPr>
      <w:r>
        <w:rPr>
          <w:rStyle w:val="11"/>
          <w:rFonts w:hint="eastAsia" w:ascii="仿宋_GB2312" w:hAnsi="仿宋_GB2312" w:eastAsia="仿宋_GB2312" w:cs="仿宋_GB2312"/>
          <w:b/>
          <w:bCs/>
          <w:color w:val="auto"/>
          <w:sz w:val="28"/>
          <w:szCs w:val="28"/>
          <w:lang w:val="en-US" w:eastAsia="zh-CN"/>
        </w:rPr>
        <w:t>1.</w:t>
      </w:r>
      <w:r>
        <w:rPr>
          <w:rStyle w:val="11"/>
          <w:rFonts w:hint="eastAsia" w:ascii="仿宋_GB2312" w:hAnsi="仿宋_GB2312" w:eastAsia="仿宋_GB2312" w:cs="仿宋_GB2312"/>
          <w:b/>
          <w:bCs/>
          <w:color w:val="auto"/>
          <w:sz w:val="28"/>
          <w:szCs w:val="28"/>
        </w:rPr>
        <w:t>数量指标方面</w:t>
      </w:r>
    </w:p>
    <w:p w14:paraId="180E657F">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val="0"/>
          <w:bCs w:val="0"/>
          <w:i w:val="0"/>
          <w:iCs w:val="0"/>
          <w:sz w:val="28"/>
          <w:szCs w:val="28"/>
          <w:highlight w:val="none"/>
          <w:u w:val="none"/>
        </w:rPr>
        <w:t>年度预设指标</w:t>
      </w:r>
      <w:r>
        <w:rPr>
          <w:rFonts w:hint="eastAsia" w:ascii="仿宋_GB2312" w:hAnsi="仿宋_GB2312" w:eastAsia="仿宋_GB2312" w:cs="仿宋_GB2312"/>
          <w:b w:val="0"/>
          <w:bCs w:val="0"/>
          <w:i w:val="0"/>
          <w:iCs w:val="0"/>
          <w:sz w:val="28"/>
          <w:szCs w:val="28"/>
          <w:highlight w:val="none"/>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电路系统设施更新数量，指标值为1套，实际完成1套，完成率100%，偏差率0%，无偏差。</w:t>
      </w:r>
    </w:p>
    <w:p w14:paraId="7745CEAD">
      <w:pPr>
        <w:pageBreakBefore w:val="0"/>
        <w:numPr>
          <w:ilvl w:val="0"/>
          <w:numId w:val="0"/>
        </w:numPr>
        <w:kinsoku/>
        <w:wordWrap/>
        <w:overflowPunct/>
        <w:topLinePunct w:val="0"/>
        <w:autoSpaceDE/>
        <w:autoSpaceDN/>
        <w:bidi w:val="0"/>
        <w:adjustRightInd/>
        <w:snapToGrid/>
        <w:spacing w:line="540" w:lineRule="exact"/>
        <w:ind w:leftChars="200"/>
        <w:textAlignment w:val="auto"/>
        <w:rPr>
          <w:rStyle w:val="11"/>
          <w:rFonts w:hint="eastAsia" w:ascii="仿宋_GB2312" w:hAnsi="仿宋_GB2312" w:eastAsia="仿宋_GB2312" w:cs="仿宋_GB2312"/>
          <w:b/>
          <w:bCs/>
          <w:color w:val="auto"/>
          <w:sz w:val="28"/>
          <w:szCs w:val="28"/>
        </w:rPr>
      </w:pPr>
      <w:r>
        <w:rPr>
          <w:rStyle w:val="11"/>
          <w:rFonts w:hint="eastAsia" w:ascii="仿宋_GB2312" w:hAnsi="仿宋_GB2312" w:eastAsia="仿宋_GB2312" w:cs="仿宋_GB2312"/>
          <w:b/>
          <w:bCs/>
          <w:color w:val="auto"/>
          <w:sz w:val="28"/>
          <w:szCs w:val="28"/>
          <w:lang w:val="en-US" w:eastAsia="zh-CN"/>
        </w:rPr>
        <w:t>2.</w:t>
      </w:r>
      <w:r>
        <w:rPr>
          <w:rStyle w:val="11"/>
          <w:rFonts w:hint="eastAsia" w:ascii="仿宋_GB2312" w:hAnsi="仿宋_GB2312" w:eastAsia="仿宋_GB2312" w:cs="仿宋_GB2312"/>
          <w:b/>
          <w:bCs/>
          <w:color w:val="auto"/>
          <w:sz w:val="28"/>
          <w:szCs w:val="28"/>
        </w:rPr>
        <w:t>质量指标方面</w:t>
      </w:r>
    </w:p>
    <w:p w14:paraId="28D8E5C4">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电路设施验收合格率，指标值为</w:t>
      </w:r>
      <w:r>
        <w:rPr>
          <w:rStyle w:val="10"/>
          <w:rFonts w:hint="eastAsia" w:ascii="仿宋_GB2312" w:hAnsi="仿宋_GB2312" w:eastAsia="仿宋_GB2312" w:cs="仿宋_GB2312"/>
          <w:b w:val="0"/>
          <w:bCs/>
          <w:spacing w:val="-4"/>
          <w:sz w:val="28"/>
          <w:szCs w:val="28"/>
          <w:highlight w:val="none"/>
          <w:lang w:val="en-US" w:eastAsia="zh-CN"/>
        </w:rPr>
        <w:t>90%</w:t>
      </w:r>
      <w:r>
        <w:rPr>
          <w:rFonts w:hint="eastAsia" w:ascii="仿宋_GB2312" w:hAnsi="仿宋_GB2312" w:eastAsia="仿宋_GB2312" w:cs="仿宋_GB2312"/>
          <w:b w:val="0"/>
          <w:bCs w:val="0"/>
          <w:color w:val="auto"/>
          <w:kern w:val="2"/>
          <w:sz w:val="28"/>
          <w:szCs w:val="28"/>
          <w:highlight w:val="none"/>
          <w:lang w:val="en-US" w:eastAsia="zh-CN" w:bidi="ar-SA"/>
        </w:rPr>
        <w:t>，实际完成92%，完成率100%，无偏差；</w:t>
      </w:r>
      <w:r>
        <w:rPr>
          <w:rFonts w:hint="eastAsia" w:ascii="仿宋_GB2312" w:hAnsi="仿宋_GB2312" w:eastAsia="仿宋_GB2312" w:cs="仿宋_GB2312"/>
          <w:b w:val="0"/>
          <w:bCs w:val="0"/>
          <w:i w:val="0"/>
          <w:iCs w:val="0"/>
          <w:sz w:val="28"/>
          <w:szCs w:val="28"/>
          <w:highlight w:val="none"/>
          <w:u w:val="none"/>
        </w:rPr>
        <w:t>年度</w:t>
      </w:r>
      <w:r>
        <w:rPr>
          <w:rFonts w:hint="eastAsia" w:ascii="仿宋_GB2312" w:hAnsi="仿宋_GB2312" w:eastAsia="仿宋_GB2312" w:cs="仿宋_GB2312"/>
          <w:b w:val="0"/>
          <w:bCs w:val="0"/>
          <w:i w:val="0"/>
          <w:iCs w:val="0"/>
          <w:sz w:val="28"/>
          <w:szCs w:val="28"/>
          <w:u w:val="none"/>
        </w:rPr>
        <w:t>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设备质量合格率，指标值为</w:t>
      </w:r>
      <w:r>
        <w:rPr>
          <w:rStyle w:val="10"/>
          <w:rFonts w:hint="eastAsia" w:ascii="仿宋_GB2312" w:hAnsi="仿宋_GB2312" w:eastAsia="仿宋_GB2312" w:cs="仿宋_GB2312"/>
          <w:b w:val="0"/>
          <w:bCs/>
          <w:spacing w:val="-4"/>
          <w:sz w:val="28"/>
          <w:szCs w:val="28"/>
          <w:highlight w:val="none"/>
          <w:lang w:val="en-US" w:eastAsia="zh-CN"/>
        </w:rPr>
        <w:t>95%</w:t>
      </w:r>
      <w:r>
        <w:rPr>
          <w:rFonts w:hint="eastAsia" w:ascii="仿宋_GB2312" w:hAnsi="仿宋_GB2312" w:eastAsia="仿宋_GB2312" w:cs="仿宋_GB2312"/>
          <w:b w:val="0"/>
          <w:bCs w:val="0"/>
          <w:color w:val="auto"/>
          <w:kern w:val="2"/>
          <w:sz w:val="28"/>
          <w:szCs w:val="28"/>
          <w:highlight w:val="none"/>
          <w:lang w:val="en-US" w:eastAsia="zh-CN" w:bidi="ar-SA"/>
        </w:rPr>
        <w:t>，实际完成96%，完成率100%，此项目本年已按预设指标完成</w:t>
      </w:r>
      <w:r>
        <w:rPr>
          <w:rFonts w:hint="eastAsia" w:ascii="仿宋_GB2312" w:hAnsi="仿宋_GB2312" w:eastAsia="仿宋_GB2312" w:cs="仿宋_GB2312"/>
          <w:b w:val="0"/>
          <w:bCs w:val="0"/>
          <w:sz w:val="28"/>
          <w:szCs w:val="28"/>
          <w:lang w:eastAsia="zh-CN"/>
        </w:rPr>
        <w:t>项目实施、支付</w:t>
      </w:r>
      <w:r>
        <w:rPr>
          <w:rFonts w:hint="eastAsia" w:ascii="仿宋_GB2312" w:hAnsi="仿宋_GB2312" w:eastAsia="仿宋_GB2312" w:cs="仿宋_GB2312"/>
          <w:b w:val="0"/>
          <w:bCs w:val="0"/>
          <w:sz w:val="28"/>
          <w:szCs w:val="28"/>
          <w:lang w:val="en-US" w:eastAsia="zh-CN"/>
        </w:rPr>
        <w:t>及验收等</w:t>
      </w:r>
      <w:r>
        <w:rPr>
          <w:rFonts w:hint="eastAsia" w:ascii="仿宋_GB2312" w:hAnsi="仿宋_GB2312" w:eastAsia="仿宋_GB2312" w:cs="仿宋_GB2312"/>
          <w:b w:val="0"/>
          <w:bCs w:val="0"/>
          <w:sz w:val="28"/>
          <w:szCs w:val="28"/>
          <w:lang w:eastAsia="zh-CN"/>
        </w:rPr>
        <w:t>手续</w:t>
      </w:r>
      <w:r>
        <w:rPr>
          <w:rFonts w:hint="eastAsia" w:ascii="仿宋_GB2312" w:hAnsi="仿宋_GB2312" w:eastAsia="仿宋_GB2312" w:cs="仿宋_GB2312"/>
          <w:sz w:val="28"/>
          <w:szCs w:val="28"/>
          <w:lang w:eastAsia="zh-CN"/>
        </w:rPr>
        <w:t>。</w:t>
      </w:r>
    </w:p>
    <w:p w14:paraId="1FD76D5A">
      <w:pPr>
        <w:pStyle w:val="2"/>
        <w:pageBreakBefore w:val="0"/>
        <w:numPr>
          <w:ilvl w:val="0"/>
          <w:numId w:val="0"/>
        </w:numPr>
        <w:kinsoku/>
        <w:wordWrap/>
        <w:overflowPunct/>
        <w:topLinePunct w:val="0"/>
        <w:autoSpaceDE/>
        <w:autoSpaceDN/>
        <w:bidi w:val="0"/>
        <w:adjustRightInd/>
        <w:snapToGrid/>
        <w:spacing w:before="0" w:after="0" w:line="540" w:lineRule="exact"/>
        <w:ind w:leftChars="200"/>
        <w:jc w:val="both"/>
        <w:textAlignment w:val="auto"/>
        <w:rPr>
          <w:rStyle w:val="11"/>
          <w:rFonts w:hint="eastAsia" w:ascii="仿宋_GB2312" w:hAnsi="仿宋_GB2312" w:eastAsia="仿宋_GB2312" w:cs="仿宋_GB2312"/>
          <w:b/>
          <w:bCs/>
          <w:color w:val="auto"/>
          <w:sz w:val="28"/>
          <w:szCs w:val="28"/>
        </w:rPr>
      </w:pPr>
      <w:r>
        <w:rPr>
          <w:rStyle w:val="11"/>
          <w:rFonts w:hint="eastAsia" w:ascii="仿宋_GB2312" w:hAnsi="仿宋_GB2312" w:eastAsia="仿宋_GB2312" w:cs="仿宋_GB2312"/>
          <w:b/>
          <w:bCs/>
          <w:color w:val="auto"/>
          <w:sz w:val="28"/>
          <w:szCs w:val="28"/>
          <w:lang w:val="en-US" w:eastAsia="zh-CN"/>
        </w:rPr>
        <w:t>3.</w:t>
      </w:r>
      <w:r>
        <w:rPr>
          <w:rStyle w:val="11"/>
          <w:rFonts w:hint="eastAsia" w:ascii="仿宋_GB2312" w:hAnsi="仿宋_GB2312" w:eastAsia="仿宋_GB2312" w:cs="仿宋_GB2312"/>
          <w:b/>
          <w:bCs/>
          <w:color w:val="auto"/>
          <w:sz w:val="28"/>
          <w:szCs w:val="28"/>
        </w:rPr>
        <w:t>成本指标方面</w:t>
      </w:r>
    </w:p>
    <w:p w14:paraId="04B28B33">
      <w:pPr>
        <w:pStyle w:val="2"/>
        <w:pageBreakBefore w:val="0"/>
        <w:numPr>
          <w:ilvl w:val="0"/>
          <w:numId w:val="0"/>
        </w:numPr>
        <w:kinsoku/>
        <w:wordWrap/>
        <w:overflowPunct/>
        <w:topLinePunct w:val="0"/>
        <w:autoSpaceDE/>
        <w:autoSpaceDN/>
        <w:bidi w:val="0"/>
        <w:adjustRightInd/>
        <w:snapToGrid/>
        <w:spacing w:before="0" w:after="0" w:line="540" w:lineRule="exact"/>
        <w:ind w:firstLine="560" w:firstLineChars="200"/>
        <w:jc w:val="both"/>
        <w:textAlignment w:val="auto"/>
        <w:rPr>
          <w:rFonts w:hint="eastAsia" w:ascii="仿宋_GB2312" w:hAnsi="仿宋_GB2312" w:eastAsia="仿宋_GB2312" w:cs="仿宋_GB2312"/>
          <w:sz w:val="28"/>
          <w:szCs w:val="28"/>
          <w:lang w:val="en-US"/>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预算控制率，指标值为</w:t>
      </w:r>
      <w:r>
        <w:rPr>
          <w:rStyle w:val="10"/>
          <w:rFonts w:hint="eastAsia" w:ascii="仿宋_GB2312" w:hAnsi="仿宋_GB2312" w:eastAsia="仿宋_GB2312" w:cs="仿宋_GB2312"/>
          <w:b w:val="0"/>
          <w:bCs/>
          <w:spacing w:val="-4"/>
          <w:sz w:val="28"/>
          <w:szCs w:val="28"/>
          <w:highlight w:val="none"/>
          <w:lang w:eastAsia="zh-CN"/>
        </w:rPr>
        <w:t>小于等</w:t>
      </w:r>
      <w:r>
        <w:rPr>
          <w:rStyle w:val="10"/>
          <w:rFonts w:hint="eastAsia" w:ascii="仿宋_GB2312" w:hAnsi="仿宋_GB2312" w:eastAsia="仿宋_GB2312" w:cs="仿宋_GB2312"/>
          <w:b w:val="0"/>
          <w:bCs/>
          <w:spacing w:val="-4"/>
          <w:sz w:val="28"/>
          <w:szCs w:val="28"/>
          <w:highlight w:val="none"/>
          <w:lang w:val="en-US" w:eastAsia="zh-CN"/>
        </w:rPr>
        <w:t>100%</w:t>
      </w:r>
      <w:r>
        <w:rPr>
          <w:rFonts w:hint="eastAsia" w:ascii="仿宋_GB2312" w:hAnsi="仿宋_GB2312" w:eastAsia="仿宋_GB2312" w:cs="仿宋_GB2312"/>
          <w:b w:val="0"/>
          <w:bCs w:val="0"/>
          <w:color w:val="auto"/>
          <w:kern w:val="2"/>
          <w:sz w:val="28"/>
          <w:szCs w:val="28"/>
          <w:highlight w:val="none"/>
          <w:lang w:val="en-US" w:eastAsia="zh-CN" w:bidi="ar-SA"/>
        </w:rPr>
        <w:t>，实际完成</w:t>
      </w:r>
      <w:r>
        <w:rPr>
          <w:rStyle w:val="10"/>
          <w:rFonts w:hint="eastAsia" w:ascii="仿宋_GB2312" w:hAnsi="仿宋_GB2312" w:eastAsia="仿宋_GB2312" w:cs="仿宋_GB2312"/>
          <w:b w:val="0"/>
          <w:bCs/>
          <w:spacing w:val="-4"/>
          <w:sz w:val="28"/>
          <w:szCs w:val="28"/>
          <w:highlight w:val="none"/>
          <w:lang w:val="en-US" w:eastAsia="zh-CN"/>
        </w:rPr>
        <w:t>82%</w:t>
      </w:r>
      <w:r>
        <w:rPr>
          <w:rFonts w:hint="eastAsia" w:ascii="仿宋_GB2312" w:hAnsi="仿宋_GB2312" w:eastAsia="仿宋_GB2312" w:cs="仿宋_GB2312"/>
          <w:b w:val="0"/>
          <w:bCs w:val="0"/>
          <w:color w:val="auto"/>
          <w:kern w:val="2"/>
          <w:sz w:val="28"/>
          <w:szCs w:val="28"/>
          <w:highlight w:val="none"/>
          <w:lang w:val="en-US" w:eastAsia="zh-CN" w:bidi="ar-SA"/>
        </w:rPr>
        <w:t>，完成率82%，偏差率18%；实际情况是：严格按项目年初预算指标执行，实际执行总额是4.084万元，项目成本控制在预算指标数额内，不存在超预算支出情况。</w:t>
      </w:r>
    </w:p>
    <w:p w14:paraId="4773D417">
      <w:pPr>
        <w:pageBreakBefore w:val="0"/>
        <w:numPr>
          <w:ilvl w:val="0"/>
          <w:numId w:val="0"/>
        </w:numPr>
        <w:kinsoku/>
        <w:wordWrap/>
        <w:overflowPunct/>
        <w:topLinePunct w:val="0"/>
        <w:autoSpaceDE/>
        <w:autoSpaceDN/>
        <w:bidi w:val="0"/>
        <w:adjustRightInd/>
        <w:snapToGrid/>
        <w:spacing w:line="540" w:lineRule="exact"/>
        <w:ind w:firstLine="562" w:firstLineChars="200"/>
        <w:textAlignment w:val="auto"/>
        <w:rPr>
          <w:rStyle w:val="11"/>
          <w:rFonts w:hint="eastAsia" w:ascii="仿宋_GB2312" w:hAnsi="仿宋_GB2312" w:eastAsia="仿宋_GB2312" w:cs="仿宋_GB2312"/>
          <w:b/>
          <w:bCs/>
          <w:color w:val="auto"/>
          <w:sz w:val="28"/>
          <w:szCs w:val="28"/>
        </w:rPr>
      </w:pPr>
      <w:r>
        <w:rPr>
          <w:rStyle w:val="11"/>
          <w:rFonts w:hint="eastAsia" w:ascii="仿宋_GB2312" w:hAnsi="仿宋_GB2312" w:eastAsia="仿宋_GB2312" w:cs="仿宋_GB2312"/>
          <w:b/>
          <w:bCs/>
          <w:color w:val="auto"/>
          <w:sz w:val="28"/>
          <w:szCs w:val="28"/>
          <w:lang w:val="en-US" w:eastAsia="zh-CN"/>
        </w:rPr>
        <w:t>4.</w:t>
      </w:r>
      <w:r>
        <w:rPr>
          <w:rStyle w:val="11"/>
          <w:rFonts w:hint="eastAsia" w:ascii="仿宋_GB2312" w:hAnsi="仿宋_GB2312" w:eastAsia="仿宋_GB2312" w:cs="仿宋_GB2312"/>
          <w:b/>
          <w:bCs/>
          <w:color w:val="auto"/>
          <w:sz w:val="28"/>
          <w:szCs w:val="28"/>
        </w:rPr>
        <w:t>时效指标方面</w:t>
      </w:r>
    </w:p>
    <w:p w14:paraId="512EE0D4">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项目计划完工时间，指标值为</w:t>
      </w:r>
      <w:r>
        <w:rPr>
          <w:rStyle w:val="10"/>
          <w:rFonts w:hint="eastAsia" w:ascii="仿宋_GB2312" w:hAnsi="仿宋_GB2312" w:eastAsia="仿宋_GB2312" w:cs="仿宋_GB2312"/>
          <w:b w:val="0"/>
          <w:bCs/>
          <w:spacing w:val="-4"/>
          <w:sz w:val="28"/>
          <w:szCs w:val="28"/>
          <w:highlight w:val="none"/>
          <w:lang w:val="en-US" w:eastAsia="zh-CN"/>
        </w:rPr>
        <w:t>2023年12月15日</w:t>
      </w:r>
      <w:r>
        <w:rPr>
          <w:rFonts w:hint="eastAsia" w:ascii="仿宋_GB2312" w:hAnsi="仿宋_GB2312" w:eastAsia="仿宋_GB2312" w:cs="仿宋_GB2312"/>
          <w:b w:val="0"/>
          <w:bCs w:val="0"/>
          <w:color w:val="auto"/>
          <w:kern w:val="2"/>
          <w:sz w:val="28"/>
          <w:szCs w:val="28"/>
          <w:highlight w:val="none"/>
          <w:lang w:val="en-US" w:eastAsia="zh-CN" w:bidi="ar-SA"/>
        </w:rPr>
        <w:t>，实际完成2023年8月17日，完成率100%，偏差率0%.此项目于本年7月份完成合同的签订，8月份完成项目的验收及支付工作。</w:t>
      </w:r>
    </w:p>
    <w:p w14:paraId="1BE5C1A5">
      <w:pPr>
        <w:spacing w:line="600" w:lineRule="exact"/>
        <w:ind w:firstLine="301" w:firstLineChars="100"/>
        <w:rPr>
          <w:rFonts w:hint="eastAsia" w:eastAsia="楷体_GB2312"/>
          <w:b/>
          <w:bCs/>
          <w:sz w:val="30"/>
          <w:szCs w:val="30"/>
          <w:lang w:eastAsia="zh-CN"/>
        </w:rPr>
      </w:pPr>
      <w:r>
        <w:rPr>
          <w:rFonts w:hint="eastAsia" w:eastAsia="楷体_GB2312"/>
          <w:b/>
          <w:bCs/>
          <w:sz w:val="30"/>
          <w:szCs w:val="30"/>
          <w:lang w:eastAsia="zh-CN"/>
        </w:rPr>
        <w:t>（四）项目效益、满意度情况</w:t>
      </w:r>
    </w:p>
    <w:p w14:paraId="212CD544">
      <w:pPr>
        <w:pageBreakBefore w:val="0"/>
        <w:kinsoku/>
        <w:wordWrap/>
        <w:overflowPunct/>
        <w:topLinePunct w:val="0"/>
        <w:autoSpaceDE/>
        <w:autoSpaceDN/>
        <w:bidi w:val="0"/>
        <w:adjustRightInd/>
        <w:snapToGrid/>
        <w:spacing w:line="540" w:lineRule="exact"/>
        <w:ind w:firstLine="560" w:firstLineChars="200"/>
        <w:textAlignment w:val="auto"/>
        <w:rPr>
          <w:rStyle w:val="11"/>
          <w:rFonts w:hint="eastAsia" w:eastAsia="仿宋_GB2312" w:cs="Times New Roman"/>
          <w:color w:val="auto"/>
          <w:sz w:val="28"/>
          <w:szCs w:val="28"/>
          <w:lang w:val="en-US" w:eastAsia="zh-CN"/>
        </w:rPr>
      </w:pPr>
      <w:r>
        <w:rPr>
          <w:rFonts w:hint="eastAsia" w:ascii="仿宋_GB2312" w:hAnsi="仿宋_GB2312" w:eastAsia="仿宋_GB2312" w:cs="仿宋_GB2312"/>
          <w:color w:val="333333"/>
          <w:sz w:val="28"/>
          <w:szCs w:val="28"/>
        </w:rPr>
        <w:t>项目绩效主要从项目</w:t>
      </w:r>
      <w:r>
        <w:rPr>
          <w:color w:val="000000"/>
          <w:kern w:val="0"/>
          <w:sz w:val="28"/>
          <w:szCs w:val="28"/>
          <w:highlight w:val="none"/>
        </w:rPr>
        <w:t>效益</w:t>
      </w:r>
      <w:r>
        <w:rPr>
          <w:rFonts w:hint="eastAsia" w:ascii="仿宋_GB2312" w:hAnsi="仿宋_GB2312" w:eastAsia="仿宋_GB2312" w:cs="仿宋_GB2312"/>
          <w:color w:val="333333"/>
          <w:sz w:val="28"/>
          <w:szCs w:val="28"/>
        </w:rPr>
        <w:t>的</w:t>
      </w:r>
      <w:r>
        <w:rPr>
          <w:color w:val="000000"/>
          <w:kern w:val="0"/>
          <w:sz w:val="28"/>
          <w:szCs w:val="28"/>
          <w:highlight w:val="none"/>
        </w:rPr>
        <w:t>实施效益</w:t>
      </w:r>
      <w:r>
        <w:rPr>
          <w:rFonts w:hint="eastAsia"/>
          <w:color w:val="000000"/>
          <w:kern w:val="0"/>
          <w:sz w:val="28"/>
          <w:szCs w:val="28"/>
          <w:highlight w:val="none"/>
          <w:lang w:eastAsia="zh-CN"/>
        </w:rPr>
        <w:t>（</w:t>
      </w:r>
      <w:r>
        <w:rPr>
          <w:rFonts w:hint="eastAsia"/>
          <w:color w:val="000000"/>
          <w:kern w:val="0"/>
          <w:sz w:val="28"/>
          <w:szCs w:val="28"/>
          <w:highlight w:val="none"/>
          <w:lang w:val="en-US" w:eastAsia="zh-CN"/>
        </w:rPr>
        <w:t>社会效益）、满意度</w:t>
      </w:r>
      <w:r>
        <w:rPr>
          <w:rFonts w:hint="eastAsia" w:ascii="仿宋_GB2312" w:hAnsi="仿宋_GB2312" w:eastAsia="仿宋_GB2312" w:cs="仿宋_GB2312"/>
          <w:color w:val="333333"/>
          <w:sz w:val="28"/>
          <w:szCs w:val="28"/>
        </w:rPr>
        <w:t>产</w:t>
      </w:r>
      <w:r>
        <w:rPr>
          <w:rFonts w:hint="eastAsia" w:ascii="仿宋_GB2312" w:hAnsi="仿宋_GB2312" w:cs="仿宋_GB2312"/>
          <w:color w:val="333333"/>
          <w:sz w:val="28"/>
          <w:szCs w:val="28"/>
          <w:lang w:val="en-US" w:eastAsia="zh-CN"/>
        </w:rPr>
        <w:t>2</w:t>
      </w:r>
      <w:r>
        <w:rPr>
          <w:rFonts w:hint="eastAsia" w:ascii="仿宋_GB2312" w:hAnsi="仿宋_GB2312" w:eastAsia="仿宋_GB2312" w:cs="仿宋_GB2312"/>
          <w:color w:val="333333"/>
          <w:sz w:val="28"/>
          <w:szCs w:val="28"/>
        </w:rPr>
        <w:t>方面对项目的绩效情况进行评价。项目</w:t>
      </w:r>
      <w:r>
        <w:rPr>
          <w:rFonts w:hint="eastAsia" w:ascii="仿宋_GB2312" w:hAnsi="仿宋_GB2312" w:cs="仿宋_GB2312"/>
          <w:sz w:val="28"/>
          <w:szCs w:val="28"/>
          <w:lang w:val="en-US" w:eastAsia="zh-CN"/>
        </w:rPr>
        <w:t>效益</w:t>
      </w:r>
      <w:r>
        <w:rPr>
          <w:rFonts w:hint="eastAsia" w:ascii="仿宋_GB2312" w:hAnsi="仿宋_GB2312" w:eastAsia="仿宋_GB2312" w:cs="仿宋_GB2312"/>
          <w:sz w:val="28"/>
          <w:szCs w:val="28"/>
        </w:rPr>
        <w:t>情况</w:t>
      </w:r>
      <w:r>
        <w:rPr>
          <w:rFonts w:hint="eastAsia" w:ascii="仿宋_GB2312" w:hAnsi="仿宋_GB2312" w:eastAsia="仿宋_GB2312" w:cs="仿宋_GB2312"/>
          <w:color w:val="333333"/>
          <w:sz w:val="28"/>
          <w:szCs w:val="28"/>
        </w:rPr>
        <w:t>指标分值</w:t>
      </w:r>
      <w:r>
        <w:rPr>
          <w:rFonts w:hint="eastAsia" w:ascii="仿宋_GB2312" w:hAnsi="仿宋_GB2312" w:cs="仿宋_GB2312"/>
          <w:color w:val="333333"/>
          <w:sz w:val="28"/>
          <w:szCs w:val="28"/>
          <w:lang w:val="en-US" w:eastAsia="zh-CN"/>
        </w:rPr>
        <w:t>30</w:t>
      </w:r>
      <w:r>
        <w:rPr>
          <w:rFonts w:hint="eastAsia" w:ascii="仿宋_GB2312" w:hAnsi="仿宋_GB2312" w:eastAsia="仿宋_GB2312" w:cs="仿宋_GB2312"/>
          <w:color w:val="333333"/>
          <w:sz w:val="28"/>
          <w:szCs w:val="28"/>
        </w:rPr>
        <w:t>分，实际得分</w:t>
      </w:r>
      <w:r>
        <w:rPr>
          <w:rFonts w:hint="eastAsia" w:ascii="仿宋_GB2312" w:hAnsi="仿宋_GB2312" w:cs="仿宋_GB2312"/>
          <w:color w:val="333333"/>
          <w:sz w:val="28"/>
          <w:szCs w:val="28"/>
          <w:lang w:val="en-US" w:eastAsia="zh-CN"/>
        </w:rPr>
        <w:t>30</w:t>
      </w:r>
      <w:r>
        <w:rPr>
          <w:rFonts w:hint="eastAsia" w:ascii="仿宋_GB2312" w:hAnsi="仿宋_GB2312" w:eastAsia="仿宋_GB2312" w:cs="仿宋_GB2312"/>
          <w:color w:val="333333"/>
          <w:sz w:val="28"/>
          <w:szCs w:val="28"/>
        </w:rPr>
        <w:t>分，得分率为</w:t>
      </w:r>
      <w:r>
        <w:rPr>
          <w:rFonts w:hint="eastAsia" w:ascii="仿宋_GB2312" w:hAnsi="仿宋_GB2312" w:cs="仿宋_GB2312"/>
          <w:color w:val="333333"/>
          <w:sz w:val="28"/>
          <w:szCs w:val="28"/>
          <w:lang w:val="en-US" w:eastAsia="zh-CN"/>
        </w:rPr>
        <w:t>30</w:t>
      </w:r>
      <w:r>
        <w:rPr>
          <w:rFonts w:hint="eastAsia" w:ascii="仿宋_GB2312" w:hAnsi="仿宋_GB2312" w:eastAsia="仿宋_GB2312" w:cs="仿宋_GB2312"/>
          <w:color w:val="333333"/>
          <w:sz w:val="28"/>
          <w:szCs w:val="28"/>
        </w:rPr>
        <w:t>%。</w:t>
      </w:r>
    </w:p>
    <w:p w14:paraId="2CA27BAF">
      <w:pPr>
        <w:pageBreakBefore w:val="0"/>
        <w:numPr>
          <w:ilvl w:val="0"/>
          <w:numId w:val="0"/>
        </w:numPr>
        <w:kinsoku/>
        <w:wordWrap/>
        <w:overflowPunct/>
        <w:topLinePunct w:val="0"/>
        <w:autoSpaceDE/>
        <w:autoSpaceDN/>
        <w:bidi w:val="0"/>
        <w:adjustRightInd/>
        <w:snapToGrid/>
        <w:spacing w:line="540" w:lineRule="exact"/>
        <w:ind w:firstLine="562" w:firstLineChars="200"/>
        <w:textAlignment w:val="auto"/>
        <w:rPr>
          <w:rStyle w:val="11"/>
          <w:rFonts w:ascii="Times New Roman" w:hAnsi="Times New Roman" w:cs="Times New Roman"/>
          <w:b/>
          <w:bCs/>
          <w:color w:val="auto"/>
          <w:sz w:val="28"/>
          <w:szCs w:val="28"/>
        </w:rPr>
      </w:pPr>
      <w:r>
        <w:rPr>
          <w:rStyle w:val="11"/>
          <w:rFonts w:hint="eastAsia" w:cs="Times New Roman"/>
          <w:b/>
          <w:bCs/>
          <w:color w:val="auto"/>
          <w:sz w:val="28"/>
          <w:szCs w:val="28"/>
          <w:lang w:val="en-US" w:eastAsia="zh-CN"/>
        </w:rPr>
        <w:t>1.</w:t>
      </w:r>
      <w:r>
        <w:rPr>
          <w:rStyle w:val="11"/>
          <w:rFonts w:ascii="Times New Roman" w:hAnsi="Times New Roman" w:cs="Times New Roman"/>
          <w:b/>
          <w:bCs/>
          <w:color w:val="auto"/>
          <w:sz w:val="28"/>
          <w:szCs w:val="28"/>
        </w:rPr>
        <w:t>社会效益指标方面</w:t>
      </w:r>
    </w:p>
    <w:p w14:paraId="317073B2">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降低对社会大局发展和公共福利不利影响，指标值为大于等于</w:t>
      </w:r>
      <w:r>
        <w:rPr>
          <w:rStyle w:val="10"/>
          <w:rFonts w:hint="eastAsia" w:ascii="仿宋_GB2312" w:hAnsi="黑体"/>
          <w:b w:val="0"/>
          <w:bCs/>
          <w:spacing w:val="-4"/>
          <w:sz w:val="28"/>
          <w:szCs w:val="28"/>
          <w:highlight w:val="none"/>
          <w:lang w:val="en-US" w:eastAsia="zh-CN"/>
        </w:rPr>
        <w:t>98</w:t>
      </w:r>
      <w:r>
        <w:rPr>
          <w:rStyle w:val="10"/>
          <w:rFonts w:hint="eastAsia" w:ascii="仿宋_GB2312" w:hAnsi="黑体" w:eastAsia="仿宋_GB2312"/>
          <w:b w:val="0"/>
          <w:bCs/>
          <w:spacing w:val="-4"/>
          <w:sz w:val="28"/>
          <w:szCs w:val="28"/>
          <w:highlight w:val="none"/>
          <w:lang w:val="en-US" w:eastAsia="zh-CN"/>
        </w:rPr>
        <w:t>%</w:t>
      </w:r>
      <w:r>
        <w:rPr>
          <w:rFonts w:hint="eastAsia" w:ascii="仿宋_GB2312" w:hAnsi="仿宋_GB2312" w:eastAsia="仿宋_GB2312" w:cs="仿宋_GB2312"/>
          <w:b w:val="0"/>
          <w:bCs w:val="0"/>
          <w:color w:val="auto"/>
          <w:kern w:val="2"/>
          <w:sz w:val="28"/>
          <w:szCs w:val="28"/>
          <w:highlight w:val="none"/>
          <w:lang w:val="en-US" w:eastAsia="zh-CN" w:bidi="ar-SA"/>
        </w:rPr>
        <w:t>，实际完成</w:t>
      </w:r>
      <w:r>
        <w:rPr>
          <w:rFonts w:hint="eastAsia" w:ascii="仿宋_GB2312" w:hAnsi="仿宋_GB2312" w:cs="仿宋_GB2312"/>
          <w:b w:val="0"/>
          <w:bCs w:val="0"/>
          <w:color w:val="auto"/>
          <w:kern w:val="2"/>
          <w:sz w:val="28"/>
          <w:szCs w:val="28"/>
          <w:highlight w:val="none"/>
          <w:lang w:val="en-US" w:eastAsia="zh-CN" w:bidi="ar-SA"/>
        </w:rPr>
        <w:t>98</w:t>
      </w:r>
      <w:r>
        <w:rPr>
          <w:rFonts w:hint="eastAsia" w:ascii="仿宋_GB2312" w:hAnsi="仿宋_GB2312" w:eastAsia="仿宋_GB2312" w:cs="仿宋_GB2312"/>
          <w:b w:val="0"/>
          <w:bCs w:val="0"/>
          <w:color w:val="auto"/>
          <w:kern w:val="2"/>
          <w:sz w:val="28"/>
          <w:szCs w:val="28"/>
          <w:highlight w:val="none"/>
          <w:lang w:val="en-US" w:eastAsia="zh-CN" w:bidi="ar-SA"/>
        </w:rPr>
        <w:t>%，完成率100%，偏差率0%</w:t>
      </w:r>
      <w:r>
        <w:rPr>
          <w:rFonts w:hint="eastAsia" w:ascii="仿宋_GB2312" w:hAnsi="仿宋_GB2312" w:cs="仿宋_GB2312"/>
          <w:b w:val="0"/>
          <w:bCs w:val="0"/>
          <w:color w:val="auto"/>
          <w:kern w:val="2"/>
          <w:sz w:val="28"/>
          <w:szCs w:val="28"/>
          <w:highlight w:val="none"/>
          <w:lang w:val="en-US" w:eastAsia="zh-CN" w:bidi="ar-SA"/>
        </w:rPr>
        <w:t>。</w:t>
      </w:r>
    </w:p>
    <w:p w14:paraId="2F063D16">
      <w:pPr>
        <w:pageBreakBefore w:val="0"/>
        <w:numPr>
          <w:ilvl w:val="0"/>
          <w:numId w:val="0"/>
        </w:numPr>
        <w:kinsoku/>
        <w:wordWrap/>
        <w:overflowPunct/>
        <w:topLinePunct w:val="0"/>
        <w:autoSpaceDE/>
        <w:autoSpaceDN/>
        <w:bidi w:val="0"/>
        <w:adjustRightInd/>
        <w:snapToGrid/>
        <w:spacing w:line="540" w:lineRule="exact"/>
        <w:ind w:firstLine="562" w:firstLineChars="200"/>
        <w:textAlignment w:val="auto"/>
        <w:rPr>
          <w:rStyle w:val="11"/>
          <w:rFonts w:ascii="Times New Roman" w:hAnsi="Times New Roman" w:cs="Times New Roman"/>
          <w:b/>
          <w:bCs/>
          <w:color w:val="auto"/>
          <w:sz w:val="28"/>
          <w:szCs w:val="28"/>
        </w:rPr>
      </w:pPr>
      <w:r>
        <w:rPr>
          <w:rStyle w:val="11"/>
          <w:rFonts w:hint="eastAsia" w:cs="Times New Roman"/>
          <w:b/>
          <w:bCs/>
          <w:color w:val="auto"/>
          <w:sz w:val="28"/>
          <w:szCs w:val="28"/>
          <w:lang w:val="en-US" w:eastAsia="zh-CN"/>
        </w:rPr>
        <w:t>2.</w:t>
      </w:r>
      <w:r>
        <w:rPr>
          <w:rStyle w:val="11"/>
          <w:rFonts w:hint="eastAsia" w:ascii="Times New Roman" w:hAnsi="Times New Roman" w:cs="Times New Roman"/>
          <w:b/>
          <w:bCs/>
          <w:color w:val="auto"/>
          <w:sz w:val="28"/>
          <w:szCs w:val="28"/>
        </w:rPr>
        <w:t>生态效益指标</w:t>
      </w:r>
      <w:r>
        <w:rPr>
          <w:rStyle w:val="11"/>
          <w:rFonts w:ascii="Times New Roman" w:hAnsi="Times New Roman" w:cs="Times New Roman"/>
          <w:b/>
          <w:bCs/>
          <w:color w:val="auto"/>
          <w:sz w:val="28"/>
          <w:szCs w:val="28"/>
        </w:rPr>
        <w:t>指标方面</w:t>
      </w:r>
    </w:p>
    <w:p w14:paraId="2BC3FC84">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default"/>
          <w:sz w:val="28"/>
          <w:szCs w:val="28"/>
          <w:lang w:val="en-US" w:eastAsia="zh-CN"/>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color w:val="auto"/>
          <w:kern w:val="2"/>
          <w:sz w:val="28"/>
          <w:szCs w:val="28"/>
          <w:highlight w:val="none"/>
          <w:lang w:val="en-US" w:eastAsia="zh-CN" w:bidi="ar-SA"/>
        </w:rPr>
        <w:t>降低对周围环境、噪音等污染，指标值为大于等于</w:t>
      </w:r>
      <w:r>
        <w:rPr>
          <w:rStyle w:val="10"/>
          <w:rFonts w:hint="eastAsia" w:ascii="仿宋_GB2312" w:hAnsi="黑体"/>
          <w:b w:val="0"/>
          <w:bCs/>
          <w:spacing w:val="-4"/>
          <w:sz w:val="28"/>
          <w:szCs w:val="28"/>
          <w:highlight w:val="none"/>
          <w:lang w:val="en-US" w:eastAsia="zh-CN"/>
        </w:rPr>
        <w:t>98</w:t>
      </w:r>
      <w:r>
        <w:rPr>
          <w:rStyle w:val="10"/>
          <w:rFonts w:hint="eastAsia" w:ascii="仿宋_GB2312" w:hAnsi="黑体" w:eastAsia="仿宋_GB2312"/>
          <w:b w:val="0"/>
          <w:bCs/>
          <w:spacing w:val="-4"/>
          <w:sz w:val="28"/>
          <w:szCs w:val="28"/>
          <w:highlight w:val="none"/>
          <w:lang w:val="en-US" w:eastAsia="zh-CN"/>
        </w:rPr>
        <w:t>%</w:t>
      </w:r>
      <w:r>
        <w:rPr>
          <w:rFonts w:hint="eastAsia" w:ascii="仿宋_GB2312" w:hAnsi="仿宋_GB2312" w:eastAsia="仿宋_GB2312" w:cs="仿宋_GB2312"/>
          <w:b w:val="0"/>
          <w:bCs w:val="0"/>
          <w:color w:val="auto"/>
          <w:kern w:val="2"/>
          <w:sz w:val="28"/>
          <w:szCs w:val="28"/>
          <w:highlight w:val="none"/>
          <w:lang w:val="en-US" w:eastAsia="zh-CN" w:bidi="ar-SA"/>
        </w:rPr>
        <w:t>，实际完成</w:t>
      </w:r>
      <w:r>
        <w:rPr>
          <w:rFonts w:hint="eastAsia" w:ascii="仿宋_GB2312" w:hAnsi="仿宋_GB2312" w:cs="仿宋_GB2312"/>
          <w:b w:val="0"/>
          <w:bCs w:val="0"/>
          <w:color w:val="auto"/>
          <w:kern w:val="2"/>
          <w:sz w:val="28"/>
          <w:szCs w:val="28"/>
          <w:highlight w:val="none"/>
          <w:lang w:val="en-US" w:eastAsia="zh-CN" w:bidi="ar-SA"/>
        </w:rPr>
        <w:t>98</w:t>
      </w:r>
      <w:r>
        <w:rPr>
          <w:rFonts w:hint="eastAsia" w:ascii="仿宋_GB2312" w:hAnsi="仿宋_GB2312" w:eastAsia="仿宋_GB2312" w:cs="仿宋_GB2312"/>
          <w:b w:val="0"/>
          <w:bCs w:val="0"/>
          <w:color w:val="auto"/>
          <w:kern w:val="2"/>
          <w:sz w:val="28"/>
          <w:szCs w:val="28"/>
          <w:highlight w:val="none"/>
          <w:lang w:val="en-US" w:eastAsia="zh-CN" w:bidi="ar-SA"/>
        </w:rPr>
        <w:t>%，完成率100%，偏差率0%</w:t>
      </w:r>
      <w:r>
        <w:rPr>
          <w:rFonts w:hint="eastAsia" w:ascii="仿宋_GB2312" w:hAnsi="仿宋_GB2312" w:cs="仿宋_GB2312"/>
          <w:b w:val="0"/>
          <w:bCs w:val="0"/>
          <w:color w:val="auto"/>
          <w:kern w:val="2"/>
          <w:sz w:val="28"/>
          <w:szCs w:val="28"/>
          <w:highlight w:val="none"/>
          <w:lang w:val="en-US" w:eastAsia="zh-CN" w:bidi="ar-SA"/>
        </w:rPr>
        <w:t>，无偏差。</w:t>
      </w:r>
    </w:p>
    <w:p w14:paraId="69AC95FE">
      <w:pPr>
        <w:pageBreakBefore w:val="0"/>
        <w:numPr>
          <w:ilvl w:val="0"/>
          <w:numId w:val="0"/>
        </w:numPr>
        <w:kinsoku/>
        <w:wordWrap/>
        <w:overflowPunct/>
        <w:topLinePunct w:val="0"/>
        <w:autoSpaceDE/>
        <w:autoSpaceDN/>
        <w:bidi w:val="0"/>
        <w:adjustRightInd/>
        <w:snapToGrid/>
        <w:spacing w:line="540" w:lineRule="exact"/>
        <w:ind w:leftChars="200"/>
        <w:textAlignment w:val="auto"/>
        <w:rPr>
          <w:rStyle w:val="11"/>
          <w:rFonts w:ascii="Times New Roman" w:hAnsi="Times New Roman" w:cs="Times New Roman"/>
          <w:b/>
          <w:bCs/>
          <w:color w:val="auto"/>
          <w:sz w:val="28"/>
          <w:szCs w:val="28"/>
        </w:rPr>
      </w:pPr>
      <w:r>
        <w:rPr>
          <w:rStyle w:val="11"/>
          <w:rFonts w:hint="eastAsia" w:cs="Times New Roman"/>
          <w:b/>
          <w:bCs/>
          <w:color w:val="auto"/>
          <w:sz w:val="28"/>
          <w:szCs w:val="28"/>
          <w:lang w:val="en-US" w:eastAsia="zh-CN"/>
        </w:rPr>
        <w:t>3.</w:t>
      </w:r>
      <w:r>
        <w:rPr>
          <w:rStyle w:val="11"/>
          <w:rFonts w:ascii="Times New Roman" w:hAnsi="Times New Roman" w:cs="Times New Roman"/>
          <w:b/>
          <w:bCs/>
          <w:color w:val="auto"/>
          <w:sz w:val="28"/>
          <w:szCs w:val="28"/>
        </w:rPr>
        <w:t>满意度指标方面</w:t>
      </w:r>
    </w:p>
    <w:p w14:paraId="004D5764">
      <w:pPr>
        <w:spacing w:line="560" w:lineRule="exact"/>
        <w:ind w:firstLine="560" w:firstLineChars="20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i w:val="0"/>
          <w:iCs w:val="0"/>
          <w:sz w:val="28"/>
          <w:szCs w:val="28"/>
          <w:u w:val="none"/>
        </w:rPr>
        <w:t>年度预设指标</w:t>
      </w:r>
      <w:r>
        <w:rPr>
          <w:rFonts w:hint="eastAsia" w:ascii="仿宋_GB2312" w:hAnsi="仿宋_GB2312" w:eastAsia="仿宋_GB2312" w:cs="仿宋_GB2312"/>
          <w:b w:val="0"/>
          <w:bCs w:val="0"/>
          <w:i w:val="0"/>
          <w:iCs w:val="0"/>
          <w:sz w:val="28"/>
          <w:szCs w:val="28"/>
          <w:u w:val="none"/>
          <w:lang w:eastAsia="zh-CN"/>
        </w:rPr>
        <w:t>为</w:t>
      </w:r>
      <w:r>
        <w:rPr>
          <w:rFonts w:hint="eastAsia" w:ascii="仿宋_GB2312" w:hAnsi="仿宋_GB2312" w:eastAsia="仿宋_GB2312" w:cs="仿宋_GB2312"/>
          <w:b w:val="0"/>
          <w:bCs w:val="0"/>
          <w:i w:val="0"/>
          <w:iCs w:val="0"/>
          <w:color w:val="auto"/>
          <w:kern w:val="2"/>
          <w:sz w:val="28"/>
          <w:szCs w:val="28"/>
          <w:highlight w:val="none"/>
          <w:u w:val="none"/>
          <w:lang w:val="en-US" w:eastAsia="zh-CN" w:bidi="ar-SA"/>
        </w:rPr>
        <w:t>受益群体满意度</w:t>
      </w:r>
      <w:r>
        <w:rPr>
          <w:rFonts w:hint="eastAsia" w:ascii="仿宋_GB2312" w:hAnsi="仿宋_GB2312" w:eastAsia="仿宋_GB2312" w:cs="仿宋_GB2312"/>
          <w:b w:val="0"/>
          <w:bCs w:val="0"/>
          <w:color w:val="auto"/>
          <w:kern w:val="2"/>
          <w:sz w:val="28"/>
          <w:szCs w:val="28"/>
          <w:highlight w:val="none"/>
          <w:lang w:val="en-US" w:eastAsia="zh-CN" w:bidi="ar-SA"/>
        </w:rPr>
        <w:t>，指标值为大于等于</w:t>
      </w:r>
      <w:r>
        <w:rPr>
          <w:rStyle w:val="10"/>
          <w:rFonts w:hint="eastAsia" w:ascii="仿宋_GB2312" w:hAnsi="黑体" w:eastAsia="仿宋_GB2312"/>
          <w:b w:val="0"/>
          <w:bCs/>
          <w:spacing w:val="-4"/>
          <w:sz w:val="28"/>
          <w:szCs w:val="28"/>
          <w:highlight w:val="none"/>
          <w:lang w:val="en-US" w:eastAsia="zh-CN"/>
        </w:rPr>
        <w:t>9</w:t>
      </w:r>
      <w:r>
        <w:rPr>
          <w:rStyle w:val="10"/>
          <w:rFonts w:hint="eastAsia" w:ascii="仿宋_GB2312" w:hAnsi="黑体"/>
          <w:b w:val="0"/>
          <w:bCs/>
          <w:spacing w:val="-4"/>
          <w:sz w:val="28"/>
          <w:szCs w:val="28"/>
          <w:highlight w:val="none"/>
          <w:lang w:val="en-US" w:eastAsia="zh-CN"/>
        </w:rPr>
        <w:t>8</w:t>
      </w:r>
      <w:r>
        <w:rPr>
          <w:rStyle w:val="10"/>
          <w:rFonts w:hint="eastAsia" w:ascii="仿宋_GB2312" w:hAnsi="黑体" w:eastAsia="仿宋_GB2312"/>
          <w:b w:val="0"/>
          <w:bCs/>
          <w:spacing w:val="-4"/>
          <w:sz w:val="28"/>
          <w:szCs w:val="28"/>
          <w:highlight w:val="none"/>
          <w:lang w:val="en-US" w:eastAsia="zh-CN"/>
        </w:rPr>
        <w:t>%</w:t>
      </w:r>
      <w:r>
        <w:rPr>
          <w:rFonts w:hint="eastAsia" w:ascii="仿宋_GB2312" w:hAnsi="仿宋_GB2312" w:eastAsia="仿宋_GB2312" w:cs="仿宋_GB2312"/>
          <w:b w:val="0"/>
          <w:bCs w:val="0"/>
          <w:color w:val="auto"/>
          <w:kern w:val="2"/>
          <w:sz w:val="28"/>
          <w:szCs w:val="28"/>
          <w:highlight w:val="none"/>
          <w:lang w:val="en-US" w:eastAsia="zh-CN" w:bidi="ar-SA"/>
        </w:rPr>
        <w:t>，实际完成</w:t>
      </w:r>
      <w:r>
        <w:rPr>
          <w:rFonts w:hint="eastAsia" w:ascii="仿宋_GB2312" w:hAnsi="仿宋_GB2312" w:cs="仿宋_GB2312"/>
          <w:b w:val="0"/>
          <w:bCs w:val="0"/>
          <w:color w:val="auto"/>
          <w:kern w:val="2"/>
          <w:sz w:val="28"/>
          <w:szCs w:val="28"/>
          <w:highlight w:val="none"/>
          <w:lang w:val="en-US" w:eastAsia="zh-CN" w:bidi="ar-SA"/>
        </w:rPr>
        <w:t>98</w:t>
      </w:r>
      <w:r>
        <w:rPr>
          <w:rFonts w:hint="eastAsia" w:ascii="仿宋_GB2312" w:hAnsi="仿宋_GB2312" w:eastAsia="仿宋_GB2312" w:cs="仿宋_GB2312"/>
          <w:b w:val="0"/>
          <w:bCs w:val="0"/>
          <w:color w:val="auto"/>
          <w:kern w:val="2"/>
          <w:sz w:val="28"/>
          <w:szCs w:val="28"/>
          <w:highlight w:val="none"/>
          <w:lang w:val="en-US" w:eastAsia="zh-CN" w:bidi="ar-SA"/>
        </w:rPr>
        <w:t>%，完成率100%，无偏差。</w:t>
      </w:r>
    </w:p>
    <w:p w14:paraId="3F619DCA">
      <w:pPr>
        <w:pageBreakBefore w:val="0"/>
        <w:kinsoku/>
        <w:wordWrap/>
        <w:overflowPunct/>
        <w:topLinePunct w:val="0"/>
        <w:autoSpaceDE/>
        <w:autoSpaceDN/>
        <w:bidi w:val="0"/>
        <w:adjustRightInd/>
        <w:snapToGrid/>
        <w:spacing w:line="540" w:lineRule="exact"/>
        <w:ind w:firstLine="600" w:firstLineChars="200"/>
        <w:textAlignment w:val="auto"/>
        <w:rPr>
          <w:rFonts w:hint="eastAsia" w:ascii="黑体" w:hAnsi="黑体" w:eastAsia="黑体"/>
          <w:lang w:eastAsia="zh-Hans"/>
        </w:rPr>
      </w:pPr>
      <w:r>
        <w:rPr>
          <w:rFonts w:hint="eastAsia" w:ascii="黑体" w:hAnsi="黑体" w:eastAsia="黑体"/>
          <w:lang w:eastAsia="zh-Hans"/>
        </w:rPr>
        <w:t>五、预算执行进度与绩效指标总体完成率偏差</w:t>
      </w:r>
    </w:p>
    <w:p w14:paraId="2CCCE8B4">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sz w:val="28"/>
          <w:szCs w:val="28"/>
        </w:rPr>
        <w:t>监测业务楼配电系统改造项目</w:t>
      </w:r>
      <w:r>
        <w:rPr>
          <w:rFonts w:hint="eastAsia" w:ascii="仿宋_GB2312" w:hAnsi="仿宋_GB2312" w:eastAsia="仿宋_GB2312" w:cs="仿宋_GB2312"/>
          <w:b w:val="0"/>
          <w:bCs w:val="0"/>
          <w:color w:val="auto"/>
          <w:kern w:val="2"/>
          <w:sz w:val="28"/>
          <w:szCs w:val="28"/>
          <w:highlight w:val="none"/>
          <w:lang w:val="en-US" w:eastAsia="zh-CN" w:bidi="ar-SA"/>
        </w:rPr>
        <w:t>年初预算</w:t>
      </w:r>
      <w:r>
        <w:rPr>
          <w:rFonts w:hint="eastAsia" w:ascii="仿宋_GB2312" w:hAnsi="仿宋_GB2312" w:cs="仿宋_GB2312"/>
          <w:b w:val="0"/>
          <w:bCs w:val="0"/>
          <w:color w:val="auto"/>
          <w:kern w:val="2"/>
          <w:sz w:val="28"/>
          <w:szCs w:val="28"/>
          <w:highlight w:val="none"/>
          <w:lang w:val="en-US" w:eastAsia="zh-CN" w:bidi="ar-SA"/>
        </w:rPr>
        <w:t>5</w:t>
      </w:r>
      <w:r>
        <w:rPr>
          <w:rFonts w:hint="eastAsia" w:ascii="仿宋_GB2312" w:hAnsi="仿宋_GB2312" w:eastAsia="仿宋_GB2312" w:cs="仿宋_GB2312"/>
          <w:b w:val="0"/>
          <w:bCs w:val="0"/>
          <w:color w:val="auto"/>
          <w:kern w:val="2"/>
          <w:sz w:val="28"/>
          <w:szCs w:val="28"/>
          <w:highlight w:val="none"/>
          <w:lang w:val="en-US" w:eastAsia="zh-CN" w:bidi="ar-SA"/>
        </w:rPr>
        <w:t>万元，全年预算</w:t>
      </w:r>
      <w:r>
        <w:rPr>
          <w:rFonts w:hint="eastAsia" w:ascii="仿宋_GB2312" w:hAnsi="仿宋_GB2312" w:cs="仿宋_GB2312"/>
          <w:b w:val="0"/>
          <w:bCs w:val="0"/>
          <w:color w:val="auto"/>
          <w:kern w:val="2"/>
          <w:sz w:val="28"/>
          <w:szCs w:val="28"/>
          <w:highlight w:val="none"/>
          <w:lang w:val="en-US" w:eastAsia="zh-CN" w:bidi="ar-SA"/>
        </w:rPr>
        <w:t>5</w:t>
      </w:r>
      <w:r>
        <w:rPr>
          <w:rFonts w:hint="eastAsia" w:ascii="仿宋_GB2312" w:hAnsi="仿宋_GB2312" w:eastAsia="仿宋_GB2312" w:cs="仿宋_GB2312"/>
          <w:b w:val="0"/>
          <w:bCs w:val="0"/>
          <w:color w:val="auto"/>
          <w:kern w:val="2"/>
          <w:sz w:val="28"/>
          <w:szCs w:val="28"/>
          <w:highlight w:val="none"/>
          <w:lang w:val="en-US" w:eastAsia="zh-CN" w:bidi="ar-SA"/>
        </w:rPr>
        <w:t>万元，实际支出</w:t>
      </w:r>
      <w:r>
        <w:rPr>
          <w:rFonts w:hint="eastAsia" w:ascii="仿宋_GB2312" w:hAnsi="仿宋_GB2312" w:cs="仿宋_GB2312"/>
          <w:b w:val="0"/>
          <w:bCs w:val="0"/>
          <w:color w:val="auto"/>
          <w:kern w:val="2"/>
          <w:sz w:val="28"/>
          <w:szCs w:val="28"/>
          <w:highlight w:val="none"/>
          <w:lang w:val="en-US" w:eastAsia="zh-CN" w:bidi="ar-SA"/>
        </w:rPr>
        <w:t>4.084</w:t>
      </w:r>
      <w:r>
        <w:rPr>
          <w:rFonts w:hint="eastAsia" w:ascii="仿宋_GB2312" w:hAnsi="仿宋_GB2312" w:eastAsia="仿宋_GB2312" w:cs="仿宋_GB2312"/>
          <w:b w:val="0"/>
          <w:bCs w:val="0"/>
          <w:color w:val="auto"/>
          <w:kern w:val="2"/>
          <w:sz w:val="28"/>
          <w:szCs w:val="28"/>
          <w:highlight w:val="none"/>
          <w:lang w:val="en-US" w:eastAsia="zh-CN" w:bidi="ar-SA"/>
        </w:rPr>
        <w:t>万元，预算执行率为</w:t>
      </w:r>
      <w:r>
        <w:rPr>
          <w:rFonts w:hint="eastAsia" w:ascii="仿宋_GB2312" w:hAnsi="仿宋_GB2312" w:cs="仿宋_GB2312"/>
          <w:b w:val="0"/>
          <w:bCs w:val="0"/>
          <w:color w:val="auto"/>
          <w:kern w:val="2"/>
          <w:sz w:val="28"/>
          <w:szCs w:val="28"/>
          <w:highlight w:val="none"/>
          <w:lang w:val="en-US" w:eastAsia="zh-CN" w:bidi="ar-SA"/>
        </w:rPr>
        <w:t>81.68</w:t>
      </w:r>
      <w:r>
        <w:rPr>
          <w:rFonts w:hint="eastAsia" w:ascii="仿宋_GB2312" w:hAnsi="仿宋_GB2312" w:eastAsia="仿宋_GB2312" w:cs="仿宋_GB2312"/>
          <w:b w:val="0"/>
          <w:bCs w:val="0"/>
          <w:color w:val="auto"/>
          <w:kern w:val="2"/>
          <w:sz w:val="28"/>
          <w:szCs w:val="28"/>
          <w:highlight w:val="none"/>
          <w:lang w:val="en-US" w:eastAsia="zh-CN" w:bidi="ar-SA"/>
        </w:rPr>
        <w:t>%，项目绩效指标总体完成率为</w:t>
      </w:r>
      <w:r>
        <w:rPr>
          <w:rFonts w:hint="eastAsia" w:ascii="仿宋_GB2312" w:hAnsi="仿宋_GB2312" w:cs="仿宋_GB2312"/>
          <w:b w:val="0"/>
          <w:bCs w:val="0"/>
          <w:color w:val="auto"/>
          <w:kern w:val="2"/>
          <w:sz w:val="28"/>
          <w:szCs w:val="28"/>
          <w:highlight w:val="none"/>
          <w:lang w:val="en-US" w:eastAsia="zh-CN" w:bidi="ar-SA"/>
        </w:rPr>
        <w:t>100.56</w:t>
      </w:r>
      <w:r>
        <w:rPr>
          <w:rFonts w:hint="eastAsia" w:ascii="仿宋_GB2312" w:hAnsi="仿宋_GB2312" w:eastAsia="仿宋_GB2312" w:cs="仿宋_GB2312"/>
          <w:b w:val="0"/>
          <w:bCs w:val="0"/>
          <w:color w:val="auto"/>
          <w:kern w:val="2"/>
          <w:sz w:val="28"/>
          <w:szCs w:val="28"/>
          <w:highlight w:val="none"/>
          <w:lang w:val="en-US" w:eastAsia="zh-CN" w:bidi="ar-SA"/>
        </w:rPr>
        <w:t>%，</w:t>
      </w:r>
      <w:r>
        <w:rPr>
          <w:rFonts w:hint="eastAsia" w:ascii="仿宋_GB2312" w:hAnsi="仿宋_GB2312" w:eastAsia="仿宋_GB2312" w:cs="仿宋_GB2312"/>
          <w:b w:val="0"/>
          <w:bCs w:val="0"/>
          <w:color w:val="auto"/>
          <w:kern w:val="2"/>
          <w:sz w:val="28"/>
          <w:szCs w:val="28"/>
          <w:highlight w:val="none"/>
          <w:lang w:val="en-US" w:eastAsia="zh-Hans" w:bidi="ar-SA"/>
        </w:rPr>
        <w:t>总体</w:t>
      </w:r>
      <w:r>
        <w:rPr>
          <w:rFonts w:hint="eastAsia" w:ascii="仿宋_GB2312" w:hAnsi="仿宋_GB2312" w:eastAsia="仿宋_GB2312" w:cs="仿宋_GB2312"/>
          <w:b w:val="0"/>
          <w:bCs w:val="0"/>
          <w:color w:val="auto"/>
          <w:kern w:val="2"/>
          <w:sz w:val="28"/>
          <w:szCs w:val="28"/>
          <w:highlight w:val="none"/>
          <w:lang w:val="en-US" w:eastAsia="zh-CN" w:bidi="ar-SA"/>
        </w:rPr>
        <w:t>偏差率为</w:t>
      </w:r>
      <w:r>
        <w:rPr>
          <w:rFonts w:hint="eastAsia" w:ascii="仿宋_GB2312" w:hAnsi="仿宋_GB2312" w:cs="仿宋_GB2312"/>
          <w:b w:val="0"/>
          <w:bCs w:val="0"/>
          <w:color w:val="auto"/>
          <w:kern w:val="2"/>
          <w:sz w:val="28"/>
          <w:szCs w:val="28"/>
          <w:highlight w:val="none"/>
          <w:lang w:val="en-US" w:eastAsia="zh-CN" w:bidi="ar-SA"/>
        </w:rPr>
        <w:t>4.49</w:t>
      </w:r>
      <w:r>
        <w:rPr>
          <w:rFonts w:hint="eastAsia" w:ascii="仿宋_GB2312" w:hAnsi="仿宋_GB2312" w:eastAsia="仿宋_GB2312" w:cs="仿宋_GB2312"/>
          <w:b w:val="0"/>
          <w:bCs w:val="0"/>
          <w:color w:val="auto"/>
          <w:kern w:val="2"/>
          <w:sz w:val="28"/>
          <w:szCs w:val="28"/>
          <w:highlight w:val="none"/>
          <w:lang w:val="en-US" w:eastAsia="zh-CN" w:bidi="ar-SA"/>
        </w:rPr>
        <w:t>%,</w:t>
      </w:r>
      <w:r>
        <w:rPr>
          <w:rFonts w:hint="eastAsia" w:ascii="仿宋_GB2312" w:hAnsi="仿宋_GB2312" w:eastAsia="仿宋_GB2312" w:cs="仿宋_GB2312"/>
          <w:b w:val="0"/>
          <w:bCs w:val="0"/>
          <w:color w:val="auto"/>
          <w:kern w:val="2"/>
          <w:sz w:val="28"/>
          <w:szCs w:val="28"/>
          <w:highlight w:val="none"/>
          <w:lang w:val="en-US" w:eastAsia="zh-Hans" w:bidi="ar-SA"/>
        </w:rPr>
        <w:t>偏差</w:t>
      </w:r>
      <w:r>
        <w:rPr>
          <w:rFonts w:hint="eastAsia" w:ascii="仿宋_GB2312" w:hAnsi="仿宋_GB2312" w:eastAsia="仿宋_GB2312" w:cs="仿宋_GB2312"/>
          <w:b w:val="0"/>
          <w:bCs w:val="0"/>
          <w:color w:val="auto"/>
          <w:kern w:val="2"/>
          <w:sz w:val="28"/>
          <w:szCs w:val="28"/>
          <w:highlight w:val="none"/>
          <w:lang w:val="en-US" w:eastAsia="zh-CN" w:bidi="ar-SA"/>
        </w:rPr>
        <w:t>原因</w:t>
      </w:r>
      <w:r>
        <w:rPr>
          <w:rFonts w:hint="eastAsia" w:ascii="仿宋_GB2312" w:hAnsi="仿宋_GB2312" w:eastAsia="仿宋_GB2312" w:cs="仿宋_GB2312"/>
          <w:sz w:val="28"/>
          <w:szCs w:val="28"/>
        </w:rPr>
        <w:t>编制的项目自评指标体系不够精细，绩效目标不具体，未完全细化，分解工作任务不够具体，部分绩效指标不清晰</w:t>
      </w:r>
      <w:r>
        <w:rPr>
          <w:rFonts w:hint="eastAsia" w:ascii="仿宋_GB2312" w:hAnsi="仿宋_GB2312" w:eastAsia="仿宋_GB2312" w:cs="仿宋_GB2312"/>
          <w:b w:val="0"/>
          <w:bCs w:val="0"/>
          <w:color w:val="auto"/>
          <w:kern w:val="2"/>
          <w:sz w:val="28"/>
          <w:szCs w:val="28"/>
          <w:highlight w:val="none"/>
          <w:lang w:val="en-US" w:eastAsia="zh-CN" w:bidi="ar-SA"/>
        </w:rPr>
        <w:t>，</w:t>
      </w:r>
      <w:r>
        <w:rPr>
          <w:rFonts w:hint="eastAsia" w:ascii="仿宋_GB2312" w:hAnsi="仿宋_GB2312" w:eastAsia="仿宋_GB2312" w:cs="仿宋_GB2312"/>
          <w:b w:val="0"/>
          <w:bCs w:val="0"/>
          <w:color w:val="auto"/>
          <w:kern w:val="2"/>
          <w:sz w:val="28"/>
          <w:szCs w:val="28"/>
          <w:highlight w:val="none"/>
          <w:lang w:val="en-US" w:eastAsia="zh-Hans" w:bidi="ar-SA"/>
        </w:rPr>
        <w:t>改进</w:t>
      </w:r>
      <w:r>
        <w:rPr>
          <w:rFonts w:hint="eastAsia" w:ascii="仿宋_GB2312" w:hAnsi="仿宋_GB2312" w:eastAsia="仿宋_GB2312" w:cs="仿宋_GB2312"/>
          <w:b w:val="0"/>
          <w:bCs w:val="0"/>
          <w:color w:val="auto"/>
          <w:kern w:val="2"/>
          <w:sz w:val="28"/>
          <w:szCs w:val="28"/>
          <w:highlight w:val="none"/>
          <w:lang w:val="en-US" w:eastAsia="zh-CN" w:bidi="ar-SA"/>
        </w:rPr>
        <w:t>措施</w:t>
      </w:r>
      <w:r>
        <w:rPr>
          <w:rFonts w:hint="eastAsia" w:ascii="仿宋_GB2312" w:hAnsi="仿宋_GB2312" w:cs="仿宋_GB2312"/>
          <w:sz w:val="28"/>
          <w:szCs w:val="28"/>
          <w:lang w:val="en-US" w:eastAsia="zh-CN"/>
        </w:rPr>
        <w:t>后期在设定预算指标时，要</w:t>
      </w:r>
      <w:r>
        <w:rPr>
          <w:rFonts w:hint="eastAsia"/>
          <w:sz w:val="28"/>
          <w:szCs w:val="22"/>
          <w:lang w:val="en-US" w:eastAsia="zh-CN"/>
        </w:rPr>
        <w:t>全面了解分析项目实际情况，严谨设置年度绩效指标</w:t>
      </w:r>
      <w:r>
        <w:rPr>
          <w:rFonts w:hint="eastAsia" w:ascii="仿宋_GB2312" w:hAnsi="仿宋_GB2312" w:eastAsia="仿宋_GB2312" w:cs="仿宋_GB2312"/>
          <w:b w:val="0"/>
          <w:bCs w:val="0"/>
          <w:color w:val="auto"/>
          <w:kern w:val="2"/>
          <w:sz w:val="28"/>
          <w:szCs w:val="28"/>
          <w:highlight w:val="none"/>
          <w:lang w:val="en-US" w:eastAsia="zh-CN" w:bidi="ar-SA"/>
        </w:rPr>
        <w:t>。</w:t>
      </w:r>
    </w:p>
    <w:p w14:paraId="2A001167">
      <w:pPr>
        <w:pageBreakBefore w:val="0"/>
        <w:kinsoku/>
        <w:wordWrap/>
        <w:overflowPunct/>
        <w:topLinePunct w:val="0"/>
        <w:autoSpaceDE/>
        <w:autoSpaceDN/>
        <w:bidi w:val="0"/>
        <w:adjustRightInd/>
        <w:snapToGrid/>
        <w:spacing w:line="540" w:lineRule="exact"/>
        <w:ind w:firstLine="600" w:firstLineChars="200"/>
        <w:textAlignment w:val="auto"/>
        <w:rPr>
          <w:rFonts w:ascii="黑体" w:hAnsi="黑体" w:eastAsia="黑体"/>
        </w:rPr>
      </w:pPr>
      <w:r>
        <w:rPr>
          <w:rFonts w:hint="eastAsia" w:ascii="黑体" w:hAnsi="黑体" w:eastAsia="黑体"/>
          <w:lang w:eastAsia="zh-CN"/>
        </w:rPr>
        <w:t>六</w:t>
      </w:r>
      <w:r>
        <w:rPr>
          <w:rFonts w:hint="eastAsia" w:ascii="黑体" w:hAnsi="黑体" w:eastAsia="黑体"/>
        </w:rPr>
        <w:t>、主要经验及做法、存在的问题及原因分析</w:t>
      </w:r>
    </w:p>
    <w:p w14:paraId="48131640">
      <w:pPr>
        <w:pageBreakBefore w:val="0"/>
        <w:kinsoku/>
        <w:wordWrap/>
        <w:overflowPunct/>
        <w:topLinePunct w:val="0"/>
        <w:autoSpaceDE/>
        <w:autoSpaceDN/>
        <w:bidi w:val="0"/>
        <w:adjustRightInd/>
        <w:snapToGrid/>
        <w:spacing w:line="540" w:lineRule="exact"/>
        <w:ind w:firstLine="624" w:firstLineChars="200"/>
        <w:textAlignment w:val="auto"/>
        <w:rPr>
          <w:rFonts w:eastAsia="楷体"/>
          <w:b w:val="0"/>
          <w:bCs/>
          <w:spacing w:val="-4"/>
          <w:sz w:val="32"/>
          <w:szCs w:val="32"/>
        </w:rPr>
      </w:pPr>
      <w:r>
        <w:rPr>
          <w:rFonts w:eastAsia="楷体"/>
          <w:b w:val="0"/>
          <w:bCs/>
          <w:spacing w:val="-4"/>
          <w:sz w:val="32"/>
          <w:szCs w:val="32"/>
        </w:rPr>
        <w:t>（一）主要经验及做法</w:t>
      </w:r>
    </w:p>
    <w:p w14:paraId="06DD0A32">
      <w:pPr>
        <w:pageBreakBefore w:val="0"/>
        <w:kinsoku/>
        <w:wordWrap/>
        <w:overflowPunct/>
        <w:topLinePunct w:val="0"/>
        <w:autoSpaceDE/>
        <w:autoSpaceDN/>
        <w:bidi w:val="0"/>
        <w:adjustRightInd/>
        <w:snapToGrid/>
        <w:spacing w:line="540" w:lineRule="exact"/>
        <w:ind w:firstLine="560" w:firstLineChars="200"/>
        <w:textAlignment w:val="auto"/>
        <w:rPr>
          <w:rFonts w:eastAsia="仿宋_GB2312"/>
          <w:sz w:val="28"/>
          <w:szCs w:val="28"/>
        </w:rPr>
      </w:pPr>
      <w:r>
        <w:rPr>
          <w:rFonts w:eastAsia="仿宋_GB2312"/>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BD603DB">
      <w:pPr>
        <w:pStyle w:val="2"/>
        <w:pageBreakBefore w:val="0"/>
        <w:kinsoku/>
        <w:wordWrap/>
        <w:overflowPunct/>
        <w:topLinePunct w:val="0"/>
        <w:autoSpaceDE/>
        <w:autoSpaceDN/>
        <w:bidi w:val="0"/>
        <w:adjustRightInd/>
        <w:snapToGrid/>
        <w:spacing w:before="0" w:after="0" w:line="540" w:lineRule="exact"/>
        <w:ind w:firstLine="560" w:firstLineChars="200"/>
        <w:jc w:val="both"/>
        <w:textAlignment w:val="auto"/>
        <w:rPr>
          <w:rFonts w:ascii="Times New Roman" w:hAnsi="Times New Roman" w:eastAsia="仿宋_GB2312"/>
          <w:b w:val="0"/>
          <w:bCs w:val="0"/>
          <w:kern w:val="2"/>
          <w:sz w:val="28"/>
          <w:szCs w:val="28"/>
        </w:rPr>
      </w:pPr>
      <w:r>
        <w:rPr>
          <w:rFonts w:ascii="Times New Roman" w:hAnsi="Times New Roman" w:eastAsia="仿宋_GB2312"/>
          <w:b w:val="0"/>
          <w:bCs w:val="0"/>
          <w:kern w:val="2"/>
          <w:sz w:val="28"/>
          <w:szCs w:val="28"/>
        </w:rPr>
        <w:t>严格坚持先做事、后验收、再</w:t>
      </w:r>
      <w:r>
        <w:rPr>
          <w:rFonts w:hint="eastAsia" w:ascii="Times New Roman" w:hAnsi="Times New Roman" w:eastAsia="仿宋_GB2312"/>
          <w:b w:val="0"/>
          <w:bCs w:val="0"/>
          <w:kern w:val="2"/>
          <w:sz w:val="28"/>
          <w:szCs w:val="28"/>
          <w:lang w:val="en-US" w:eastAsia="zh-CN"/>
        </w:rPr>
        <w:t>支</w:t>
      </w:r>
      <w:r>
        <w:rPr>
          <w:rFonts w:ascii="Times New Roman" w:hAnsi="Times New Roman" w:eastAsia="仿宋_GB2312"/>
          <w:b w:val="0"/>
          <w:bCs w:val="0"/>
          <w:kern w:val="2"/>
          <w:sz w:val="28"/>
          <w:szCs w:val="28"/>
        </w:rPr>
        <w:t>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27F5792">
      <w:pPr>
        <w:keepNext/>
        <w:keepLines/>
        <w:pageBreakBefore w:val="0"/>
        <w:numPr>
          <w:ilvl w:val="0"/>
          <w:numId w:val="2"/>
        </w:numPr>
        <w:kinsoku/>
        <w:wordWrap/>
        <w:overflowPunct/>
        <w:topLinePunct w:val="0"/>
        <w:autoSpaceDE/>
        <w:autoSpaceDN/>
        <w:bidi w:val="0"/>
        <w:adjustRightInd/>
        <w:snapToGrid/>
        <w:spacing w:line="540" w:lineRule="exact"/>
        <w:ind w:firstLine="640" w:firstLineChars="200"/>
        <w:textAlignment w:val="auto"/>
        <w:rPr>
          <w:rFonts w:eastAsia="楷体_GB2312"/>
          <w:b w:val="0"/>
          <w:bCs w:val="0"/>
          <w:sz w:val="32"/>
          <w:szCs w:val="32"/>
        </w:rPr>
      </w:pPr>
      <w:r>
        <w:rPr>
          <w:rFonts w:eastAsia="楷体_GB2312"/>
          <w:b w:val="0"/>
          <w:bCs w:val="0"/>
          <w:sz w:val="32"/>
          <w:szCs w:val="32"/>
        </w:rPr>
        <w:t>存在的问题及原因分析</w:t>
      </w:r>
    </w:p>
    <w:p w14:paraId="7CD5598A">
      <w:pPr>
        <w:pageBreakBefore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sz w:val="28"/>
          <w:szCs w:val="22"/>
        </w:rPr>
      </w:pPr>
      <w:r>
        <w:rPr>
          <w:rFonts w:hint="eastAsia" w:ascii="仿宋_GB2312" w:hAnsi="仿宋_GB2312" w:eastAsia="仿宋_GB2312" w:cs="仿宋_GB2312"/>
          <w:sz w:val="28"/>
          <w:szCs w:val="28"/>
        </w:rPr>
        <w:t>根据本次绩效评价情况，发现预算绩效申报存在绩效目标设置不科学、不合同理的问题</w:t>
      </w:r>
      <w:r>
        <w:rPr>
          <w:rFonts w:hint="eastAsia" w:ascii="仿宋_GB2312" w:hAnsi="仿宋_GB2312" w:cs="仿宋_GB2312"/>
          <w:sz w:val="28"/>
          <w:szCs w:val="28"/>
          <w:lang w:eastAsia="zh-CN"/>
        </w:rPr>
        <w:t>，</w:t>
      </w:r>
      <w:r>
        <w:rPr>
          <w:rFonts w:hint="eastAsia"/>
          <w:sz w:val="28"/>
          <w:szCs w:val="22"/>
          <w:lang w:val="en-US" w:eastAsia="zh-CN"/>
        </w:rPr>
        <w:t>存在实际执行指标同年度预设指标值存在偏差</w:t>
      </w:r>
      <w:r>
        <w:rPr>
          <w:rFonts w:hint="eastAsia" w:ascii="仿宋_GB2312" w:hAnsi="仿宋_GB2312" w:eastAsia="仿宋_GB2312" w:cs="仿宋_GB2312"/>
          <w:sz w:val="28"/>
          <w:szCs w:val="28"/>
        </w:rPr>
        <w:t>。原因</w:t>
      </w:r>
      <w:r>
        <w:rPr>
          <w:rFonts w:hint="eastAsia" w:ascii="仿宋_GB2312" w:hAnsi="仿宋_GB2312" w:cs="仿宋_GB2312"/>
          <w:sz w:val="28"/>
          <w:szCs w:val="28"/>
          <w:lang w:val="en-US" w:eastAsia="zh-CN"/>
        </w:rPr>
        <w:t>是</w:t>
      </w:r>
      <w:r>
        <w:rPr>
          <w:rFonts w:hint="eastAsia" w:ascii="仿宋_GB2312" w:hAnsi="仿宋_GB2312" w:eastAsia="仿宋_GB2312" w:cs="仿宋_GB2312"/>
          <w:sz w:val="28"/>
          <w:szCs w:val="28"/>
        </w:rPr>
        <w:t>编制的项目自评指标体系不够精细，绩效目标不具体，未完全细化，分解工作任务不够具体，部分绩效指标不清晰</w:t>
      </w:r>
      <w:r>
        <w:rPr>
          <w:rFonts w:hint="eastAsia" w:ascii="仿宋_GB2312" w:hAnsi="仿宋_GB2312" w:cs="仿宋_GB2312"/>
          <w:sz w:val="28"/>
          <w:szCs w:val="28"/>
          <w:lang w:eastAsia="zh-CN"/>
        </w:rPr>
        <w:t>。</w:t>
      </w:r>
      <w:r>
        <w:rPr>
          <w:rFonts w:hint="eastAsia" w:ascii="仿宋_GB2312" w:hAnsi="仿宋_GB2312" w:cs="仿宋_GB2312"/>
          <w:sz w:val="28"/>
          <w:szCs w:val="28"/>
          <w:lang w:val="en-US" w:eastAsia="zh-CN"/>
        </w:rPr>
        <w:t>今后在设定预算指标时，要</w:t>
      </w:r>
      <w:r>
        <w:rPr>
          <w:rFonts w:hint="eastAsia"/>
          <w:sz w:val="28"/>
          <w:szCs w:val="22"/>
          <w:lang w:val="en-US" w:eastAsia="zh-CN"/>
        </w:rPr>
        <w:t>全面了解分析项目实际情况，对近三年的数据进行测算，更加严谨设置年度绩效指标。</w:t>
      </w:r>
    </w:p>
    <w:p w14:paraId="59055206">
      <w:pPr>
        <w:pageBreakBefore w:val="0"/>
        <w:kinsoku/>
        <w:wordWrap/>
        <w:overflowPunct/>
        <w:topLinePunct w:val="0"/>
        <w:autoSpaceDE/>
        <w:autoSpaceDN/>
        <w:bidi w:val="0"/>
        <w:adjustRightInd/>
        <w:snapToGrid/>
        <w:spacing w:line="540" w:lineRule="exact"/>
        <w:ind w:firstLine="600" w:firstLineChars="200"/>
        <w:textAlignment w:val="auto"/>
        <w:rPr>
          <w:rFonts w:ascii="黑体" w:hAnsi="黑体" w:eastAsia="黑体"/>
        </w:rPr>
      </w:pPr>
      <w:r>
        <w:rPr>
          <w:rFonts w:hint="eastAsia" w:ascii="黑体" w:hAnsi="黑体" w:eastAsia="黑体"/>
          <w:lang w:eastAsia="zh-CN"/>
        </w:rPr>
        <w:t>七</w:t>
      </w:r>
      <w:r>
        <w:rPr>
          <w:rFonts w:hint="eastAsia" w:ascii="黑体" w:hAnsi="黑体" w:eastAsia="黑体"/>
        </w:rPr>
        <w:t>、有关建议</w:t>
      </w:r>
    </w:p>
    <w:p w14:paraId="52BB2B62">
      <w:pPr>
        <w:pageBreakBefore w:val="0"/>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sz w:val="28"/>
          <w:szCs w:val="22"/>
        </w:rPr>
      </w:pPr>
      <w:r>
        <w:rPr>
          <w:rFonts w:hint="eastAsia" w:ascii="仿宋_GB2312" w:hAnsi="仿宋_GB2312" w:eastAsia="仿宋_GB2312" w:cs="仿宋_GB2312"/>
          <w:sz w:val="28"/>
          <w:szCs w:val="28"/>
        </w:rPr>
        <w:t>进一步加强对绩效管理工作的组织领导，提高对预算绩效管理工作重要性的认识，总结经验查找问题，抓紧研究制定更全面更完善的绩效评价管理办法。建立绩效工作考核制度，加大全局</w:t>
      </w:r>
      <w:r>
        <w:rPr>
          <w:rFonts w:hint="eastAsia" w:ascii="仿宋_GB2312" w:hAnsi="仿宋_GB2312" w:eastAsia="仿宋_GB2312" w:cs="仿宋_GB2312"/>
          <w:sz w:val="28"/>
          <w:szCs w:val="28"/>
          <w:lang w:val="en-US" w:eastAsia="zh-CN"/>
        </w:rPr>
        <w:t>人员</w:t>
      </w:r>
      <w:r>
        <w:rPr>
          <w:rFonts w:hint="eastAsia" w:ascii="仿宋_GB2312" w:hAnsi="仿宋_GB2312" w:eastAsia="仿宋_GB2312" w:cs="仿宋_GB2312"/>
          <w:sz w:val="28"/>
          <w:szCs w:val="28"/>
        </w:rPr>
        <w:t>全面实施预算绩效管理和绩效管理工作的学习力度，让“花钱必问效，无效必问责”的理念深入工作每个环节。</w:t>
      </w:r>
    </w:p>
    <w:p w14:paraId="0AB4A0DF">
      <w:pPr>
        <w:pageBreakBefore w:val="0"/>
        <w:kinsoku/>
        <w:wordWrap/>
        <w:overflowPunct/>
        <w:topLinePunct w:val="0"/>
        <w:autoSpaceDE/>
        <w:autoSpaceDN/>
        <w:bidi w:val="0"/>
        <w:adjustRightInd/>
        <w:snapToGrid/>
        <w:spacing w:line="540" w:lineRule="exact"/>
        <w:ind w:firstLine="600" w:firstLineChars="200"/>
        <w:textAlignment w:val="auto"/>
        <w:rPr>
          <w:rFonts w:hint="eastAsia" w:ascii="黑体" w:hAnsi="黑体" w:eastAsia="黑体"/>
        </w:rPr>
      </w:pPr>
      <w:r>
        <w:rPr>
          <w:rFonts w:hint="eastAsia" w:ascii="黑体" w:hAnsi="黑体" w:eastAsia="黑体"/>
          <w:lang w:eastAsia="zh-CN"/>
        </w:rPr>
        <w:t>八</w:t>
      </w:r>
      <w:r>
        <w:rPr>
          <w:rFonts w:hint="eastAsia" w:ascii="黑体" w:hAnsi="黑体" w:eastAsia="黑体"/>
        </w:rPr>
        <w:t>、其他需要说明的问题</w:t>
      </w:r>
    </w:p>
    <w:p w14:paraId="6AD54F8D">
      <w:pPr>
        <w:tabs>
          <w:tab w:val="left" w:pos="1133"/>
        </w:tabs>
        <w:bidi w:val="0"/>
        <w:ind w:firstLine="640" w:firstLineChars="200"/>
        <w:jc w:val="left"/>
        <w:rPr>
          <w:rFonts w:hint="eastAsia"/>
          <w:lang w:val="en-US" w:eastAsia="zh-CN"/>
        </w:rPr>
      </w:pPr>
      <w:r>
        <w:rPr>
          <w:rFonts w:hint="eastAsia" w:ascii="仿宋_GB2312" w:hAnsi="仿宋_GB2312" w:eastAsia="仿宋_GB2312" w:cs="仿宋_GB2312"/>
          <w:sz w:val="32"/>
          <w:szCs w:val="32"/>
          <w:lang w:eastAsia="zh-Hans"/>
        </w:rPr>
        <w:t>本项目无其他需说明的问题。</w:t>
      </w:r>
      <w:bookmarkStart w:id="0" w:name="_GoBack"/>
      <w:bookmarkEnd w:id="0"/>
    </w:p>
    <w:sectPr>
      <w:footerReference r:id="rId3" w:type="default"/>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33B7C51">
        <w:pPr>
          <w:pStyle w:val="5"/>
          <w:jc w:val="center"/>
        </w:pPr>
        <w:r>
          <w:fldChar w:fldCharType="begin"/>
        </w:r>
        <w:r>
          <w:instrText xml:space="preserve">PAGE   \* MERGEFORMAT</w:instrText>
        </w:r>
        <w:r>
          <w:fldChar w:fldCharType="separate"/>
        </w:r>
        <w:r>
          <w:rPr>
            <w:lang w:val="zh-CN"/>
          </w:rPr>
          <w:t>13</w:t>
        </w:r>
        <w:r>
          <w:fldChar w:fldCharType="end"/>
        </w:r>
      </w:p>
    </w:sdtContent>
  </w:sdt>
  <w:p w14:paraId="66C94FB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25E17C"/>
    <w:multiLevelType w:val="singleLevel"/>
    <w:tmpl w:val="FB25E17C"/>
    <w:lvl w:ilvl="0" w:tentative="0">
      <w:start w:val="1"/>
      <w:numFmt w:val="chineseCounting"/>
      <w:suff w:val="nothing"/>
      <w:lvlText w:val="%1、"/>
      <w:lvlJc w:val="left"/>
      <w:rPr>
        <w:rFonts w:hint="eastAsia"/>
      </w:r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3F7276A"/>
    <w:rsid w:val="060B6377"/>
    <w:rsid w:val="065E1B46"/>
    <w:rsid w:val="06FD4082"/>
    <w:rsid w:val="0DB7096A"/>
    <w:rsid w:val="11B37EB2"/>
    <w:rsid w:val="13CD0689"/>
    <w:rsid w:val="140E30E6"/>
    <w:rsid w:val="18022F0C"/>
    <w:rsid w:val="1A8D32D0"/>
    <w:rsid w:val="1D227436"/>
    <w:rsid w:val="1D7B00C3"/>
    <w:rsid w:val="1E0F2089"/>
    <w:rsid w:val="1F0B55D3"/>
    <w:rsid w:val="238D671E"/>
    <w:rsid w:val="2732413C"/>
    <w:rsid w:val="27501771"/>
    <w:rsid w:val="283D786D"/>
    <w:rsid w:val="2A805A61"/>
    <w:rsid w:val="2B42499D"/>
    <w:rsid w:val="2DE9470A"/>
    <w:rsid w:val="326B2321"/>
    <w:rsid w:val="3C977E32"/>
    <w:rsid w:val="426B2D9A"/>
    <w:rsid w:val="4545568D"/>
    <w:rsid w:val="45EC0627"/>
    <w:rsid w:val="48EA3D86"/>
    <w:rsid w:val="494A3279"/>
    <w:rsid w:val="4BB30D0B"/>
    <w:rsid w:val="4E185675"/>
    <w:rsid w:val="54056F81"/>
    <w:rsid w:val="54B84AF9"/>
    <w:rsid w:val="567C0CFB"/>
    <w:rsid w:val="5A405F71"/>
    <w:rsid w:val="5A514025"/>
    <w:rsid w:val="5B1B4806"/>
    <w:rsid w:val="5BAD138B"/>
    <w:rsid w:val="5BC87CF7"/>
    <w:rsid w:val="5C987A6F"/>
    <w:rsid w:val="5DB815F8"/>
    <w:rsid w:val="5E9B2925"/>
    <w:rsid w:val="61235DC5"/>
    <w:rsid w:val="630F445E"/>
    <w:rsid w:val="63576231"/>
    <w:rsid w:val="635F42D0"/>
    <w:rsid w:val="64C91C90"/>
    <w:rsid w:val="65997D3D"/>
    <w:rsid w:val="684E20C5"/>
    <w:rsid w:val="6E84551D"/>
    <w:rsid w:val="70AE27E3"/>
    <w:rsid w:val="73DE1FBD"/>
    <w:rsid w:val="79455C0B"/>
    <w:rsid w:val="7A570964"/>
    <w:rsid w:val="7C2A6806"/>
    <w:rsid w:val="7C904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annotation text"/>
    <w:basedOn w:val="1"/>
    <w:qFormat/>
    <w:uiPriority w:val="0"/>
    <w:pPr>
      <w:jc w:val="left"/>
    </w:pPr>
  </w:style>
  <w:style w:type="paragraph" w:styleId="4">
    <w:name w:val="Body Text Indent"/>
    <w:basedOn w:val="1"/>
    <w:autoRedefine/>
    <w:qFormat/>
    <w:uiPriority w:val="0"/>
    <w:pPr>
      <w:spacing w:after="120"/>
      <w:ind w:left="420" w:leftChars="200"/>
    </w:pPr>
    <w:rPr>
      <w:rFonts w:ascii="Calibri" w:hAnsi="Calibri"/>
    </w:r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footnote text"/>
    <w:basedOn w:val="1"/>
    <w:autoRedefine/>
    <w:unhideWhenUsed/>
    <w:qFormat/>
    <w:uiPriority w:val="99"/>
    <w:pPr>
      <w:snapToGrid w:val="0"/>
      <w:jc w:val="left"/>
    </w:pPr>
    <w:rPr>
      <w:sz w:val="18"/>
      <w:szCs w:val="18"/>
    </w:rPr>
  </w:style>
  <w:style w:type="paragraph" w:styleId="7">
    <w:name w:val="Body Text First Indent 2"/>
    <w:basedOn w:val="4"/>
    <w:autoRedefine/>
    <w:qFormat/>
    <w:uiPriority w:val="0"/>
    <w:pPr>
      <w:ind w:firstLine="420" w:firstLineChars="200"/>
    </w:pPr>
  </w:style>
  <w:style w:type="character" w:styleId="10">
    <w:name w:val="Strong"/>
    <w:basedOn w:val="9"/>
    <w:autoRedefine/>
    <w:qFormat/>
    <w:uiPriority w:val="0"/>
    <w:rPr>
      <w:b/>
      <w:bCs/>
    </w:rPr>
  </w:style>
  <w:style w:type="character" w:customStyle="1" w:styleId="11">
    <w:name w:val="fontstyle01"/>
    <w:autoRedefine/>
    <w:qFormat/>
    <w:uiPriority w:val="0"/>
    <w:rPr>
      <w:rFonts w:ascii="仿宋_GB2312" w:hAnsi="仿宋_GB2312" w:eastAsia="仿宋_GB2312" w:cs="仿宋_GB2312"/>
      <w:color w:val="000000"/>
      <w:sz w:val="32"/>
      <w:szCs w:val="32"/>
    </w:rPr>
  </w:style>
  <w:style w:type="paragraph" w:customStyle="1" w:styleId="12">
    <w:name w:val="List Paragraph"/>
    <w:basedOn w:val="1"/>
    <w:autoRedefine/>
    <w:qFormat/>
    <w:uiPriority w:val="0"/>
    <w:pPr>
      <w:ind w:firstLine="420" w:firstLineChars="200"/>
    </w:pPr>
  </w:style>
  <w:style w:type="paragraph" w:customStyle="1" w:styleId="13">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6430</Words>
  <Characters>6772</Characters>
  <Lines>0</Lines>
  <Paragraphs>0</Paragraphs>
  <TotalTime>0</TotalTime>
  <ScaleCrop>false</ScaleCrop>
  <LinksUpToDate>false</LinksUpToDate>
  <CharactersWithSpaces>6797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2024-03-04T11:32:00Z</cp:lastPrinted>
  <dcterms:modified xsi:type="dcterms:W3CDTF">2024-08-20T08:19:07Z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B1E9EC22E08346A1980E28C7EED9E6AD_13</vt:lpwstr>
  </property>
</Properties>
</file>