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DF2B3C">
      <w:pPr>
        <w:spacing w:line="540" w:lineRule="exact"/>
        <w:jc w:val="center"/>
        <w:rPr>
          <w:rFonts w:eastAsia="华文中宋"/>
          <w:b/>
          <w:kern w:val="0"/>
          <w:sz w:val="52"/>
          <w:szCs w:val="52"/>
        </w:rPr>
      </w:pPr>
    </w:p>
    <w:p w14:paraId="7971AD48">
      <w:pPr>
        <w:spacing w:line="540" w:lineRule="exact"/>
        <w:rPr>
          <w:rFonts w:eastAsia="华文中宋"/>
          <w:b/>
          <w:kern w:val="0"/>
          <w:sz w:val="52"/>
          <w:szCs w:val="52"/>
        </w:rPr>
      </w:pPr>
    </w:p>
    <w:p w14:paraId="04E45265">
      <w:pPr>
        <w:spacing w:line="540" w:lineRule="exact"/>
        <w:jc w:val="center"/>
        <w:rPr>
          <w:rFonts w:eastAsia="华文中宋"/>
          <w:b/>
          <w:kern w:val="0"/>
          <w:sz w:val="52"/>
          <w:szCs w:val="52"/>
        </w:rPr>
      </w:pPr>
    </w:p>
    <w:p w14:paraId="6607A400">
      <w:pPr>
        <w:spacing w:line="540" w:lineRule="exact"/>
        <w:jc w:val="center"/>
        <w:rPr>
          <w:rFonts w:eastAsia="华文中宋"/>
          <w:b/>
          <w:kern w:val="0"/>
          <w:sz w:val="52"/>
          <w:szCs w:val="52"/>
        </w:rPr>
      </w:pPr>
    </w:p>
    <w:p w14:paraId="4696821E">
      <w:pPr>
        <w:spacing w:line="540" w:lineRule="exact"/>
        <w:jc w:val="center"/>
        <w:rPr>
          <w:rFonts w:hint="eastAsia" w:eastAsia="方正小标宋_GBK"/>
          <w:kern w:val="0"/>
          <w:sz w:val="48"/>
          <w:szCs w:val="48"/>
        </w:rPr>
      </w:pPr>
      <w:r>
        <w:rPr>
          <w:rFonts w:hint="eastAsia" w:eastAsia="方正小标宋_GBK"/>
          <w:kern w:val="0"/>
          <w:sz w:val="48"/>
          <w:szCs w:val="48"/>
        </w:rPr>
        <w:t>巴州B级控制中心维修维护项目项目</w:t>
      </w:r>
    </w:p>
    <w:p w14:paraId="7245F965">
      <w:pPr>
        <w:spacing w:line="540" w:lineRule="exact"/>
        <w:jc w:val="center"/>
        <w:rPr>
          <w:rFonts w:eastAsia="方正小标宋_GBK"/>
          <w:kern w:val="0"/>
          <w:sz w:val="48"/>
          <w:szCs w:val="48"/>
        </w:rPr>
      </w:pPr>
      <w:r>
        <w:rPr>
          <w:rFonts w:hint="eastAsia" w:eastAsia="方正小标宋_GBK"/>
          <w:kern w:val="0"/>
          <w:sz w:val="48"/>
          <w:szCs w:val="48"/>
        </w:rPr>
        <w:t>支出绩效评价报告</w:t>
      </w:r>
    </w:p>
    <w:p w14:paraId="3FA3521E">
      <w:pPr>
        <w:spacing w:line="540" w:lineRule="exact"/>
        <w:jc w:val="center"/>
        <w:rPr>
          <w:rFonts w:eastAsia="华文中宋"/>
          <w:b/>
          <w:kern w:val="0"/>
          <w:sz w:val="52"/>
          <w:szCs w:val="52"/>
        </w:rPr>
      </w:pPr>
    </w:p>
    <w:p w14:paraId="2D61A3CB">
      <w:pPr>
        <w:spacing w:line="540" w:lineRule="exact"/>
        <w:jc w:val="center"/>
        <w:rPr>
          <w:rFonts w:eastAsia="仿宋_GB2312"/>
          <w:kern w:val="0"/>
          <w:sz w:val="36"/>
          <w:szCs w:val="36"/>
        </w:rPr>
      </w:pPr>
      <w:r>
        <w:rPr>
          <w:rFonts w:hint="eastAsia" w:eastAsia="仿宋_GB2312"/>
          <w:kern w:val="0"/>
          <w:sz w:val="36"/>
          <w:szCs w:val="36"/>
        </w:rPr>
        <w:t>（</w:t>
      </w:r>
      <w:r>
        <w:rPr>
          <w:rFonts w:eastAsia="仿宋_GB2312"/>
          <w:kern w:val="0"/>
          <w:sz w:val="36"/>
          <w:szCs w:val="36"/>
        </w:rPr>
        <w:t xml:space="preserve"> 2023</w:t>
      </w:r>
      <w:r>
        <w:rPr>
          <w:rFonts w:hint="eastAsia" w:eastAsia="仿宋_GB2312"/>
          <w:kern w:val="0"/>
          <w:sz w:val="36"/>
          <w:szCs w:val="36"/>
        </w:rPr>
        <w:t>年度）</w:t>
      </w:r>
    </w:p>
    <w:p w14:paraId="23364ED0">
      <w:pPr>
        <w:spacing w:line="540" w:lineRule="exact"/>
        <w:jc w:val="center"/>
        <w:rPr>
          <w:rFonts w:eastAsia="仿宋_GB2312"/>
          <w:kern w:val="0"/>
          <w:sz w:val="30"/>
          <w:szCs w:val="30"/>
        </w:rPr>
      </w:pPr>
    </w:p>
    <w:p w14:paraId="4BEDC155">
      <w:pPr>
        <w:spacing w:line="540" w:lineRule="exact"/>
        <w:jc w:val="center"/>
        <w:rPr>
          <w:rFonts w:eastAsia="仿宋_GB2312"/>
          <w:kern w:val="0"/>
          <w:sz w:val="30"/>
          <w:szCs w:val="30"/>
        </w:rPr>
      </w:pPr>
    </w:p>
    <w:p w14:paraId="63EAA071">
      <w:pPr>
        <w:spacing w:line="540" w:lineRule="exact"/>
        <w:jc w:val="center"/>
        <w:rPr>
          <w:rFonts w:eastAsia="仿宋_GB2312"/>
          <w:kern w:val="0"/>
          <w:sz w:val="30"/>
          <w:szCs w:val="30"/>
        </w:rPr>
      </w:pPr>
    </w:p>
    <w:p w14:paraId="3D7A8D4C">
      <w:pPr>
        <w:pStyle w:val="2"/>
      </w:pPr>
    </w:p>
    <w:p w14:paraId="06248273">
      <w:pPr>
        <w:spacing w:line="540" w:lineRule="exact"/>
        <w:jc w:val="center"/>
        <w:rPr>
          <w:rFonts w:eastAsia="仿宋_GB2312"/>
          <w:kern w:val="0"/>
          <w:sz w:val="30"/>
          <w:szCs w:val="30"/>
        </w:rPr>
      </w:pPr>
    </w:p>
    <w:p w14:paraId="1E8F54E2">
      <w:pPr>
        <w:spacing w:line="540" w:lineRule="exact"/>
        <w:rPr>
          <w:rFonts w:eastAsia="仿宋_GB2312"/>
          <w:kern w:val="0"/>
          <w:sz w:val="30"/>
          <w:szCs w:val="30"/>
        </w:rPr>
      </w:pPr>
    </w:p>
    <w:p w14:paraId="7F085CB9">
      <w:pPr>
        <w:spacing w:line="560" w:lineRule="exact"/>
        <w:ind w:firstLine="360" w:firstLineChars="100"/>
        <w:rPr>
          <w:rFonts w:eastAsia="仿宋_GB2312"/>
          <w:kern w:val="0"/>
          <w:sz w:val="36"/>
          <w:szCs w:val="36"/>
        </w:rPr>
      </w:pPr>
      <w:r>
        <w:rPr>
          <w:rFonts w:hint="eastAsia" w:eastAsia="仿宋_GB2312"/>
          <w:kern w:val="0"/>
          <w:sz w:val="36"/>
          <w:szCs w:val="36"/>
        </w:rPr>
        <w:t>项目名称：巴州</w:t>
      </w:r>
      <w:r>
        <w:rPr>
          <w:rFonts w:eastAsia="仿宋_GB2312"/>
          <w:kern w:val="0"/>
          <w:sz w:val="36"/>
          <w:szCs w:val="36"/>
        </w:rPr>
        <w:t>B</w:t>
      </w:r>
      <w:r>
        <w:rPr>
          <w:rFonts w:hint="eastAsia" w:eastAsia="仿宋_GB2312"/>
          <w:kern w:val="0"/>
          <w:sz w:val="36"/>
          <w:szCs w:val="36"/>
        </w:rPr>
        <w:t>级控制中心维修维护项目</w:t>
      </w:r>
    </w:p>
    <w:p w14:paraId="4232CAD0">
      <w:pPr>
        <w:spacing w:line="560" w:lineRule="exact"/>
        <w:ind w:left="361" w:leftChars="172"/>
        <w:rPr>
          <w:rFonts w:eastAsia="仿宋_GB2312"/>
          <w:kern w:val="0"/>
          <w:sz w:val="36"/>
          <w:szCs w:val="36"/>
        </w:rPr>
      </w:pPr>
      <w:r>
        <w:rPr>
          <w:rFonts w:hint="eastAsia" w:eastAsia="仿宋_GB2312"/>
          <w:kern w:val="0"/>
          <w:sz w:val="36"/>
          <w:szCs w:val="36"/>
        </w:rPr>
        <w:t>实施单位（公章）：</w:t>
      </w:r>
      <w:r>
        <w:rPr>
          <w:rFonts w:hint="eastAsia" w:eastAsia="仿宋_GB2312"/>
          <w:spacing w:val="-20"/>
          <w:kern w:val="0"/>
          <w:sz w:val="36"/>
          <w:szCs w:val="36"/>
        </w:rPr>
        <w:t>巴音郭楞蒙古自治州无线电管理局</w:t>
      </w:r>
      <w:r>
        <w:rPr>
          <w:rFonts w:hint="eastAsia" w:eastAsia="仿宋_GB2312"/>
          <w:kern w:val="0"/>
          <w:sz w:val="36"/>
          <w:szCs w:val="36"/>
        </w:rPr>
        <w:t>主管部门（公章）：自治区工业和信息化厅</w:t>
      </w:r>
    </w:p>
    <w:p w14:paraId="07F0F298">
      <w:pPr>
        <w:spacing w:line="700" w:lineRule="exact"/>
        <w:ind w:left="361" w:leftChars="172"/>
        <w:jc w:val="left"/>
        <w:rPr>
          <w:rFonts w:eastAsia="仿宋_GB2312"/>
          <w:kern w:val="0"/>
          <w:sz w:val="36"/>
          <w:szCs w:val="36"/>
        </w:rPr>
      </w:pPr>
      <w:r>
        <w:rPr>
          <w:rFonts w:hint="eastAsia" w:eastAsia="仿宋_GB2312"/>
          <w:kern w:val="0"/>
          <w:sz w:val="36"/>
          <w:szCs w:val="36"/>
        </w:rPr>
        <w:t>项目负责人（签章）：杨雄</w:t>
      </w:r>
    </w:p>
    <w:p w14:paraId="376DB001">
      <w:pPr>
        <w:spacing w:line="560" w:lineRule="exact"/>
        <w:ind w:firstLine="360" w:firstLineChars="100"/>
        <w:rPr>
          <w:rFonts w:eastAsia="仿宋_GB2312"/>
          <w:kern w:val="0"/>
          <w:sz w:val="36"/>
          <w:szCs w:val="36"/>
        </w:rPr>
      </w:pPr>
      <w:r>
        <w:rPr>
          <w:rFonts w:hint="eastAsia" w:eastAsia="仿宋_GB2312"/>
          <w:kern w:val="0"/>
          <w:sz w:val="36"/>
          <w:szCs w:val="36"/>
        </w:rPr>
        <w:t>填报时间：</w:t>
      </w:r>
      <w:r>
        <w:rPr>
          <w:rFonts w:eastAsia="仿宋_GB2312"/>
          <w:kern w:val="0"/>
          <w:sz w:val="36"/>
          <w:szCs w:val="36"/>
        </w:rPr>
        <w:t>2024</w:t>
      </w:r>
      <w:r>
        <w:rPr>
          <w:rFonts w:hint="eastAsia" w:eastAsia="仿宋_GB2312"/>
          <w:kern w:val="0"/>
          <w:sz w:val="36"/>
          <w:szCs w:val="36"/>
        </w:rPr>
        <w:t>年</w:t>
      </w:r>
      <w:r>
        <w:rPr>
          <w:rFonts w:eastAsia="仿宋_GB2312"/>
          <w:kern w:val="0"/>
          <w:sz w:val="36"/>
          <w:szCs w:val="36"/>
        </w:rPr>
        <w:t>4</w:t>
      </w:r>
      <w:r>
        <w:rPr>
          <w:rFonts w:hint="eastAsia" w:eastAsia="仿宋_GB2312"/>
          <w:kern w:val="0"/>
          <w:sz w:val="36"/>
          <w:szCs w:val="36"/>
        </w:rPr>
        <w:t>月</w:t>
      </w:r>
      <w:r>
        <w:rPr>
          <w:rFonts w:eastAsia="仿宋_GB2312"/>
          <w:kern w:val="0"/>
          <w:sz w:val="36"/>
          <w:szCs w:val="36"/>
        </w:rPr>
        <w:t>15</w:t>
      </w:r>
      <w:r>
        <w:rPr>
          <w:rFonts w:hint="eastAsia" w:eastAsia="仿宋_GB2312"/>
          <w:kern w:val="0"/>
          <w:sz w:val="36"/>
          <w:szCs w:val="36"/>
        </w:rPr>
        <w:t>日</w:t>
      </w:r>
    </w:p>
    <w:p w14:paraId="524FA61C">
      <w:pPr>
        <w:spacing w:line="700" w:lineRule="exact"/>
        <w:ind w:firstLine="360" w:firstLineChars="100"/>
        <w:jc w:val="left"/>
        <w:rPr>
          <w:rFonts w:eastAsia="仿宋_GB2312"/>
          <w:kern w:val="0"/>
          <w:sz w:val="36"/>
          <w:szCs w:val="36"/>
        </w:rPr>
      </w:pPr>
    </w:p>
    <w:p w14:paraId="24E9ED7A">
      <w:pPr>
        <w:spacing w:line="540" w:lineRule="exact"/>
        <w:jc w:val="center"/>
        <w:rPr>
          <w:rFonts w:eastAsia="仿宋_GB2312"/>
          <w:kern w:val="0"/>
          <w:sz w:val="30"/>
          <w:szCs w:val="30"/>
        </w:rPr>
      </w:pPr>
    </w:p>
    <w:p w14:paraId="412A8942">
      <w:pPr>
        <w:spacing w:line="540" w:lineRule="exact"/>
        <w:rPr>
          <w:rStyle w:val="15"/>
          <w:rFonts w:eastAsia="黑体"/>
          <w:b w:val="0"/>
          <w:spacing w:val="-4"/>
          <w:sz w:val="32"/>
          <w:szCs w:val="32"/>
        </w:rPr>
      </w:pPr>
    </w:p>
    <w:p w14:paraId="3DE362DF">
      <w:pPr>
        <w:spacing w:line="540" w:lineRule="exact"/>
        <w:ind w:firstLine="640"/>
        <w:rPr>
          <w:rStyle w:val="15"/>
          <w:rFonts w:eastAsia="黑体"/>
          <w:b w:val="0"/>
          <w:spacing w:val="-4"/>
          <w:sz w:val="32"/>
          <w:szCs w:val="32"/>
        </w:rPr>
      </w:pPr>
    </w:p>
    <w:p w14:paraId="082854E7">
      <w:pPr>
        <w:spacing w:line="540" w:lineRule="exact"/>
        <w:rPr>
          <w:rStyle w:val="15"/>
          <w:rFonts w:eastAsia="黑体"/>
          <w:b w:val="0"/>
          <w:spacing w:val="-4"/>
          <w:sz w:val="32"/>
          <w:szCs w:val="32"/>
        </w:rPr>
      </w:pPr>
    </w:p>
    <w:p w14:paraId="507E8874">
      <w:pPr>
        <w:spacing w:line="560" w:lineRule="exact"/>
        <w:ind w:firstLine="640" w:firstLineChars="200"/>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14:paraId="1BC93B02">
      <w:pPr>
        <w:spacing w:line="560" w:lineRule="exact"/>
        <w:ind w:firstLine="640" w:firstLineChars="200"/>
        <w:rPr>
          <w:rFonts w:eastAsia="黑体"/>
          <w:bCs/>
          <w:sz w:val="32"/>
          <w:szCs w:val="32"/>
        </w:rPr>
      </w:pPr>
      <w:r>
        <w:rPr>
          <w:rFonts w:hint="eastAsia" w:eastAsia="黑体"/>
          <w:bCs/>
          <w:sz w:val="32"/>
          <w:szCs w:val="32"/>
        </w:rPr>
        <w:t>一、基本情况</w:t>
      </w:r>
    </w:p>
    <w:p w14:paraId="3DC38999">
      <w:pPr>
        <w:spacing w:line="560" w:lineRule="exact"/>
        <w:ind w:firstLine="643" w:firstLineChars="200"/>
        <w:rPr>
          <w:rFonts w:eastAsia="楷体_GB2312"/>
          <w:b/>
          <w:bCs/>
          <w:sz w:val="32"/>
          <w:szCs w:val="32"/>
        </w:rPr>
      </w:pPr>
      <w:r>
        <w:rPr>
          <w:rFonts w:hint="eastAsia" w:eastAsia="楷体_GB2312"/>
          <w:b/>
          <w:bCs/>
          <w:sz w:val="32"/>
          <w:szCs w:val="32"/>
        </w:rPr>
        <w:t>（一）项目概况</w:t>
      </w:r>
    </w:p>
    <w:p w14:paraId="59452CB0">
      <w:pPr>
        <w:spacing w:line="560" w:lineRule="exact"/>
        <w:ind w:firstLine="643" w:firstLineChars="200"/>
        <w:rPr>
          <w:rFonts w:eastAsia="仿宋_GB2312"/>
          <w:b/>
          <w:bCs/>
          <w:sz w:val="32"/>
          <w:szCs w:val="32"/>
        </w:rPr>
      </w:pPr>
      <w:r>
        <w:rPr>
          <w:rFonts w:eastAsia="仿宋_GB2312"/>
          <w:b/>
          <w:bCs/>
          <w:sz w:val="32"/>
          <w:szCs w:val="32"/>
        </w:rPr>
        <w:t>1</w:t>
      </w:r>
      <w:r>
        <w:rPr>
          <w:rFonts w:hint="eastAsia" w:eastAsia="仿宋_GB2312"/>
          <w:b/>
          <w:bCs/>
          <w:sz w:val="32"/>
          <w:szCs w:val="32"/>
        </w:rPr>
        <w:t>、项目背景</w:t>
      </w:r>
    </w:p>
    <w:p w14:paraId="1EB05256">
      <w:pPr>
        <w:widowControl/>
        <w:spacing w:line="480" w:lineRule="exact"/>
        <w:ind w:firstLine="640" w:firstLineChars="200"/>
        <w:rPr>
          <w:rFonts w:eastAsia="仿宋_GB2312"/>
          <w:bCs/>
          <w:sz w:val="32"/>
          <w:szCs w:val="32"/>
        </w:rPr>
      </w:pPr>
      <w:r>
        <w:rPr>
          <w:rFonts w:hint="eastAsia" w:eastAsia="仿宋_GB2312"/>
          <w:bCs/>
          <w:sz w:val="32"/>
          <w:szCs w:val="32"/>
        </w:rPr>
        <w:t>为全面实施预算绩效管理，提高历年结转结余非财政资金的使用率，为无线电管理工作提供资金支持和保障，为当地维稳工作和无线电安全提供技术力量。</w:t>
      </w:r>
    </w:p>
    <w:p w14:paraId="6CC22135">
      <w:pPr>
        <w:pStyle w:val="2"/>
        <w:numPr>
          <w:ilvl w:val="0"/>
          <w:numId w:val="1"/>
        </w:numPr>
        <w:spacing w:before="0" w:after="0" w:line="560" w:lineRule="exact"/>
        <w:ind w:firstLine="643" w:firstLineChars="200"/>
        <w:jc w:val="both"/>
        <w:rPr>
          <w:rFonts w:ascii="Times New Roman" w:hAnsi="Times New Roman" w:eastAsia="仿宋_GB2312"/>
          <w:kern w:val="2"/>
        </w:rPr>
      </w:pPr>
      <w:r>
        <w:rPr>
          <w:rFonts w:hint="eastAsia" w:ascii="Times New Roman" w:hAnsi="Times New Roman" w:eastAsia="仿宋_GB2312"/>
          <w:kern w:val="2"/>
        </w:rPr>
        <w:t>项目主要内容：</w:t>
      </w:r>
    </w:p>
    <w:p w14:paraId="6FC3FCB0">
      <w:pPr>
        <w:spacing w:line="560" w:lineRule="exact"/>
        <w:ind w:firstLine="600" w:firstLineChars="200"/>
        <w:rPr>
          <w:rFonts w:eastAsia="仿宋_GB2312"/>
          <w:bCs/>
          <w:sz w:val="30"/>
          <w:szCs w:val="30"/>
        </w:rPr>
      </w:pPr>
      <w:r>
        <w:rPr>
          <w:rFonts w:hint="eastAsia" w:ascii="仿宋_GB2312" w:hAnsi="仿宋_GB2312" w:eastAsia="仿宋_GB2312" w:cs="仿宋_GB2312"/>
          <w:sz w:val="30"/>
          <w:szCs w:val="30"/>
        </w:rPr>
        <w:t>项目主要内容：</w:t>
      </w:r>
      <w:r>
        <w:rPr>
          <w:rFonts w:hint="eastAsia" w:eastAsia="仿宋_GB2312"/>
          <w:sz w:val="30"/>
          <w:szCs w:val="30"/>
        </w:rPr>
        <w:t>根据</w:t>
      </w:r>
      <w:r>
        <w:rPr>
          <w:rFonts w:eastAsia="仿宋_GB2312"/>
          <w:sz w:val="30"/>
          <w:szCs w:val="30"/>
        </w:rPr>
        <w:t>2023</w:t>
      </w:r>
      <w:r>
        <w:rPr>
          <w:rFonts w:hint="eastAsia" w:eastAsia="仿宋_GB2312"/>
          <w:sz w:val="30"/>
          <w:szCs w:val="30"/>
        </w:rPr>
        <w:t>年巴州无线电管理局工作总体要求，申报使用非财政拨款资金开展</w:t>
      </w:r>
      <w:r>
        <w:rPr>
          <w:rFonts w:eastAsia="仿宋_GB2312"/>
          <w:sz w:val="30"/>
          <w:szCs w:val="30"/>
        </w:rPr>
        <w:t>B</w:t>
      </w:r>
      <w:r>
        <w:rPr>
          <w:rFonts w:hint="eastAsia" w:eastAsia="仿宋_GB2312"/>
          <w:sz w:val="30"/>
          <w:szCs w:val="30"/>
        </w:rPr>
        <w:t>级控制中心维修维护项目，预算</w:t>
      </w:r>
      <w:r>
        <w:rPr>
          <w:rFonts w:eastAsia="仿宋_GB2312"/>
          <w:sz w:val="30"/>
          <w:szCs w:val="30"/>
        </w:rPr>
        <w:t>3.6</w:t>
      </w:r>
      <w:r>
        <w:rPr>
          <w:rFonts w:hint="eastAsia" w:eastAsia="仿宋_GB2312"/>
          <w:sz w:val="30"/>
          <w:szCs w:val="30"/>
        </w:rPr>
        <w:t>万元，主要用于对</w:t>
      </w:r>
      <w:r>
        <w:rPr>
          <w:rFonts w:eastAsia="仿宋_GB2312"/>
          <w:sz w:val="30"/>
          <w:szCs w:val="30"/>
        </w:rPr>
        <w:t>B</w:t>
      </w:r>
      <w:r>
        <w:rPr>
          <w:rFonts w:hint="eastAsia" w:eastAsia="仿宋_GB2312"/>
          <w:sz w:val="30"/>
          <w:szCs w:val="30"/>
        </w:rPr>
        <w:t>级控制中心基础设施如门窗、顶棚、墙面等老旧部位进行维修维护。</w:t>
      </w:r>
    </w:p>
    <w:p w14:paraId="2CBAB097">
      <w:pPr>
        <w:spacing w:line="560" w:lineRule="exact"/>
        <w:ind w:firstLine="640" w:firstLineChars="200"/>
        <w:rPr>
          <w:rFonts w:ascii="仿宋_GB2312" w:hAnsi="仿宋_GB2312" w:eastAsia="仿宋_GB2312" w:cs="仿宋_GB2312"/>
          <w:color w:val="FF0000"/>
          <w:sz w:val="30"/>
          <w:szCs w:val="30"/>
        </w:rPr>
      </w:pPr>
      <w:r>
        <w:rPr>
          <w:rFonts w:hint="eastAsia" w:eastAsia="仿宋_GB2312"/>
          <w:sz w:val="32"/>
          <w:szCs w:val="32"/>
        </w:rPr>
        <w:t>项目实施情况：项目目前已经完成实际维修设立的目标，项目在实施过程中严格按照维修目标设立的各阶段任务进行开展工作，在前期立项过程中严格把质量关，建立安全防护机制，保证项目实施各阶段安全顺利进行。</w:t>
      </w:r>
    </w:p>
    <w:p w14:paraId="263148D6">
      <w:pPr>
        <w:spacing w:line="560" w:lineRule="exact"/>
        <w:ind w:firstLine="643" w:firstLineChars="200"/>
        <w:rPr>
          <w:rFonts w:eastAsia="仿宋_GB2312"/>
          <w:b/>
          <w:bCs/>
          <w:sz w:val="32"/>
          <w:szCs w:val="32"/>
        </w:rPr>
      </w:pPr>
      <w:r>
        <w:rPr>
          <w:rFonts w:eastAsia="仿宋_GB2312"/>
          <w:b/>
          <w:bCs/>
          <w:sz w:val="32"/>
          <w:szCs w:val="32"/>
        </w:rPr>
        <w:t>3</w:t>
      </w:r>
      <w:r>
        <w:rPr>
          <w:rFonts w:hint="eastAsia" w:eastAsia="仿宋_GB2312"/>
          <w:b/>
          <w:bCs/>
          <w:sz w:val="32"/>
          <w:szCs w:val="32"/>
        </w:rPr>
        <w:t>、资金投入和使用情况</w:t>
      </w:r>
    </w:p>
    <w:p w14:paraId="1C5AED27">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）资金投入情况</w:t>
      </w:r>
    </w:p>
    <w:p w14:paraId="44F11FA3">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w:t>
      </w:r>
      <w:r>
        <w:rPr>
          <w:rFonts w:ascii="仿宋_GB2312" w:hAnsi="仿宋_GB2312" w:eastAsia="仿宋_GB2312" w:cs="仿宋_GB2312"/>
          <w:sz w:val="32"/>
          <w:szCs w:val="32"/>
        </w:rPr>
        <w:t>3.6</w:t>
      </w:r>
      <w:r>
        <w:rPr>
          <w:rFonts w:hint="eastAsia" w:ascii="仿宋_GB2312" w:hAnsi="仿宋_GB2312" w:eastAsia="仿宋_GB2312" w:cs="仿宋_GB2312"/>
          <w:sz w:val="32"/>
          <w:szCs w:val="32"/>
        </w:rPr>
        <w:t>万元，全年预算数</w:t>
      </w:r>
      <w:r>
        <w:rPr>
          <w:rFonts w:ascii="仿宋_GB2312" w:hAnsi="仿宋_GB2312" w:eastAsia="仿宋_GB2312" w:cs="仿宋_GB2312"/>
          <w:sz w:val="32"/>
          <w:szCs w:val="32"/>
        </w:rPr>
        <w:t>3.6</w:t>
      </w:r>
      <w:r>
        <w:rPr>
          <w:rFonts w:hint="eastAsia" w:ascii="仿宋_GB2312" w:hAnsi="仿宋_GB2312" w:eastAsia="仿宋_GB2312" w:cs="仿宋_GB2312"/>
          <w:sz w:val="32"/>
          <w:szCs w:val="32"/>
        </w:rPr>
        <w:t>万元，实际总投入</w:t>
      </w:r>
      <w:r>
        <w:rPr>
          <w:rFonts w:ascii="仿宋_GB2312" w:hAnsi="仿宋_GB2312" w:eastAsia="仿宋_GB2312" w:cs="仿宋_GB2312"/>
          <w:sz w:val="32"/>
          <w:szCs w:val="32"/>
        </w:rPr>
        <w:t>3.6</w:t>
      </w:r>
      <w:r>
        <w:rPr>
          <w:rFonts w:hint="eastAsia" w:ascii="仿宋_GB2312" w:hAnsi="仿宋_GB2312" w:eastAsia="仿宋_GB2312" w:cs="仿宋_GB2312"/>
          <w:sz w:val="32"/>
          <w:szCs w:val="32"/>
        </w:rPr>
        <w:t>万元，该项目资金已全部落实到位，资金来源为利息收入和历年事业基金。</w:t>
      </w:r>
    </w:p>
    <w:p w14:paraId="51D0F2A4">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）资金使用情况</w:t>
      </w:r>
    </w:p>
    <w:p w14:paraId="6891FAB5">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该项目年初预算数</w:t>
      </w:r>
      <w:r>
        <w:rPr>
          <w:rFonts w:ascii="仿宋_GB2312" w:hAnsi="仿宋_GB2312" w:eastAsia="仿宋_GB2312" w:cs="仿宋_GB2312"/>
          <w:sz w:val="32"/>
          <w:szCs w:val="32"/>
        </w:rPr>
        <w:t>3.6</w:t>
      </w:r>
      <w:r>
        <w:rPr>
          <w:rFonts w:hint="eastAsia" w:ascii="仿宋_GB2312" w:hAnsi="仿宋_GB2312" w:eastAsia="仿宋_GB2312" w:cs="仿宋_GB2312"/>
          <w:sz w:val="32"/>
          <w:szCs w:val="32"/>
        </w:rPr>
        <w:t>万元，全年预算数</w:t>
      </w:r>
      <w:r>
        <w:rPr>
          <w:rFonts w:ascii="仿宋_GB2312" w:hAnsi="仿宋_GB2312" w:eastAsia="仿宋_GB2312" w:cs="仿宋_GB2312"/>
          <w:sz w:val="32"/>
          <w:szCs w:val="32"/>
        </w:rPr>
        <w:t>3.6</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，全年执行数</w:t>
      </w:r>
      <w:r>
        <w:rPr>
          <w:rFonts w:ascii="仿宋_GB2312" w:hAnsi="仿宋_GB2312" w:eastAsia="仿宋_GB2312" w:cs="仿宋_GB2312"/>
          <w:sz w:val="32"/>
          <w:szCs w:val="32"/>
        </w:rPr>
        <w:t>3.6</w:t>
      </w:r>
      <w:r>
        <w:rPr>
          <w:rFonts w:hint="eastAsia" w:ascii="仿宋_GB2312" w:hAnsi="仿宋_GB2312" w:eastAsia="仿宋_GB2312" w:cs="仿宋_GB2312"/>
          <w:sz w:val="32"/>
          <w:szCs w:val="32"/>
        </w:rPr>
        <w:t>万元，预算执行率为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，主要用于</w:t>
      </w:r>
      <w:r>
        <w:rPr>
          <w:rFonts w:ascii="仿宋_GB2312" w:hAnsi="仿宋_GB2312" w:eastAsia="仿宋_GB2312" w:cs="仿宋_GB2312"/>
          <w:sz w:val="32"/>
          <w:szCs w:val="32"/>
        </w:rPr>
        <w:t>B</w:t>
      </w:r>
      <w:r>
        <w:rPr>
          <w:rFonts w:hint="eastAsia" w:ascii="仿宋_GB2312" w:hAnsi="仿宋_GB2312" w:eastAsia="仿宋_GB2312" w:cs="仿宋_GB2312"/>
          <w:sz w:val="32"/>
          <w:szCs w:val="32"/>
        </w:rPr>
        <w:t>级控制中心基础设施如老化的线路、锈蚀严重的自来水管、因漏水被多次浸泡的墙面与顶棚等老旧设施和部位的维修维护。</w:t>
      </w:r>
    </w:p>
    <w:p w14:paraId="099517CF">
      <w:pPr>
        <w:spacing w:line="560" w:lineRule="exact"/>
        <w:ind w:firstLine="643" w:firstLineChars="200"/>
        <w:rPr>
          <w:rFonts w:eastAsia="楷体_GB2312"/>
          <w:b/>
          <w:bCs/>
          <w:sz w:val="32"/>
          <w:szCs w:val="32"/>
        </w:rPr>
      </w:pPr>
      <w:r>
        <w:rPr>
          <w:rFonts w:hint="eastAsia" w:eastAsia="楷体_GB2312"/>
          <w:b/>
          <w:bCs/>
          <w:sz w:val="32"/>
          <w:szCs w:val="32"/>
        </w:rPr>
        <w:t>（二）项目绩效目标</w:t>
      </w:r>
    </w:p>
    <w:p w14:paraId="2247E2C9">
      <w:pPr>
        <w:spacing w:line="560" w:lineRule="exact"/>
        <w:ind w:firstLine="640" w:firstLineChars="200"/>
        <w:rPr>
          <w:rFonts w:eastAsia="仿宋_GB2312"/>
          <w:sz w:val="32"/>
          <w:szCs w:val="32"/>
        </w:rPr>
      </w:pPr>
      <w:r>
        <w:rPr>
          <w:rFonts w:eastAsia="仿宋_GB2312"/>
          <w:sz w:val="32"/>
          <w:szCs w:val="32"/>
        </w:rPr>
        <w:t>1</w:t>
      </w:r>
      <w:r>
        <w:rPr>
          <w:rFonts w:hint="eastAsia" w:eastAsia="仿宋_GB2312"/>
          <w:sz w:val="32"/>
          <w:szCs w:val="32"/>
        </w:rPr>
        <w:t>、总体目标</w:t>
      </w:r>
    </w:p>
    <w:p w14:paraId="7A949117">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为使得巴州</w:t>
      </w:r>
      <w:r>
        <w:rPr>
          <w:rFonts w:ascii="仿宋_GB2312" w:hAnsi="仿宋_GB2312" w:eastAsia="仿宋_GB2312" w:cs="仿宋_GB2312"/>
          <w:bCs/>
          <w:sz w:val="32"/>
          <w:szCs w:val="32"/>
        </w:rPr>
        <w:t>B</w:t>
      </w:r>
      <w:r>
        <w:rPr>
          <w:rFonts w:hint="eastAsia" w:ascii="仿宋_GB2312" w:hAnsi="仿宋_GB2312" w:eastAsia="仿宋_GB2312" w:cs="仿宋_GB2312"/>
          <w:bCs/>
          <w:sz w:val="32"/>
          <w:szCs w:val="32"/>
        </w:rPr>
        <w:t>级无线电控制中心更好发挥功能作用，更好服务于无线电监检测工作，需要对其基础设施如门窗、暖气管道、暖气包面、墙面等老旧部位进行维修维护，按需求对室内进行重新布局。</w:t>
      </w:r>
    </w:p>
    <w:p w14:paraId="1EB1D30C">
      <w:pPr>
        <w:spacing w:line="560" w:lineRule="exact"/>
        <w:ind w:firstLine="640" w:firstLineChars="200"/>
        <w:rPr>
          <w:rFonts w:ascii="仿宋_GB2312" w:hAnsi="仿宋_GB2312" w:eastAsia="仿宋_GB2312" w:cs="仿宋_GB2312"/>
          <w:bCs/>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、阶段性目标：</w:t>
      </w:r>
      <w:r>
        <w:rPr>
          <w:rFonts w:hint="eastAsia" w:ascii="仿宋_GB2312" w:hAnsi="仿宋_GB2312" w:eastAsia="仿宋_GB2312" w:cs="仿宋_GB2312"/>
          <w:bCs/>
          <w:sz w:val="32"/>
          <w:szCs w:val="32"/>
        </w:rPr>
        <w:t>完成基础设施如老化的线路、锈蚀严重的自来水管、因漏水被多次浸泡的墙面与顶棚等老旧设施和部位的维修维护。</w:t>
      </w:r>
    </w:p>
    <w:p w14:paraId="6C765B6B">
      <w:pPr>
        <w:spacing w:line="560" w:lineRule="exact"/>
        <w:ind w:firstLine="640" w:firstLineChars="200"/>
        <w:rPr>
          <w:rFonts w:eastAsia="黑体"/>
          <w:sz w:val="32"/>
          <w:szCs w:val="32"/>
        </w:rPr>
      </w:pPr>
      <w:r>
        <w:rPr>
          <w:rFonts w:hint="eastAsia" w:eastAsia="黑体"/>
          <w:sz w:val="32"/>
          <w:szCs w:val="32"/>
        </w:rPr>
        <w:t>二、绩效评价工作开展情况</w:t>
      </w:r>
    </w:p>
    <w:p w14:paraId="5D6C2FA9">
      <w:pPr>
        <w:spacing w:line="560" w:lineRule="exact"/>
        <w:ind w:firstLine="643" w:firstLineChars="200"/>
        <w:rPr>
          <w:rFonts w:eastAsia="楷体_GB2312"/>
          <w:b/>
          <w:bCs/>
          <w:sz w:val="32"/>
          <w:szCs w:val="32"/>
        </w:rPr>
      </w:pPr>
      <w:r>
        <w:rPr>
          <w:rFonts w:hint="eastAsia" w:eastAsia="楷体_GB2312"/>
          <w:b/>
          <w:bCs/>
          <w:sz w:val="32"/>
          <w:szCs w:val="32"/>
        </w:rPr>
        <w:t>（一）绩效评价目的、对象和范围</w:t>
      </w:r>
    </w:p>
    <w:p w14:paraId="573A57EE">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hint="eastAsia" w:ascii="Times New Roman" w:hAnsi="Times New Roman" w:eastAsia="仿宋_GB2312"/>
          <w:b w:val="0"/>
          <w:bCs w:val="0"/>
        </w:rPr>
        <w:t>、绩效评价的目的</w:t>
      </w:r>
    </w:p>
    <w:p w14:paraId="6F07F212">
      <w:pPr>
        <w:spacing w:line="560" w:lineRule="exact"/>
        <w:ind w:firstLine="640" w:firstLineChars="200"/>
        <w:rPr>
          <w:rFonts w:eastAsia="仿宋_GB2312"/>
          <w:sz w:val="32"/>
          <w:szCs w:val="32"/>
        </w:rPr>
      </w:pPr>
      <w:r>
        <w:rPr>
          <w:rFonts w:hint="eastAsia" w:eastAsia="仿宋_GB2312"/>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14:paraId="1610F39B">
      <w:pPr>
        <w:numPr>
          <w:ilvl w:val="0"/>
          <w:numId w:val="2"/>
        </w:numPr>
        <w:spacing w:line="560" w:lineRule="exact"/>
        <w:ind w:firstLine="640" w:firstLineChars="200"/>
        <w:rPr>
          <w:rFonts w:eastAsia="仿宋_GB2312"/>
          <w:sz w:val="32"/>
          <w:szCs w:val="32"/>
        </w:rPr>
      </w:pPr>
      <w:r>
        <w:rPr>
          <w:rFonts w:hint="eastAsia" w:eastAsia="仿宋_GB2312"/>
          <w:sz w:val="32"/>
          <w:szCs w:val="32"/>
        </w:rPr>
        <w:t>项目在实施前向项目负责人提供财政支出绩效方面的资金管理信息，促进项目支出严格按照资金管理规定进行。</w:t>
      </w:r>
    </w:p>
    <w:p w14:paraId="73F95566">
      <w:pPr>
        <w:spacing w:line="560" w:lineRule="exact"/>
        <w:ind w:firstLine="640" w:firstLineChars="200"/>
        <w:rPr>
          <w:rFonts w:eastAsia="仿宋_GB2312"/>
          <w:sz w:val="32"/>
          <w:szCs w:val="32"/>
        </w:rPr>
      </w:pPr>
      <w:r>
        <w:rPr>
          <w:rFonts w:hint="eastAsia" w:eastAsia="仿宋_GB2312"/>
          <w:sz w:val="32"/>
          <w:szCs w:val="32"/>
        </w:rPr>
        <w:t>（</w:t>
      </w:r>
      <w:r>
        <w:rPr>
          <w:rFonts w:eastAsia="仿宋_GB2312"/>
          <w:sz w:val="32"/>
          <w:szCs w:val="32"/>
        </w:rPr>
        <w:t>2</w:t>
      </w:r>
      <w:r>
        <w:rPr>
          <w:rFonts w:hint="eastAsia" w:eastAsia="仿宋_GB2312"/>
          <w:sz w:val="32"/>
          <w:szCs w:val="32"/>
        </w:rPr>
        <w:t>）项目绩效管理财政支出运行提供及时、有效的信息。</w:t>
      </w:r>
    </w:p>
    <w:p w14:paraId="151B354D">
      <w:pPr>
        <w:pStyle w:val="29"/>
        <w:spacing w:line="560" w:lineRule="exact"/>
        <w:ind w:firstLine="640" w:firstLineChars="200"/>
        <w:rPr>
          <w:rFonts w:eastAsia="方正仿宋_GBK" w:cs="方正仿宋_GBK"/>
          <w:sz w:val="32"/>
          <w:szCs w:val="32"/>
        </w:rPr>
      </w:pPr>
      <w:r>
        <w:rPr>
          <w:rFonts w:hint="eastAsia" w:eastAsia="仿宋_GB2312"/>
          <w:sz w:val="32"/>
          <w:szCs w:val="32"/>
        </w:rPr>
        <w:t>综合来看，通过开展有效的财政支出绩效评价管理，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14:paraId="5DE48248">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hint="eastAsia" w:ascii="Times New Roman" w:hAnsi="Times New Roman" w:eastAsia="仿宋_GB2312"/>
          <w:b w:val="0"/>
          <w:bCs w:val="0"/>
        </w:rPr>
        <w:t>、绩效评价的对象</w:t>
      </w:r>
    </w:p>
    <w:p w14:paraId="273FA9E0">
      <w:pPr>
        <w:spacing w:line="560" w:lineRule="exact"/>
        <w:ind w:firstLine="320" w:firstLineChars="100"/>
        <w:rPr>
          <w:rFonts w:eastAsia="仿宋_GB2312"/>
          <w:kern w:val="0"/>
          <w:sz w:val="36"/>
          <w:szCs w:val="36"/>
        </w:rPr>
      </w:pPr>
      <w:r>
        <w:rPr>
          <w:rFonts w:hint="eastAsia" w:ascii="仿宋_GB2312" w:hAnsi="仿宋_GB2312" w:eastAsia="仿宋_GB2312" w:cs="仿宋_GB2312"/>
          <w:sz w:val="32"/>
          <w:szCs w:val="32"/>
        </w:rPr>
        <w:t>巴州</w:t>
      </w:r>
      <w:r>
        <w:rPr>
          <w:rFonts w:ascii="仿宋_GB2312" w:hAnsi="仿宋_GB2312" w:eastAsia="仿宋_GB2312" w:cs="仿宋_GB2312"/>
          <w:sz w:val="32"/>
          <w:szCs w:val="32"/>
        </w:rPr>
        <w:t>B</w:t>
      </w:r>
      <w:r>
        <w:rPr>
          <w:rFonts w:hint="eastAsia" w:ascii="仿宋_GB2312" w:hAnsi="仿宋_GB2312" w:eastAsia="仿宋_GB2312" w:cs="仿宋_GB2312"/>
          <w:sz w:val="32"/>
          <w:szCs w:val="32"/>
        </w:rPr>
        <w:t>级控制中心维修维护项目所包含的全部项目内容。</w:t>
      </w:r>
    </w:p>
    <w:p w14:paraId="0FE31CCD">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hint="eastAsia" w:ascii="Times New Roman" w:hAnsi="Times New Roman" w:eastAsia="仿宋_GB2312"/>
          <w:b w:val="0"/>
          <w:bCs w:val="0"/>
        </w:rPr>
        <w:t>、绩效评价的范围</w:t>
      </w:r>
    </w:p>
    <w:p w14:paraId="445A393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本次评价从项目决策（包括绩效目标、决策过程）、项目管理（包括项目资金、项目实施）、项目产出（包括项目产出数量、产出质量、产出时效和产出成本）项目效益四个维度对巴州</w:t>
      </w:r>
      <w:r>
        <w:rPr>
          <w:rFonts w:ascii="仿宋_GB2312" w:hAnsi="仿宋_GB2312" w:eastAsia="仿宋_GB2312" w:cs="仿宋_GB2312"/>
          <w:sz w:val="32"/>
          <w:szCs w:val="32"/>
        </w:rPr>
        <w:t>B</w:t>
      </w:r>
      <w:r>
        <w:rPr>
          <w:rFonts w:hint="eastAsia" w:ascii="仿宋_GB2312" w:hAnsi="仿宋_GB2312" w:eastAsia="仿宋_GB2312" w:cs="仿宋_GB2312"/>
          <w:sz w:val="32"/>
          <w:szCs w:val="32"/>
        </w:rPr>
        <w:t>级控制中心维修维护进行评价，评价核心为专项资金的支出完成情况和效果。</w:t>
      </w:r>
    </w:p>
    <w:p w14:paraId="363B2BB0">
      <w:pPr>
        <w:spacing w:line="560" w:lineRule="exact"/>
        <w:ind w:firstLine="643" w:firstLineChars="200"/>
      </w:pPr>
      <w:r>
        <w:rPr>
          <w:rFonts w:hint="eastAsia" w:eastAsia="楷体_GB2312"/>
          <w:b/>
          <w:bCs/>
          <w:sz w:val="32"/>
          <w:szCs w:val="32"/>
        </w:rPr>
        <w:t>（二）绩效评价原则、评价指标体系（详情见表</w:t>
      </w:r>
      <w:r>
        <w:rPr>
          <w:rFonts w:eastAsia="楷体_GB2312"/>
          <w:b/>
          <w:bCs/>
          <w:sz w:val="32"/>
          <w:szCs w:val="32"/>
        </w:rPr>
        <w:t>1</w:t>
      </w:r>
      <w:r>
        <w:rPr>
          <w:rFonts w:hint="eastAsia" w:eastAsia="楷体_GB2312"/>
          <w:b/>
          <w:bCs/>
          <w:sz w:val="32"/>
          <w:szCs w:val="32"/>
        </w:rPr>
        <w:t>）、评价方法、评价标准。</w:t>
      </w:r>
    </w:p>
    <w:p w14:paraId="55D866C4">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w:t>
      </w:r>
      <w:r>
        <w:rPr>
          <w:rFonts w:hint="eastAsia" w:ascii="Times New Roman" w:hAnsi="Times New Roman" w:eastAsia="仿宋_GB2312"/>
          <w:b w:val="0"/>
          <w:bCs w:val="0"/>
        </w:rPr>
        <w:t>、绩效评价原则</w:t>
      </w:r>
    </w:p>
    <w:p w14:paraId="47C94CC0">
      <w:pPr>
        <w:spacing w:line="560" w:lineRule="exact"/>
        <w:ind w:firstLine="640" w:firstLineChars="200"/>
        <w:rPr>
          <w:rFonts w:eastAsia="仿宋_GB2312"/>
          <w:color w:val="000000"/>
          <w:sz w:val="32"/>
          <w:szCs w:val="32"/>
        </w:rPr>
      </w:pPr>
      <w:r>
        <w:rPr>
          <w:rFonts w:hint="eastAsia" w:eastAsia="仿宋_GB2312"/>
          <w:color w:val="000000"/>
          <w:sz w:val="32"/>
          <w:szCs w:val="32"/>
        </w:rPr>
        <w:t>本次项目绩效评价遵循以下基本原则：</w:t>
      </w:r>
    </w:p>
    <w:p w14:paraId="05D498E9">
      <w:pPr>
        <w:pStyle w:val="2"/>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w:t>
      </w:r>
      <w:r>
        <w:rPr>
          <w:rFonts w:ascii="Times New Roman" w:hAnsi="Times New Roman" w:eastAsia="仿宋_GB2312"/>
          <w:b w:val="0"/>
          <w:bCs w:val="0"/>
        </w:rPr>
        <w:t>1</w:t>
      </w:r>
      <w:r>
        <w:rPr>
          <w:rFonts w:hint="eastAsia" w:ascii="Times New Roman" w:hAnsi="Times New Roman" w:eastAsia="仿宋_GB2312"/>
          <w:b w:val="0"/>
          <w:bCs w:val="0"/>
        </w:rPr>
        <w:t>）科学公正。绩效评价应当运用科学合理的方法，按照规范的程序，对项目绩效进行客观、公正的反映。</w:t>
      </w:r>
    </w:p>
    <w:p w14:paraId="3CFAA57F">
      <w:pPr>
        <w:pStyle w:val="2"/>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w:t>
      </w:r>
      <w:r>
        <w:rPr>
          <w:rFonts w:ascii="Times New Roman" w:hAnsi="Times New Roman" w:eastAsia="仿宋_GB2312"/>
          <w:b w:val="0"/>
          <w:bCs w:val="0"/>
        </w:rPr>
        <w:t>2</w:t>
      </w:r>
      <w:r>
        <w:rPr>
          <w:rFonts w:hint="eastAsia" w:ascii="Times New Roman" w:hAnsi="Times New Roman" w:eastAsia="仿宋_GB2312"/>
          <w:b w:val="0"/>
          <w:bCs w:val="0"/>
        </w:rPr>
        <w:t>）统筹兼顾。单位自评、部门评价和财政评价应职责明确，各有侧重，相互衔接。单位自评应由项目单位自主实施，即</w:t>
      </w:r>
      <w:r>
        <w:rPr>
          <w:rFonts w:ascii="Times New Roman" w:hAnsi="Times New Roman" w:eastAsia="仿宋_GB2312"/>
          <w:b w:val="0"/>
          <w:bCs w:val="0"/>
        </w:rPr>
        <w:t>“</w:t>
      </w:r>
      <w:r>
        <w:rPr>
          <w:rFonts w:hint="eastAsia" w:ascii="Times New Roman" w:hAnsi="Times New Roman" w:eastAsia="仿宋_GB2312"/>
          <w:b w:val="0"/>
          <w:bCs w:val="0"/>
        </w:rPr>
        <w:t>谁支出、谁自评</w:t>
      </w:r>
      <w:r>
        <w:rPr>
          <w:rFonts w:ascii="Times New Roman" w:hAnsi="Times New Roman" w:eastAsia="仿宋_GB2312"/>
          <w:b w:val="0"/>
          <w:bCs w:val="0"/>
        </w:rPr>
        <w:t>”</w:t>
      </w:r>
      <w:r>
        <w:rPr>
          <w:rFonts w:hint="eastAsia" w:ascii="Times New Roman" w:hAnsi="Times New Roman" w:eastAsia="仿宋_GB2312"/>
          <w:b w:val="0"/>
          <w:bCs w:val="0"/>
        </w:rPr>
        <w:t>。部门评价和财政评价应在单位自评的基础上开展。</w:t>
      </w:r>
    </w:p>
    <w:p w14:paraId="42EA3E9D">
      <w:pPr>
        <w:pStyle w:val="2"/>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w:t>
      </w:r>
      <w:r>
        <w:rPr>
          <w:rFonts w:ascii="Times New Roman" w:hAnsi="Times New Roman" w:eastAsia="仿宋_GB2312"/>
          <w:b w:val="0"/>
          <w:bCs w:val="0"/>
        </w:rPr>
        <w:t>3</w:t>
      </w:r>
      <w:r>
        <w:rPr>
          <w:rFonts w:hint="eastAsia" w:ascii="Times New Roman" w:hAnsi="Times New Roman" w:eastAsia="仿宋_GB2312"/>
          <w:b w:val="0"/>
          <w:bCs w:val="0"/>
        </w:rPr>
        <w:t>）激励约束。绩效评价结果应与预算安排、政策调整、改进管理实质性挂钩，体现奖优罚劣和激励相容导向，有效要安排、低效要压减、无效要问责。</w:t>
      </w:r>
    </w:p>
    <w:p w14:paraId="08270734">
      <w:pPr>
        <w:pStyle w:val="2"/>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w:t>
      </w:r>
      <w:r>
        <w:rPr>
          <w:rFonts w:ascii="Times New Roman" w:hAnsi="Times New Roman" w:eastAsia="仿宋_GB2312"/>
          <w:b w:val="0"/>
          <w:bCs w:val="0"/>
        </w:rPr>
        <w:t>4</w:t>
      </w:r>
      <w:r>
        <w:rPr>
          <w:rFonts w:hint="eastAsia" w:ascii="Times New Roman" w:hAnsi="Times New Roman" w:eastAsia="仿宋_GB2312"/>
          <w:b w:val="0"/>
          <w:bCs w:val="0"/>
        </w:rPr>
        <w:t>）公开透明。绩效评价结果应依法依规公开，并自觉接受社会监督。</w:t>
      </w:r>
    </w:p>
    <w:p w14:paraId="186F283B">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w:t>
      </w:r>
      <w:r>
        <w:rPr>
          <w:rFonts w:hint="eastAsia" w:ascii="Times New Roman" w:hAnsi="Times New Roman" w:eastAsia="仿宋_GB2312"/>
          <w:b w:val="0"/>
          <w:bCs w:val="0"/>
        </w:rPr>
        <w:t>、评价指标体系</w:t>
      </w:r>
    </w:p>
    <w:p w14:paraId="10CFA1E7">
      <w:pPr>
        <w:spacing w:line="560" w:lineRule="exact"/>
        <w:ind w:firstLine="708" w:firstLineChars="200"/>
        <w:rPr>
          <w:color w:val="000000"/>
          <w:spacing w:val="17"/>
          <w:sz w:val="32"/>
          <w:szCs w:val="32"/>
        </w:rPr>
      </w:pPr>
      <w:r>
        <w:rPr>
          <w:rFonts w:hint="eastAsia"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5A58592B">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w:t>
      </w:r>
      <w:r>
        <w:rPr>
          <w:rFonts w:eastAsia="仿宋_GB2312"/>
          <w:color w:val="000000"/>
          <w:spacing w:val="17"/>
          <w:sz w:val="32"/>
          <w:szCs w:val="32"/>
        </w:rPr>
        <w:t>1</w:t>
      </w:r>
      <w:r>
        <w:rPr>
          <w:rFonts w:hint="eastAsia" w:eastAsia="仿宋_GB2312"/>
          <w:color w:val="000000"/>
          <w:spacing w:val="17"/>
          <w:sz w:val="32"/>
          <w:szCs w:val="32"/>
        </w:rPr>
        <w:t>）确定评价指标</w:t>
      </w:r>
    </w:p>
    <w:p w14:paraId="7EB1E76D">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2967AE6C">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w:t>
      </w:r>
      <w:r>
        <w:rPr>
          <w:rFonts w:eastAsia="仿宋_GB2312"/>
          <w:color w:val="000000"/>
          <w:spacing w:val="17"/>
          <w:sz w:val="32"/>
          <w:szCs w:val="32"/>
        </w:rPr>
        <w:t>2</w:t>
      </w:r>
      <w:r>
        <w:rPr>
          <w:rFonts w:hint="eastAsia" w:eastAsia="仿宋_GB2312"/>
          <w:color w:val="000000"/>
          <w:spacing w:val="17"/>
          <w:sz w:val="32"/>
          <w:szCs w:val="32"/>
        </w:rPr>
        <w:t>）确定权重</w:t>
      </w:r>
    </w:p>
    <w:p w14:paraId="1869D3D0">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确定各个指标相对于项目总体绩效的权重分值。在绩效评价指标体系中，项目决策权重为</w:t>
      </w:r>
      <w:r>
        <w:rPr>
          <w:rFonts w:eastAsia="仿宋_GB2312"/>
          <w:color w:val="000000"/>
          <w:spacing w:val="17"/>
          <w:sz w:val="32"/>
          <w:szCs w:val="32"/>
        </w:rPr>
        <w:t>20</w:t>
      </w:r>
      <w:r>
        <w:rPr>
          <w:rFonts w:hint="eastAsia" w:eastAsia="仿宋_GB2312"/>
          <w:color w:val="000000"/>
          <w:spacing w:val="17"/>
          <w:sz w:val="32"/>
          <w:szCs w:val="32"/>
        </w:rPr>
        <w:t>分，项目过程权重为</w:t>
      </w:r>
      <w:r>
        <w:rPr>
          <w:rFonts w:eastAsia="仿宋_GB2312"/>
          <w:color w:val="000000"/>
          <w:spacing w:val="17"/>
          <w:sz w:val="32"/>
          <w:szCs w:val="32"/>
        </w:rPr>
        <w:t>20</w:t>
      </w:r>
      <w:r>
        <w:rPr>
          <w:rFonts w:hint="eastAsia" w:eastAsia="仿宋_GB2312"/>
          <w:color w:val="000000"/>
          <w:spacing w:val="17"/>
          <w:sz w:val="32"/>
          <w:szCs w:val="32"/>
        </w:rPr>
        <w:t>分，项目产出权重为</w:t>
      </w:r>
      <w:r>
        <w:rPr>
          <w:rFonts w:eastAsia="仿宋_GB2312"/>
          <w:color w:val="000000"/>
          <w:spacing w:val="17"/>
          <w:sz w:val="32"/>
          <w:szCs w:val="32"/>
        </w:rPr>
        <w:t>40</w:t>
      </w:r>
      <w:r>
        <w:rPr>
          <w:rFonts w:hint="eastAsia" w:eastAsia="仿宋_GB2312"/>
          <w:color w:val="000000"/>
          <w:spacing w:val="17"/>
          <w:sz w:val="32"/>
          <w:szCs w:val="32"/>
        </w:rPr>
        <w:t>分，项目效益权重为</w:t>
      </w:r>
      <w:r>
        <w:rPr>
          <w:rFonts w:eastAsia="仿宋_GB2312"/>
          <w:color w:val="000000"/>
          <w:spacing w:val="17"/>
          <w:sz w:val="32"/>
          <w:szCs w:val="32"/>
        </w:rPr>
        <w:t>20</w:t>
      </w:r>
      <w:r>
        <w:rPr>
          <w:rFonts w:hint="eastAsia" w:eastAsia="仿宋_GB2312"/>
          <w:color w:val="000000"/>
          <w:spacing w:val="17"/>
          <w:sz w:val="32"/>
          <w:szCs w:val="32"/>
        </w:rPr>
        <w:t>分。</w:t>
      </w:r>
    </w:p>
    <w:p w14:paraId="5613A760">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w:t>
      </w:r>
      <w:r>
        <w:rPr>
          <w:rFonts w:eastAsia="仿宋_GB2312"/>
          <w:color w:val="000000"/>
          <w:spacing w:val="17"/>
          <w:sz w:val="32"/>
          <w:szCs w:val="32"/>
        </w:rPr>
        <w:t>3</w:t>
      </w:r>
      <w:r>
        <w:rPr>
          <w:rFonts w:hint="eastAsia" w:eastAsia="仿宋_GB2312"/>
          <w:color w:val="000000"/>
          <w:spacing w:val="17"/>
          <w:sz w:val="32"/>
          <w:szCs w:val="32"/>
        </w:rPr>
        <w:t>）确定指标标准值</w:t>
      </w:r>
    </w:p>
    <w:p w14:paraId="0EB558EA">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指标标准值是绩效评价指标的尺度，既要反映同类项目的先进水平，又要符合项目的实际绩效水平。具体采用计划标准等确定此次绩效评价指标标准值。</w:t>
      </w:r>
    </w:p>
    <w:p w14:paraId="3E3C104F">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hint="eastAsia" w:ascii="Times New Roman" w:hAnsi="Times New Roman" w:eastAsia="仿宋_GB2312"/>
          <w:b w:val="0"/>
          <w:bCs w:val="0"/>
          <w:color w:val="000000"/>
          <w:spacing w:val="17"/>
          <w:kern w:val="2"/>
        </w:rPr>
        <w:t>绩效评价总分值</w:t>
      </w:r>
      <w:r>
        <w:rPr>
          <w:rFonts w:ascii="Times New Roman" w:hAnsi="Times New Roman" w:eastAsia="仿宋_GB2312"/>
          <w:b w:val="0"/>
          <w:bCs w:val="0"/>
          <w:color w:val="000000"/>
          <w:spacing w:val="17"/>
          <w:kern w:val="2"/>
        </w:rPr>
        <w:t>100</w:t>
      </w:r>
      <w:r>
        <w:rPr>
          <w:rFonts w:hint="eastAsia" w:ascii="Times New Roman" w:hAnsi="Times New Roman" w:eastAsia="仿宋_GB2312"/>
          <w:b w:val="0"/>
          <w:bCs w:val="0"/>
          <w:color w:val="000000"/>
          <w:spacing w:val="17"/>
          <w:kern w:val="2"/>
        </w:rPr>
        <w:t>分，根据综合评分结果，评价计分</w:t>
      </w:r>
      <w:r>
        <w:rPr>
          <w:rFonts w:ascii="Times New Roman" w:hAnsi="Times New Roman" w:eastAsia="仿宋_GB2312"/>
          <w:b w:val="0"/>
          <w:bCs w:val="0"/>
          <w:color w:val="000000"/>
          <w:spacing w:val="17"/>
          <w:kern w:val="2"/>
        </w:rPr>
        <w:t>90</w:t>
      </w:r>
      <w:r>
        <w:rPr>
          <w:rFonts w:hint="eastAsia" w:ascii="Times New Roman" w:hAnsi="Times New Roman" w:eastAsia="仿宋_GB2312"/>
          <w:b w:val="0"/>
          <w:bCs w:val="0"/>
          <w:color w:val="000000"/>
          <w:spacing w:val="17"/>
          <w:kern w:val="2"/>
        </w:rPr>
        <w:t>分</w:t>
      </w:r>
      <w:r>
        <w:rPr>
          <w:rFonts w:ascii="Times New Roman" w:hAnsi="Times New Roman" w:eastAsia="仿宋_GB2312"/>
          <w:b w:val="0"/>
          <w:bCs w:val="0"/>
          <w:color w:val="000000"/>
          <w:spacing w:val="17"/>
          <w:kern w:val="2"/>
        </w:rPr>
        <w:t>-100</w:t>
      </w:r>
      <w:r>
        <w:rPr>
          <w:rFonts w:hint="eastAsia" w:ascii="Times New Roman" w:hAnsi="Times New Roman" w:eastAsia="仿宋_GB2312"/>
          <w:b w:val="0"/>
          <w:bCs w:val="0"/>
          <w:color w:val="000000"/>
          <w:spacing w:val="17"/>
          <w:kern w:val="2"/>
        </w:rPr>
        <w:t>分（含</w:t>
      </w:r>
      <w:r>
        <w:rPr>
          <w:rFonts w:ascii="Times New Roman" w:hAnsi="Times New Roman" w:eastAsia="仿宋_GB2312"/>
          <w:b w:val="0"/>
          <w:bCs w:val="0"/>
          <w:color w:val="000000"/>
          <w:spacing w:val="17"/>
          <w:kern w:val="2"/>
        </w:rPr>
        <w:t>90</w:t>
      </w:r>
      <w:r>
        <w:rPr>
          <w:rFonts w:hint="eastAsia" w:ascii="Times New Roman" w:hAnsi="Times New Roman" w:eastAsia="仿宋_GB2312"/>
          <w:b w:val="0"/>
          <w:bCs w:val="0"/>
          <w:color w:val="000000"/>
          <w:spacing w:val="17"/>
          <w:kern w:val="2"/>
        </w:rPr>
        <w:t>分）对应的评分结果级别为优，</w:t>
      </w:r>
      <w:r>
        <w:rPr>
          <w:rFonts w:ascii="Times New Roman" w:hAnsi="Times New Roman" w:eastAsia="仿宋_GB2312"/>
          <w:b w:val="0"/>
          <w:bCs w:val="0"/>
          <w:color w:val="000000"/>
          <w:spacing w:val="17"/>
          <w:kern w:val="2"/>
        </w:rPr>
        <w:t>80-90</w:t>
      </w:r>
      <w:r>
        <w:rPr>
          <w:rFonts w:hint="eastAsia" w:ascii="Times New Roman" w:hAnsi="Times New Roman" w:eastAsia="仿宋_GB2312"/>
          <w:b w:val="0"/>
          <w:bCs w:val="0"/>
          <w:color w:val="000000"/>
          <w:spacing w:val="17"/>
          <w:kern w:val="2"/>
        </w:rPr>
        <w:t>分（含</w:t>
      </w:r>
      <w:r>
        <w:rPr>
          <w:rFonts w:ascii="Times New Roman" w:hAnsi="Times New Roman" w:eastAsia="仿宋_GB2312"/>
          <w:b w:val="0"/>
          <w:bCs w:val="0"/>
          <w:color w:val="000000"/>
          <w:spacing w:val="17"/>
          <w:kern w:val="2"/>
        </w:rPr>
        <w:t>80</w:t>
      </w:r>
      <w:r>
        <w:rPr>
          <w:rFonts w:hint="eastAsia" w:ascii="Times New Roman" w:hAnsi="Times New Roman" w:eastAsia="仿宋_GB2312"/>
          <w:b w:val="0"/>
          <w:bCs w:val="0"/>
          <w:color w:val="000000"/>
          <w:spacing w:val="17"/>
          <w:kern w:val="2"/>
        </w:rPr>
        <w:t>分）对应的评分结果级别为良，</w:t>
      </w:r>
      <w:r>
        <w:rPr>
          <w:rFonts w:ascii="Times New Roman" w:hAnsi="Times New Roman" w:eastAsia="仿宋_GB2312"/>
          <w:b w:val="0"/>
          <w:bCs w:val="0"/>
          <w:color w:val="000000"/>
          <w:spacing w:val="17"/>
          <w:kern w:val="2"/>
        </w:rPr>
        <w:t>60-80</w:t>
      </w:r>
      <w:r>
        <w:rPr>
          <w:rFonts w:hint="eastAsia" w:ascii="Times New Roman" w:hAnsi="Times New Roman" w:eastAsia="仿宋_GB2312"/>
          <w:b w:val="0"/>
          <w:bCs w:val="0"/>
          <w:color w:val="000000"/>
          <w:spacing w:val="17"/>
          <w:kern w:val="2"/>
        </w:rPr>
        <w:t>分（含</w:t>
      </w:r>
      <w:r>
        <w:rPr>
          <w:rFonts w:ascii="Times New Roman" w:hAnsi="Times New Roman" w:eastAsia="仿宋_GB2312"/>
          <w:b w:val="0"/>
          <w:bCs w:val="0"/>
          <w:color w:val="000000"/>
          <w:spacing w:val="17"/>
          <w:kern w:val="2"/>
        </w:rPr>
        <w:t>60</w:t>
      </w:r>
      <w:r>
        <w:rPr>
          <w:rFonts w:hint="eastAsia" w:ascii="Times New Roman" w:hAnsi="Times New Roman" w:eastAsia="仿宋_GB2312"/>
          <w:b w:val="0"/>
          <w:bCs w:val="0"/>
          <w:color w:val="000000"/>
          <w:spacing w:val="17"/>
          <w:kern w:val="2"/>
        </w:rPr>
        <w:t>分）对应的评分结果级别为中，</w:t>
      </w:r>
      <w:r>
        <w:rPr>
          <w:rFonts w:ascii="Times New Roman" w:hAnsi="Times New Roman" w:eastAsia="仿宋_GB2312"/>
          <w:b w:val="0"/>
          <w:bCs w:val="0"/>
          <w:color w:val="000000"/>
          <w:spacing w:val="17"/>
          <w:kern w:val="2"/>
        </w:rPr>
        <w:t>60</w:t>
      </w:r>
      <w:r>
        <w:rPr>
          <w:rFonts w:hint="eastAsia" w:ascii="Times New Roman" w:hAnsi="Times New Roman" w:eastAsia="仿宋_GB2312"/>
          <w:b w:val="0"/>
          <w:bCs w:val="0"/>
          <w:color w:val="000000"/>
          <w:spacing w:val="17"/>
          <w:kern w:val="2"/>
        </w:rPr>
        <w:t>分以下对应的评分结果级别为差。</w:t>
      </w:r>
    </w:p>
    <w:p w14:paraId="5DDC83A4">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hint="eastAsia" w:ascii="Times New Roman" w:hAnsi="Times New Roman" w:eastAsia="仿宋_GB2312"/>
          <w:b w:val="0"/>
          <w:bCs w:val="0"/>
          <w:color w:val="000000"/>
          <w:spacing w:val="17"/>
        </w:rPr>
        <w:t>具体评价指标体系详情见附件</w:t>
      </w:r>
      <w:r>
        <w:rPr>
          <w:rFonts w:ascii="Times New Roman" w:hAnsi="Times New Roman" w:eastAsia="仿宋_GB2312"/>
          <w:b w:val="0"/>
          <w:bCs w:val="0"/>
          <w:color w:val="000000"/>
          <w:spacing w:val="17"/>
        </w:rPr>
        <w:t>1</w:t>
      </w:r>
    </w:p>
    <w:p w14:paraId="01636D52">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w:t>
      </w:r>
      <w:r>
        <w:rPr>
          <w:rFonts w:hint="eastAsia" w:ascii="Times New Roman" w:hAnsi="Times New Roman" w:eastAsia="仿宋_GB2312"/>
          <w:b w:val="0"/>
          <w:bCs w:val="0"/>
        </w:rPr>
        <w:t>、绩效评价方法</w:t>
      </w:r>
    </w:p>
    <w:p w14:paraId="60CD5806">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绩效评价从项目决策、项目过程、项目产出、项目效益四个维度进行评价。评价对象为项目目标实施情况，</w:t>
      </w:r>
      <w:r>
        <w:rPr>
          <w:rFonts w:eastAsia="仿宋_GB2312"/>
          <w:color w:val="000000"/>
          <w:spacing w:val="17"/>
          <w:sz w:val="32"/>
          <w:szCs w:val="32"/>
        </w:rPr>
        <w:t xml:space="preserve">  </w:t>
      </w:r>
      <w:r>
        <w:rPr>
          <w:rFonts w:hint="eastAsia" w:eastAsia="仿宋_GB2312"/>
          <w:color w:val="000000"/>
          <w:spacing w:val="17"/>
          <w:sz w:val="32"/>
          <w:szCs w:val="32"/>
        </w:rPr>
        <w:t>评价核心为资金的支出完成情况和项目的产出效益。</w:t>
      </w:r>
    </w:p>
    <w:p w14:paraId="51CDF675">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2CE37A2B">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因素分析法，通过综合分析影响绩效目标实现、实施效果的内外因素，评价绩效目标实现程度。通过对</w:t>
      </w:r>
      <w:r>
        <w:rPr>
          <w:rFonts w:hint="eastAsia" w:eastAsia="仿宋_GB2312"/>
          <w:sz w:val="32"/>
          <w:szCs w:val="32"/>
        </w:rPr>
        <w:t>项目</w:t>
      </w:r>
      <w:r>
        <w:rPr>
          <w:rFonts w:hint="eastAsia" w:eastAsia="仿宋_GB2312"/>
          <w:color w:val="000000"/>
          <w:spacing w:val="17"/>
          <w:sz w:val="32"/>
          <w:szCs w:val="32"/>
        </w:rPr>
        <w:t>的开展情况、项目产出数量、成本控制、资金拨付文件及自评报告等相关资料的收集和审核，综合分析各因素对绩效目标实现的影响。</w:t>
      </w:r>
    </w:p>
    <w:p w14:paraId="54A4EFB2">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w:t>
      </w:r>
      <w:r>
        <w:rPr>
          <w:rFonts w:hint="eastAsia" w:ascii="Times New Roman" w:hAnsi="Times New Roman" w:eastAsia="仿宋_GB2312"/>
          <w:b w:val="0"/>
          <w:bCs w:val="0"/>
        </w:rPr>
        <w:t>、评价标准</w:t>
      </w:r>
    </w:p>
    <w:p w14:paraId="3BAFAC22">
      <w:pPr>
        <w:spacing w:line="560" w:lineRule="exact"/>
        <w:ind w:firstLine="640"/>
        <w:rPr>
          <w:rFonts w:hint="eastAsia" w:ascii="仿宋_GB2312" w:hAnsi="仿宋_GB2312" w:eastAsia="仿宋_GB2312" w:cs="仿宋_GB2312"/>
          <w:color w:val="FF0000"/>
          <w:sz w:val="32"/>
          <w:szCs w:val="32"/>
        </w:rPr>
      </w:pPr>
      <w:r>
        <w:rPr>
          <w:rFonts w:hint="eastAsia" w:ascii="仿宋_GB2312" w:hAnsi="仿宋_GB2312" w:eastAsia="仿宋_GB2312" w:cs="仿宋_GB2312"/>
          <w:sz w:val="32"/>
          <w:szCs w:val="32"/>
        </w:rPr>
        <w:t>绩效评价标准通常包括计划标准、行业标准、历史标准等，用于对绩效指标完成情况进行比较、分析、评价。本次评价主要采用了计划标准。</w:t>
      </w:r>
    </w:p>
    <w:p w14:paraId="1D76D433">
      <w:pPr>
        <w:spacing w:line="560" w:lineRule="exact"/>
        <w:ind w:firstLine="640"/>
        <w:rPr>
          <w:rFonts w:hint="eastAsia" w:ascii="仿宋_GB2312" w:hAnsi="仿宋_GB2312" w:eastAsia="仿宋_GB2312" w:cs="仿宋_GB2312"/>
          <w:sz w:val="32"/>
          <w:szCs w:val="32"/>
        </w:rPr>
      </w:pPr>
      <w:bookmarkStart w:id="0" w:name="_Toc31464"/>
      <w:bookmarkStart w:id="1" w:name="_Toc17882"/>
      <w:r>
        <w:rPr>
          <w:rFonts w:hint="eastAsia" w:ascii="仿宋_GB2312" w:hAnsi="仿宋_GB2312" w:eastAsia="仿宋_GB2312" w:cs="仿宋_GB2312"/>
          <w:b/>
          <w:bCs/>
          <w:sz w:val="32"/>
          <w:szCs w:val="32"/>
        </w:rPr>
        <w:t>计划标准：</w:t>
      </w:r>
      <w:r>
        <w:rPr>
          <w:rFonts w:hint="eastAsia" w:ascii="仿宋_GB2312" w:hAnsi="仿宋_GB2312" w:eastAsia="仿宋_GB2312" w:cs="仿宋_GB2312"/>
          <w:sz w:val="32"/>
          <w:szCs w:val="32"/>
        </w:rPr>
        <w:t>指以预先制定的目标、计划、预算、定额等作为评价标准。</w:t>
      </w:r>
      <w:bookmarkEnd w:id="0"/>
      <w:bookmarkEnd w:id="1"/>
    </w:p>
    <w:p w14:paraId="61909205">
      <w:pPr>
        <w:spacing w:line="560" w:lineRule="exact"/>
        <w:ind w:firstLine="640"/>
        <w:rPr>
          <w:rFonts w:hint="eastAsia" w:ascii="仿宋_GB2312" w:hAnsi="仿宋_GB2312" w:eastAsia="仿宋_GB2312" w:cs="仿宋_GB2312"/>
          <w:sz w:val="32"/>
          <w:szCs w:val="32"/>
        </w:rPr>
      </w:pPr>
      <w:bookmarkStart w:id="2" w:name="_Toc2318"/>
      <w:bookmarkStart w:id="3" w:name="_Toc5633"/>
      <w:r>
        <w:rPr>
          <w:rFonts w:hint="eastAsia" w:ascii="仿宋_GB2312" w:hAnsi="仿宋_GB2312" w:eastAsia="仿宋_GB2312" w:cs="仿宋_GB2312"/>
          <w:b/>
          <w:bCs/>
          <w:sz w:val="32"/>
          <w:szCs w:val="32"/>
        </w:rPr>
        <w:t>行业标准：</w:t>
      </w:r>
      <w:r>
        <w:rPr>
          <w:rFonts w:hint="eastAsia" w:ascii="仿宋_GB2312" w:hAnsi="仿宋_GB2312" w:eastAsia="仿宋_GB2312" w:cs="仿宋_GB2312"/>
          <w:sz w:val="32"/>
          <w:szCs w:val="32"/>
        </w:rPr>
        <w:t>指参照国家公布的行业指标数据制定的评价标准。</w:t>
      </w:r>
      <w:bookmarkEnd w:id="2"/>
      <w:bookmarkEnd w:id="3"/>
    </w:p>
    <w:p w14:paraId="004FEC59">
      <w:pPr>
        <w:spacing w:line="560" w:lineRule="exact"/>
        <w:ind w:firstLine="640"/>
        <w:rPr>
          <w:rFonts w:hint="eastAsia" w:ascii="仿宋_GB2312" w:hAnsi="仿宋_GB2312" w:eastAsia="仿宋_GB2312" w:cs="仿宋_GB2312"/>
          <w:sz w:val="32"/>
          <w:szCs w:val="32"/>
        </w:rPr>
      </w:pPr>
      <w:bookmarkStart w:id="4" w:name="_Toc16028"/>
      <w:bookmarkStart w:id="5" w:name="_Toc430"/>
      <w:r>
        <w:rPr>
          <w:rFonts w:hint="eastAsia" w:ascii="仿宋_GB2312" w:hAnsi="仿宋_GB2312" w:eastAsia="仿宋_GB2312" w:cs="仿宋_GB2312"/>
          <w:b/>
          <w:bCs/>
          <w:sz w:val="32"/>
          <w:szCs w:val="32"/>
        </w:rPr>
        <w:t>历史标准：</w:t>
      </w:r>
      <w:r>
        <w:rPr>
          <w:rFonts w:hint="eastAsia" w:ascii="仿宋_GB2312" w:hAnsi="仿宋_GB2312" w:eastAsia="仿宋_GB2312" w:cs="仿宋_GB2312"/>
          <w:sz w:val="32"/>
          <w:szCs w:val="32"/>
        </w:rPr>
        <w:t>指参照历史数据制定的评价标准，为体现绩效改进的原则，在可实现的条件下应当确定相对较高的评价标准。</w:t>
      </w:r>
      <w:bookmarkEnd w:id="4"/>
      <w:bookmarkEnd w:id="5"/>
    </w:p>
    <w:p w14:paraId="70DA9249">
      <w:pPr>
        <w:pStyle w:val="2"/>
        <w:numPr>
          <w:ilvl w:val="0"/>
          <w:numId w:val="3"/>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40E7E47E">
      <w:pPr>
        <w:spacing w:line="560" w:lineRule="exact"/>
        <w:ind w:firstLine="640" w:firstLineChars="200"/>
        <w:rPr>
          <w:rFonts w:eastAsia="仿宋_GB2312"/>
          <w:bCs/>
          <w:sz w:val="32"/>
          <w:szCs w:val="32"/>
        </w:rPr>
      </w:pPr>
      <w:r>
        <w:rPr>
          <w:rFonts w:eastAsia="仿宋_GB2312"/>
          <w:bCs/>
          <w:sz w:val="32"/>
          <w:szCs w:val="32"/>
        </w:rPr>
        <w:t>1.</w:t>
      </w:r>
      <w:r>
        <w:rPr>
          <w:rFonts w:hint="eastAsia" w:eastAsia="仿宋_GB2312"/>
          <w:bCs/>
          <w:sz w:val="32"/>
          <w:szCs w:val="32"/>
        </w:rPr>
        <w:t>前期准备。首先成立评价工作组，开展前期调研；其次明确项目绩效目标，设计绩效评价指标体系并确定绩效评价方法；接着确定现场和非现场评价范围，设计资料清单；最后制定评价实施方案并进行论证。</w:t>
      </w:r>
    </w:p>
    <w:p w14:paraId="09CD76ED">
      <w:pPr>
        <w:spacing w:line="560" w:lineRule="exact"/>
        <w:ind w:firstLine="640" w:firstLineChars="200"/>
        <w:rPr>
          <w:rFonts w:eastAsia="仿宋_GB2312"/>
          <w:bCs/>
          <w:sz w:val="32"/>
          <w:szCs w:val="32"/>
        </w:rPr>
      </w:pPr>
      <w:r>
        <w:rPr>
          <w:rFonts w:eastAsia="仿宋_GB2312"/>
          <w:bCs/>
          <w:sz w:val="32"/>
          <w:szCs w:val="32"/>
        </w:rPr>
        <w:t>2.</w:t>
      </w:r>
      <w:r>
        <w:rPr>
          <w:rFonts w:hint="eastAsia" w:eastAsia="仿宋_GB2312"/>
          <w:bCs/>
          <w:sz w:val="32"/>
          <w:szCs w:val="32"/>
        </w:rPr>
        <w:t>组织实施。制定绩效评价工作方案，具体包括项目概况、评价思路、方法手段、组织实施、进度安排等。收集项目立项依据、相关会议纪要、实施方案、财政资金分配方案、支付管理情况等相关评价资料并进行梳理。</w:t>
      </w:r>
    </w:p>
    <w:p w14:paraId="10209A0D">
      <w:pPr>
        <w:spacing w:line="560" w:lineRule="exact"/>
        <w:ind w:firstLine="640" w:firstLineChars="200"/>
        <w:rPr>
          <w:sz w:val="32"/>
          <w:szCs w:val="32"/>
        </w:rPr>
      </w:pPr>
      <w:r>
        <w:rPr>
          <w:rFonts w:eastAsia="仿宋_GB2312"/>
          <w:bCs/>
          <w:sz w:val="32"/>
          <w:szCs w:val="32"/>
        </w:rPr>
        <w:t>3.</w:t>
      </w:r>
      <w:r>
        <w:rPr>
          <w:rFonts w:hint="eastAsia" w:eastAsia="仿宋_GB2312"/>
          <w:bCs/>
          <w:sz w:val="32"/>
          <w:szCs w:val="32"/>
        </w:rPr>
        <w:t>分析评价。根据收集梳理的资料围绕项目立项、资金落实、业务管理、财务管理、项目产出、项目效益等内容，对照已确定的绩效评价指标进行详细全面的分析评价，逐项打分并形成绩效评价最终结果。</w:t>
      </w:r>
    </w:p>
    <w:p w14:paraId="09C460A8">
      <w:pPr>
        <w:numPr>
          <w:ilvl w:val="0"/>
          <w:numId w:val="4"/>
        </w:numPr>
        <w:spacing w:line="560" w:lineRule="exact"/>
        <w:ind w:firstLine="640" w:firstLineChars="200"/>
        <w:rPr>
          <w:rFonts w:eastAsia="黑体"/>
          <w:sz w:val="32"/>
          <w:szCs w:val="32"/>
        </w:rPr>
      </w:pPr>
      <w:r>
        <w:rPr>
          <w:rFonts w:hint="eastAsia" w:eastAsia="黑体"/>
          <w:sz w:val="32"/>
          <w:szCs w:val="32"/>
        </w:rPr>
        <w:t>综合评价情况及评价结论（附相关评分表）</w:t>
      </w:r>
    </w:p>
    <w:p w14:paraId="6B58066C">
      <w:pPr>
        <w:pStyle w:val="2"/>
        <w:spacing w:before="0" w:after="0" w:line="560" w:lineRule="exact"/>
        <w:ind w:firstLine="643" w:firstLineChars="200"/>
        <w:jc w:val="both"/>
        <w:rPr>
          <w:rFonts w:ascii="Times New Roman" w:hAnsi="Times New Roman" w:eastAsia="楷体_GB2312"/>
        </w:rPr>
      </w:pPr>
      <w:r>
        <w:rPr>
          <w:rFonts w:hint="eastAsia" w:ascii="Times New Roman" w:hAnsi="Times New Roman" w:eastAsia="楷体_GB2312"/>
        </w:rPr>
        <w:t>（一）评价情况</w:t>
      </w:r>
    </w:p>
    <w:p w14:paraId="61C55910">
      <w:pPr>
        <w:spacing w:line="600" w:lineRule="exact"/>
        <w:ind w:firstLine="640" w:firstLineChars="200"/>
        <w:outlineLvl w:val="0"/>
        <w:rPr>
          <w:rFonts w:eastAsia="仿宋_GB2312"/>
          <w:kern w:val="28"/>
          <w:sz w:val="32"/>
          <w:szCs w:val="32"/>
        </w:rPr>
      </w:pPr>
      <w:r>
        <w:rPr>
          <w:rFonts w:hint="eastAsia" w:eastAsia="仿宋_GB2312"/>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576850F0">
      <w:pPr>
        <w:pStyle w:val="2"/>
        <w:spacing w:before="0" w:after="0" w:line="560" w:lineRule="exact"/>
        <w:ind w:firstLine="643" w:firstLineChars="200"/>
        <w:jc w:val="both"/>
        <w:rPr>
          <w:rFonts w:ascii="Times New Roman" w:hAnsi="Times New Roman" w:eastAsia="楷体_GB2312"/>
        </w:rPr>
      </w:pPr>
      <w:r>
        <w:rPr>
          <w:rFonts w:hint="eastAsia" w:ascii="Times New Roman" w:hAnsi="Times New Roman" w:eastAsia="楷体_GB2312"/>
        </w:rPr>
        <w:t>（二）评价结论</w:t>
      </w:r>
    </w:p>
    <w:p w14:paraId="6DEFA8C5">
      <w:pPr>
        <w:pStyle w:val="2"/>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运用绩效评价组制定的评价指标体系以及财政部《项目支出绩效评价管理办法》（财预〔</w:t>
      </w:r>
      <w:r>
        <w:rPr>
          <w:rFonts w:ascii="Times New Roman" w:hAnsi="Times New Roman" w:eastAsia="仿宋_GB2312"/>
          <w:b w:val="0"/>
          <w:bCs w:val="0"/>
        </w:rPr>
        <w:t>2020</w:t>
      </w:r>
      <w:r>
        <w:rPr>
          <w:rFonts w:hint="eastAsia" w:ascii="Times New Roman" w:hAnsi="Times New Roman" w:eastAsia="仿宋_GB2312"/>
          <w:b w:val="0"/>
          <w:bCs w:val="0"/>
        </w:rPr>
        <w:t>〕</w:t>
      </w:r>
      <w:r>
        <w:rPr>
          <w:rFonts w:ascii="Times New Roman" w:hAnsi="Times New Roman" w:eastAsia="仿宋_GB2312"/>
          <w:b w:val="0"/>
          <w:bCs w:val="0"/>
        </w:rPr>
        <w:t>10</w:t>
      </w:r>
      <w:r>
        <w:rPr>
          <w:rFonts w:hint="eastAsia" w:ascii="Times New Roman" w:hAnsi="Times New Roman" w:eastAsia="仿宋_GB2312"/>
          <w:b w:val="0"/>
          <w:bCs w:val="0"/>
        </w:rPr>
        <w:t>号）文件的评分标准，通过数据采集、问卷调查及访谈等方式，对本项目进行客观评价，最终评分结果：总得分为</w:t>
      </w:r>
      <w:r>
        <w:rPr>
          <w:rFonts w:ascii="Times New Roman" w:hAnsi="Times New Roman" w:eastAsia="仿宋_GB2312"/>
          <w:b w:val="0"/>
          <w:bCs w:val="0"/>
        </w:rPr>
        <w:t>100</w:t>
      </w:r>
      <w:r>
        <w:rPr>
          <w:rFonts w:hint="eastAsia" w:ascii="Times New Roman" w:hAnsi="Times New Roman" w:eastAsia="仿宋_GB2312"/>
          <w:b w:val="0"/>
          <w:bCs w:val="0"/>
        </w:rPr>
        <w:t>分，属于“优（良</w:t>
      </w:r>
      <w:r>
        <w:rPr>
          <w:rFonts w:ascii="Times New Roman" w:hAnsi="Times New Roman" w:eastAsia="仿宋_GB2312"/>
          <w:b w:val="0"/>
          <w:bCs w:val="0"/>
        </w:rPr>
        <w:t>/</w:t>
      </w:r>
      <w:r>
        <w:rPr>
          <w:rFonts w:hint="eastAsia" w:ascii="Times New Roman" w:hAnsi="Times New Roman" w:eastAsia="仿宋_GB2312"/>
          <w:b w:val="0"/>
          <w:bCs w:val="0"/>
        </w:rPr>
        <w:t>中</w:t>
      </w:r>
      <w:r>
        <w:rPr>
          <w:rFonts w:ascii="Times New Roman" w:hAnsi="Times New Roman" w:eastAsia="仿宋_GB2312"/>
          <w:b w:val="0"/>
          <w:bCs w:val="0"/>
        </w:rPr>
        <w:t>/</w:t>
      </w:r>
      <w:r>
        <w:rPr>
          <w:rFonts w:hint="eastAsia" w:ascii="Times New Roman" w:hAnsi="Times New Roman" w:eastAsia="仿宋_GB2312"/>
          <w:b w:val="0"/>
          <w:bCs w:val="0"/>
        </w:rPr>
        <w:t>差）”。其中，项目决策类指标权重为</w:t>
      </w:r>
      <w:r>
        <w:rPr>
          <w:rFonts w:ascii="Times New Roman" w:hAnsi="Times New Roman" w:eastAsia="仿宋_GB2312"/>
          <w:b w:val="0"/>
          <w:bCs w:val="0"/>
        </w:rPr>
        <w:t>20</w:t>
      </w:r>
      <w:r>
        <w:rPr>
          <w:rFonts w:hint="eastAsia" w:ascii="Times New Roman" w:hAnsi="Times New Roman" w:eastAsia="仿宋_GB2312"/>
          <w:b w:val="0"/>
          <w:bCs w:val="0"/>
        </w:rPr>
        <w:t>分，得分为</w:t>
      </w:r>
      <w:r>
        <w:rPr>
          <w:rFonts w:ascii="Times New Roman" w:hAnsi="Times New Roman" w:eastAsia="仿宋_GB2312"/>
          <w:b w:val="0"/>
          <w:bCs w:val="0"/>
        </w:rPr>
        <w:t xml:space="preserve"> 20</w:t>
      </w:r>
      <w:r>
        <w:rPr>
          <w:rFonts w:hint="eastAsia" w:ascii="Times New Roman" w:hAnsi="Times New Roman" w:eastAsia="仿宋_GB2312"/>
          <w:b w:val="0"/>
          <w:bCs w:val="0"/>
        </w:rPr>
        <w:t>分，得分率为</w:t>
      </w:r>
      <w:r>
        <w:rPr>
          <w:rFonts w:ascii="Times New Roman" w:hAnsi="Times New Roman" w:eastAsia="仿宋_GB2312"/>
          <w:b w:val="0"/>
          <w:bCs w:val="0"/>
        </w:rPr>
        <w:t xml:space="preserve"> 100%</w:t>
      </w:r>
      <w:r>
        <w:rPr>
          <w:rFonts w:hint="eastAsia" w:ascii="Times New Roman" w:hAnsi="Times New Roman" w:eastAsia="仿宋_GB2312"/>
          <w:b w:val="0"/>
          <w:bCs w:val="0"/>
        </w:rPr>
        <w:t>。项目过程类指标权重为</w:t>
      </w:r>
      <w:r>
        <w:rPr>
          <w:rFonts w:ascii="Times New Roman" w:hAnsi="Times New Roman" w:eastAsia="仿宋_GB2312"/>
          <w:b w:val="0"/>
          <w:bCs w:val="0"/>
        </w:rPr>
        <w:t>20</w:t>
      </w:r>
      <w:r>
        <w:rPr>
          <w:rFonts w:hint="eastAsia" w:ascii="Times New Roman" w:hAnsi="Times New Roman" w:eastAsia="仿宋_GB2312"/>
          <w:b w:val="0"/>
          <w:bCs w:val="0"/>
        </w:rPr>
        <w:t>分，得分为</w:t>
      </w:r>
      <w:r>
        <w:rPr>
          <w:rFonts w:ascii="Times New Roman" w:hAnsi="Times New Roman" w:eastAsia="仿宋_GB2312"/>
          <w:b w:val="0"/>
          <w:bCs w:val="0"/>
        </w:rPr>
        <w:t>20</w:t>
      </w:r>
      <w:r>
        <w:rPr>
          <w:rFonts w:hint="eastAsia" w:ascii="Times New Roman" w:hAnsi="Times New Roman" w:eastAsia="仿宋_GB2312"/>
          <w:b w:val="0"/>
          <w:bCs w:val="0"/>
        </w:rPr>
        <w:t>分，得分率为</w:t>
      </w:r>
      <w:r>
        <w:rPr>
          <w:rFonts w:ascii="Times New Roman" w:hAnsi="Times New Roman" w:eastAsia="仿宋_GB2312"/>
          <w:b w:val="0"/>
          <w:bCs w:val="0"/>
        </w:rPr>
        <w:t xml:space="preserve"> 100%</w:t>
      </w:r>
      <w:r>
        <w:rPr>
          <w:rFonts w:hint="eastAsia" w:ascii="Times New Roman" w:hAnsi="Times New Roman" w:eastAsia="仿宋_GB2312"/>
          <w:b w:val="0"/>
          <w:bCs w:val="0"/>
        </w:rPr>
        <w:t>。项目产出类指标权重为</w:t>
      </w:r>
      <w:r>
        <w:rPr>
          <w:rFonts w:ascii="Times New Roman" w:hAnsi="Times New Roman" w:eastAsia="仿宋_GB2312"/>
          <w:b w:val="0"/>
          <w:bCs w:val="0"/>
        </w:rPr>
        <w:t>40</w:t>
      </w:r>
      <w:r>
        <w:rPr>
          <w:rFonts w:hint="eastAsia" w:ascii="Times New Roman" w:hAnsi="Times New Roman" w:eastAsia="仿宋_GB2312"/>
          <w:b w:val="0"/>
          <w:bCs w:val="0"/>
        </w:rPr>
        <w:t>分，得分为</w:t>
      </w:r>
      <w:r>
        <w:rPr>
          <w:rFonts w:ascii="Times New Roman" w:hAnsi="Times New Roman" w:eastAsia="仿宋_GB2312"/>
          <w:b w:val="0"/>
          <w:bCs w:val="0"/>
        </w:rPr>
        <w:t>40</w:t>
      </w:r>
      <w:r>
        <w:rPr>
          <w:rFonts w:hint="eastAsia" w:ascii="Times New Roman" w:hAnsi="Times New Roman" w:eastAsia="仿宋_GB2312"/>
          <w:b w:val="0"/>
          <w:bCs w:val="0"/>
        </w:rPr>
        <w:t>分，得分率为</w:t>
      </w:r>
      <w:r>
        <w:rPr>
          <w:rFonts w:ascii="Times New Roman" w:hAnsi="Times New Roman" w:eastAsia="仿宋_GB2312"/>
          <w:b w:val="0"/>
          <w:bCs w:val="0"/>
        </w:rPr>
        <w:t xml:space="preserve"> 100%</w:t>
      </w:r>
      <w:r>
        <w:rPr>
          <w:rFonts w:hint="eastAsia" w:ascii="Times New Roman" w:hAnsi="Times New Roman" w:eastAsia="仿宋_GB2312"/>
          <w:b w:val="0"/>
          <w:bCs w:val="0"/>
        </w:rPr>
        <w:t>。项目效益类指标权重为</w:t>
      </w:r>
      <w:r>
        <w:rPr>
          <w:rFonts w:ascii="Times New Roman" w:hAnsi="Times New Roman" w:eastAsia="仿宋_GB2312"/>
          <w:b w:val="0"/>
          <w:bCs w:val="0"/>
        </w:rPr>
        <w:t>20</w:t>
      </w:r>
      <w:r>
        <w:rPr>
          <w:rFonts w:hint="eastAsia" w:ascii="Times New Roman" w:hAnsi="Times New Roman" w:eastAsia="仿宋_GB2312"/>
          <w:b w:val="0"/>
          <w:bCs w:val="0"/>
        </w:rPr>
        <w:t>分，得分为</w:t>
      </w:r>
      <w:r>
        <w:rPr>
          <w:rFonts w:ascii="Times New Roman" w:hAnsi="Times New Roman" w:eastAsia="仿宋_GB2312"/>
          <w:b w:val="0"/>
          <w:bCs w:val="0"/>
        </w:rPr>
        <w:t>20</w:t>
      </w:r>
      <w:r>
        <w:rPr>
          <w:rFonts w:hint="eastAsia" w:ascii="Times New Roman" w:hAnsi="Times New Roman" w:eastAsia="仿宋_GB2312"/>
          <w:b w:val="0"/>
          <w:bCs w:val="0"/>
        </w:rPr>
        <w:t>分，得分率为</w:t>
      </w:r>
      <w:r>
        <w:rPr>
          <w:rFonts w:ascii="Times New Roman" w:hAnsi="Times New Roman" w:eastAsia="仿宋_GB2312"/>
          <w:b w:val="0"/>
          <w:bCs w:val="0"/>
        </w:rPr>
        <w:t>100%</w:t>
      </w:r>
      <w:r>
        <w:rPr>
          <w:rFonts w:hint="eastAsia" w:ascii="Times New Roman" w:hAnsi="Times New Roman" w:eastAsia="仿宋_GB2312"/>
          <w:b w:val="0"/>
          <w:bCs w:val="0"/>
        </w:rPr>
        <w:t>。具体打分情况详见：附件</w:t>
      </w:r>
      <w:r>
        <w:rPr>
          <w:rFonts w:ascii="Times New Roman" w:hAnsi="Times New Roman" w:eastAsia="仿宋_GB2312"/>
          <w:b w:val="0"/>
          <w:bCs w:val="0"/>
        </w:rPr>
        <w:t>1</w:t>
      </w:r>
      <w:r>
        <w:rPr>
          <w:rFonts w:hint="eastAsia" w:ascii="Times New Roman" w:hAnsi="Times New Roman" w:eastAsia="仿宋_GB2312"/>
          <w:b w:val="0"/>
          <w:bCs w:val="0"/>
        </w:rPr>
        <w:t>综合评分表。</w:t>
      </w:r>
    </w:p>
    <w:p w14:paraId="79E694CC">
      <w:pPr>
        <w:pStyle w:val="2"/>
        <w:spacing w:before="0" w:after="0"/>
        <w:rPr>
          <w:rFonts w:ascii="Times New Roman" w:hAnsi="Times New Roman" w:eastAsia="仿宋_GB2312"/>
          <w:sz w:val="30"/>
          <w:szCs w:val="30"/>
        </w:rPr>
      </w:pPr>
      <w:r>
        <w:rPr>
          <w:rFonts w:hint="eastAsia" w:ascii="Times New Roman" w:hAnsi="Times New Roman" w:eastAsia="仿宋_GB2312"/>
          <w:sz w:val="30"/>
          <w:szCs w:val="30"/>
        </w:rPr>
        <w:t>表</w:t>
      </w:r>
      <w:r>
        <w:rPr>
          <w:rFonts w:ascii="Times New Roman" w:hAnsi="Times New Roman" w:eastAsia="仿宋_GB2312"/>
          <w:sz w:val="30"/>
          <w:szCs w:val="30"/>
        </w:rPr>
        <w:t>1</w:t>
      </w:r>
      <w:r>
        <w:rPr>
          <w:rFonts w:hint="eastAsia" w:ascii="Times New Roman" w:hAnsi="Times New Roman" w:eastAsia="仿宋_GB2312"/>
          <w:sz w:val="30"/>
          <w:szCs w:val="30"/>
        </w:rPr>
        <w:t>综合评分表</w:t>
      </w:r>
    </w:p>
    <w:tbl>
      <w:tblPr>
        <w:tblStyle w:val="13"/>
        <w:tblW w:w="7583" w:type="dxa"/>
        <w:jc w:val="center"/>
        <w:tblLayout w:type="fixed"/>
        <w:tblCellMar>
          <w:top w:w="0" w:type="dxa"/>
          <w:left w:w="108" w:type="dxa"/>
          <w:bottom w:w="0" w:type="dxa"/>
          <w:right w:w="108" w:type="dxa"/>
        </w:tblCellMar>
      </w:tblPr>
      <w:tblGrid>
        <w:gridCol w:w="3137"/>
        <w:gridCol w:w="2168"/>
        <w:gridCol w:w="2278"/>
      </w:tblGrid>
      <w:tr w14:paraId="30498D64">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FBFBF"/>
            <w:vAlign w:val="center"/>
          </w:tcPr>
          <w:p w14:paraId="046FD79B">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FBFBF"/>
            <w:vAlign w:val="center"/>
          </w:tcPr>
          <w:p w14:paraId="69630937">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FBFBF"/>
            <w:vAlign w:val="center"/>
          </w:tcPr>
          <w:p w14:paraId="46E8436B">
            <w:pPr>
              <w:jc w:val="center"/>
              <w:rPr>
                <w:b/>
                <w:bCs/>
                <w:color w:val="000000"/>
                <w:sz w:val="22"/>
              </w:rPr>
            </w:pPr>
            <w:r>
              <w:rPr>
                <w:rFonts w:hint="eastAsia"/>
                <w:b/>
                <w:bCs/>
                <w:color w:val="000000"/>
                <w:sz w:val="22"/>
              </w:rPr>
              <w:t>得分</w:t>
            </w:r>
          </w:p>
        </w:tc>
      </w:tr>
      <w:tr w14:paraId="6CEC13F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14:paraId="099019F0">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vAlign w:val="center"/>
          </w:tcPr>
          <w:p w14:paraId="4D5A1BE6">
            <w:pPr>
              <w:jc w:val="center"/>
              <w:rPr>
                <w:color w:val="000000"/>
                <w:sz w:val="22"/>
              </w:rPr>
            </w:pPr>
            <w:r>
              <w:rPr>
                <w:color w:val="000000"/>
                <w:sz w:val="22"/>
              </w:rPr>
              <w:t>20</w:t>
            </w:r>
          </w:p>
        </w:tc>
        <w:tc>
          <w:tcPr>
            <w:tcW w:w="2278" w:type="dxa"/>
            <w:tcBorders>
              <w:top w:val="nil"/>
              <w:left w:val="nil"/>
              <w:bottom w:val="single" w:color="auto" w:sz="4" w:space="0"/>
              <w:right w:val="single" w:color="auto" w:sz="4" w:space="0"/>
            </w:tcBorders>
            <w:vAlign w:val="center"/>
          </w:tcPr>
          <w:p w14:paraId="51AC97CE">
            <w:pPr>
              <w:jc w:val="center"/>
              <w:rPr>
                <w:color w:val="000000"/>
                <w:sz w:val="22"/>
              </w:rPr>
            </w:pPr>
            <w:r>
              <w:rPr>
                <w:color w:val="000000"/>
                <w:sz w:val="22"/>
              </w:rPr>
              <w:t>20</w:t>
            </w:r>
          </w:p>
        </w:tc>
      </w:tr>
      <w:tr w14:paraId="118808D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14:paraId="68CAE1F9">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vAlign w:val="center"/>
          </w:tcPr>
          <w:p w14:paraId="1A30935D">
            <w:pPr>
              <w:jc w:val="center"/>
              <w:rPr>
                <w:color w:val="000000"/>
                <w:sz w:val="22"/>
              </w:rPr>
            </w:pPr>
            <w:r>
              <w:rPr>
                <w:color w:val="000000"/>
                <w:sz w:val="22"/>
              </w:rPr>
              <w:t>20</w:t>
            </w:r>
          </w:p>
        </w:tc>
        <w:tc>
          <w:tcPr>
            <w:tcW w:w="2278" w:type="dxa"/>
            <w:tcBorders>
              <w:top w:val="nil"/>
              <w:left w:val="nil"/>
              <w:bottom w:val="single" w:color="auto" w:sz="4" w:space="0"/>
              <w:right w:val="single" w:color="auto" w:sz="4" w:space="0"/>
            </w:tcBorders>
            <w:vAlign w:val="center"/>
          </w:tcPr>
          <w:p w14:paraId="300429DE">
            <w:pPr>
              <w:jc w:val="center"/>
              <w:rPr>
                <w:color w:val="000000"/>
                <w:sz w:val="22"/>
              </w:rPr>
            </w:pPr>
            <w:r>
              <w:rPr>
                <w:color w:val="000000"/>
                <w:sz w:val="22"/>
              </w:rPr>
              <w:t>20</w:t>
            </w:r>
          </w:p>
        </w:tc>
      </w:tr>
      <w:tr w14:paraId="19A1DB0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14:paraId="3A38A70E">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vAlign w:val="center"/>
          </w:tcPr>
          <w:p w14:paraId="2C2E27DA">
            <w:pPr>
              <w:jc w:val="center"/>
              <w:rPr>
                <w:color w:val="000000"/>
                <w:sz w:val="22"/>
              </w:rPr>
            </w:pPr>
            <w:r>
              <w:rPr>
                <w:color w:val="000000"/>
                <w:sz w:val="22"/>
              </w:rPr>
              <w:t>40</w:t>
            </w:r>
          </w:p>
        </w:tc>
        <w:tc>
          <w:tcPr>
            <w:tcW w:w="2278" w:type="dxa"/>
            <w:tcBorders>
              <w:top w:val="nil"/>
              <w:left w:val="nil"/>
              <w:bottom w:val="single" w:color="auto" w:sz="4" w:space="0"/>
              <w:right w:val="single" w:color="auto" w:sz="4" w:space="0"/>
            </w:tcBorders>
            <w:vAlign w:val="center"/>
          </w:tcPr>
          <w:p w14:paraId="61468444">
            <w:pPr>
              <w:jc w:val="center"/>
              <w:rPr>
                <w:color w:val="000000"/>
                <w:sz w:val="22"/>
              </w:rPr>
            </w:pPr>
            <w:r>
              <w:rPr>
                <w:color w:val="000000"/>
                <w:sz w:val="22"/>
              </w:rPr>
              <w:t>40</w:t>
            </w:r>
          </w:p>
        </w:tc>
      </w:tr>
      <w:tr w14:paraId="27D154C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14:paraId="38046527">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vAlign w:val="center"/>
          </w:tcPr>
          <w:p w14:paraId="7C439782">
            <w:pPr>
              <w:jc w:val="center"/>
              <w:rPr>
                <w:color w:val="000000"/>
                <w:sz w:val="22"/>
              </w:rPr>
            </w:pPr>
            <w:r>
              <w:rPr>
                <w:color w:val="000000"/>
                <w:sz w:val="22"/>
              </w:rPr>
              <w:t>20</w:t>
            </w:r>
          </w:p>
        </w:tc>
        <w:tc>
          <w:tcPr>
            <w:tcW w:w="2278" w:type="dxa"/>
            <w:tcBorders>
              <w:top w:val="nil"/>
              <w:left w:val="nil"/>
              <w:bottom w:val="single" w:color="auto" w:sz="4" w:space="0"/>
              <w:right w:val="single" w:color="auto" w:sz="4" w:space="0"/>
            </w:tcBorders>
            <w:vAlign w:val="center"/>
          </w:tcPr>
          <w:p w14:paraId="39659CC0">
            <w:pPr>
              <w:jc w:val="center"/>
              <w:rPr>
                <w:color w:val="000000"/>
                <w:sz w:val="22"/>
              </w:rPr>
            </w:pPr>
            <w:r>
              <w:rPr>
                <w:color w:val="000000"/>
                <w:sz w:val="22"/>
              </w:rPr>
              <w:t>20</w:t>
            </w:r>
          </w:p>
        </w:tc>
      </w:tr>
      <w:tr w14:paraId="7B01230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vAlign w:val="center"/>
          </w:tcPr>
          <w:p w14:paraId="35308076">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vAlign w:val="center"/>
          </w:tcPr>
          <w:p w14:paraId="5DF614CD">
            <w:pPr>
              <w:jc w:val="center"/>
              <w:rPr>
                <w:b/>
                <w:bCs/>
                <w:color w:val="000000"/>
                <w:sz w:val="22"/>
              </w:rPr>
            </w:pPr>
            <w:r>
              <w:rPr>
                <w:b/>
                <w:bCs/>
                <w:color w:val="000000"/>
                <w:sz w:val="22"/>
              </w:rPr>
              <w:t>100</w:t>
            </w:r>
          </w:p>
        </w:tc>
        <w:tc>
          <w:tcPr>
            <w:tcW w:w="2278" w:type="dxa"/>
            <w:tcBorders>
              <w:top w:val="nil"/>
              <w:left w:val="nil"/>
              <w:bottom w:val="single" w:color="auto" w:sz="4" w:space="0"/>
              <w:right w:val="single" w:color="auto" w:sz="4" w:space="0"/>
            </w:tcBorders>
            <w:vAlign w:val="center"/>
          </w:tcPr>
          <w:p w14:paraId="4A3AA060">
            <w:pPr>
              <w:jc w:val="center"/>
              <w:rPr>
                <w:b/>
                <w:bCs/>
                <w:color w:val="000000"/>
                <w:sz w:val="22"/>
              </w:rPr>
            </w:pPr>
            <w:r>
              <w:rPr>
                <w:b/>
                <w:bCs/>
                <w:color w:val="000000"/>
                <w:sz w:val="22"/>
              </w:rPr>
              <w:t>100</w:t>
            </w:r>
          </w:p>
        </w:tc>
      </w:tr>
    </w:tbl>
    <w:p w14:paraId="5F024F61">
      <w:pPr>
        <w:spacing w:line="560" w:lineRule="exact"/>
        <w:ind w:firstLine="640" w:firstLineChars="200"/>
        <w:rPr>
          <w:rFonts w:eastAsia="黑体"/>
          <w:sz w:val="32"/>
          <w:szCs w:val="32"/>
        </w:rPr>
      </w:pPr>
      <w:r>
        <w:rPr>
          <w:rFonts w:hint="eastAsia" w:eastAsia="黑体"/>
          <w:sz w:val="32"/>
          <w:szCs w:val="32"/>
        </w:rPr>
        <w:t>四、绩效评价指标分析</w:t>
      </w:r>
    </w:p>
    <w:p w14:paraId="2CF5A818">
      <w:pPr>
        <w:pStyle w:val="2"/>
        <w:spacing w:before="0" w:after="0" w:line="560" w:lineRule="exact"/>
        <w:ind w:firstLine="643" w:firstLineChars="200"/>
        <w:jc w:val="both"/>
        <w:rPr>
          <w:rFonts w:ascii="Times New Roman" w:hAnsi="Times New Roman" w:eastAsia="楷体_GB2312"/>
        </w:rPr>
      </w:pPr>
      <w:r>
        <w:rPr>
          <w:rFonts w:hint="eastAsia" w:ascii="Times New Roman" w:hAnsi="Times New Roman" w:eastAsia="楷体_GB2312"/>
        </w:rPr>
        <w:t>（一）项目决策情况</w:t>
      </w:r>
    </w:p>
    <w:p w14:paraId="3C88F09B">
      <w:pPr>
        <w:spacing w:line="600" w:lineRule="exact"/>
        <w:ind w:firstLine="600" w:firstLineChars="200"/>
        <w:outlineLvl w:val="0"/>
        <w:rPr>
          <w:rFonts w:ascii="仿宋_GB2312" w:hAnsi="仿宋_GB2312" w:eastAsia="仿宋_GB2312" w:cs="仿宋_GB2312"/>
          <w:sz w:val="30"/>
          <w:szCs w:val="30"/>
        </w:rPr>
      </w:pPr>
      <w:r>
        <w:rPr>
          <w:rFonts w:hint="eastAsia" w:ascii="仿宋_GB2312" w:hAnsi="仿宋_GB2312" w:eastAsia="仿宋_GB2312" w:cs="仿宋_GB2312"/>
          <w:sz w:val="30"/>
          <w:szCs w:val="30"/>
        </w:rPr>
        <w:t>项目决策类指标包括项目立项、绩效目标和资金投入三方面的内容，由</w:t>
      </w:r>
      <w:r>
        <w:rPr>
          <w:rFonts w:ascii="仿宋_GB2312" w:hAnsi="仿宋_GB2312" w:eastAsia="仿宋_GB2312" w:cs="仿宋_GB2312"/>
          <w:sz w:val="30"/>
          <w:szCs w:val="30"/>
        </w:rPr>
        <w:t>6</w:t>
      </w:r>
      <w:r>
        <w:rPr>
          <w:rFonts w:hint="eastAsia" w:ascii="仿宋_GB2312" w:hAnsi="仿宋_GB2312" w:eastAsia="仿宋_GB2312" w:cs="仿宋_GB2312"/>
          <w:sz w:val="30"/>
          <w:szCs w:val="30"/>
        </w:rPr>
        <w:t>个三级指标构成，权重分值为</w:t>
      </w:r>
      <w:r>
        <w:rPr>
          <w:rFonts w:ascii="仿宋_GB2312" w:hAnsi="仿宋_GB2312" w:eastAsia="仿宋_GB2312" w:cs="仿宋_GB2312"/>
          <w:sz w:val="30"/>
          <w:szCs w:val="30"/>
        </w:rPr>
        <w:t>20</w:t>
      </w:r>
      <w:r>
        <w:rPr>
          <w:rFonts w:hint="eastAsia" w:ascii="仿宋_GB2312" w:hAnsi="仿宋_GB2312" w:eastAsia="仿宋_GB2312" w:cs="仿宋_GB2312"/>
          <w:sz w:val="30"/>
          <w:szCs w:val="30"/>
        </w:rPr>
        <w:t>分，实际得分</w:t>
      </w:r>
      <w:r>
        <w:rPr>
          <w:rFonts w:ascii="仿宋_GB2312" w:hAnsi="仿宋_GB2312" w:eastAsia="仿宋_GB2312" w:cs="仿宋_GB2312"/>
          <w:sz w:val="30"/>
          <w:szCs w:val="30"/>
        </w:rPr>
        <w:t>20</w:t>
      </w:r>
      <w:r>
        <w:rPr>
          <w:rFonts w:hint="eastAsia" w:ascii="仿宋_GB2312" w:hAnsi="仿宋_GB2312" w:eastAsia="仿宋_GB2312" w:cs="仿宋_GB2312"/>
          <w:sz w:val="30"/>
          <w:szCs w:val="30"/>
        </w:rPr>
        <w:t>分，得分率为</w:t>
      </w:r>
      <w:r>
        <w:rPr>
          <w:rFonts w:ascii="仿宋_GB2312" w:hAnsi="仿宋_GB2312" w:eastAsia="仿宋_GB2312" w:cs="仿宋_GB2312"/>
          <w:sz w:val="30"/>
          <w:szCs w:val="30"/>
        </w:rPr>
        <w:t>100%</w:t>
      </w:r>
      <w:r>
        <w:rPr>
          <w:rFonts w:hint="eastAsia" w:ascii="仿宋_GB2312" w:hAnsi="仿宋_GB2312" w:eastAsia="仿宋_GB2312" w:cs="仿宋_GB2312"/>
          <w:sz w:val="30"/>
          <w:szCs w:val="30"/>
        </w:rPr>
        <w:t>。</w:t>
      </w:r>
    </w:p>
    <w:p w14:paraId="1A3DEF07">
      <w:pPr>
        <w:pStyle w:val="29"/>
        <w:spacing w:line="560" w:lineRule="exact"/>
        <w:ind w:firstLine="640"/>
        <w:rPr>
          <w:rFonts w:ascii="仿宋_GB2312" w:hAnsi="仿宋_GB2312" w:eastAsia="仿宋_GB2312" w:cs="仿宋_GB2312"/>
          <w:b/>
          <w:bCs/>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项目立项</w:t>
      </w:r>
    </w:p>
    <w:p w14:paraId="674F8697">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）立项依据充分性</w:t>
      </w:r>
    </w:p>
    <w:p w14:paraId="29253794">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5DB3C573">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）立项程序规范性</w:t>
      </w:r>
    </w:p>
    <w:p w14:paraId="5B236663">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绩效评估、集体决策，保障了程序的规范性。</w:t>
      </w:r>
    </w:p>
    <w:p w14:paraId="18A27C52">
      <w:pPr>
        <w:pStyle w:val="29"/>
        <w:spacing w:line="560" w:lineRule="exact"/>
        <w:ind w:firstLine="640"/>
        <w:rPr>
          <w:rFonts w:ascii="仿宋_GB2312" w:hAnsi="仿宋_GB2312" w:eastAsia="仿宋_GB2312" w:cs="仿宋_GB2312"/>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绩效目标</w:t>
      </w:r>
    </w:p>
    <w:p w14:paraId="186E1D45">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）绩效目标合理性</w:t>
      </w:r>
    </w:p>
    <w:p w14:paraId="7D6F5CD8">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328761D9">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）绩效指标明确性</w:t>
      </w:r>
    </w:p>
    <w:p w14:paraId="775D3CD9">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项目设置了明确的预期产出效益和效果，将绩效目标细化分解为具体的绩效指标，绩效目标与项目目标任务数相对应，绩效目标设定的绩效指标清晰、细化、可衡量。</w:t>
      </w:r>
    </w:p>
    <w:p w14:paraId="75D5B85E">
      <w:pPr>
        <w:pStyle w:val="29"/>
        <w:spacing w:line="560" w:lineRule="exact"/>
        <w:ind w:firstLine="640"/>
        <w:rPr>
          <w:rFonts w:ascii="仿宋_GB2312" w:hAnsi="仿宋_GB2312" w:eastAsia="仿宋_GB2312" w:cs="仿宋_GB2312"/>
          <w:b/>
          <w:bCs/>
          <w:sz w:val="32"/>
          <w:szCs w:val="32"/>
        </w:rPr>
      </w:pPr>
      <w:r>
        <w:rPr>
          <w:rFonts w:ascii="仿宋_GB2312" w:hAnsi="仿宋_GB2312" w:eastAsia="仿宋_GB2312" w:cs="仿宋_GB2312"/>
          <w:b/>
          <w:bCs/>
          <w:sz w:val="32"/>
          <w:szCs w:val="32"/>
        </w:rPr>
        <w:t>3.</w:t>
      </w:r>
      <w:r>
        <w:rPr>
          <w:rFonts w:hint="eastAsia" w:ascii="仿宋_GB2312" w:hAnsi="仿宋_GB2312" w:eastAsia="仿宋_GB2312" w:cs="仿宋_GB2312"/>
          <w:b/>
          <w:bCs/>
          <w:sz w:val="32"/>
          <w:szCs w:val="32"/>
        </w:rPr>
        <w:t>资金投入</w:t>
      </w:r>
    </w:p>
    <w:p w14:paraId="42FFB8B8">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）预算编制科学性</w:t>
      </w:r>
    </w:p>
    <w:p w14:paraId="1E7D473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预算编制经过科学论证，提供充分的测算依据佐证资料，预算内容与项目内容相匹配。项目投资额与工作任务相匹配。</w:t>
      </w:r>
    </w:p>
    <w:p w14:paraId="2D02A477">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）资金分配合理性</w:t>
      </w:r>
    </w:p>
    <w:p w14:paraId="4A5DA734">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资金分配额度与项目单位实际工作内容相适应，资金分配额度合理，资金分配依据充分。</w:t>
      </w:r>
    </w:p>
    <w:p w14:paraId="6EF7ADEA">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2AF081F3">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项目过程类指标包括资金管理和组织实施两方面的内容，由</w:t>
      </w:r>
      <w:r>
        <w:rPr>
          <w:rFonts w:ascii="仿宋_GB2312" w:hAnsi="仿宋_GB2312" w:eastAsia="仿宋_GB2312" w:cs="仿宋_GB2312"/>
          <w:sz w:val="32"/>
          <w:szCs w:val="32"/>
        </w:rPr>
        <w:t>5</w:t>
      </w:r>
      <w:r>
        <w:rPr>
          <w:rFonts w:hint="eastAsia" w:ascii="仿宋_GB2312" w:hAnsi="仿宋_GB2312" w:eastAsia="仿宋_GB2312" w:cs="仿宋_GB2312"/>
          <w:sz w:val="32"/>
          <w:szCs w:val="32"/>
        </w:rPr>
        <w:t>个三级指标构成，权重分值为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分，实际得分</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分，得分率为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14:paraId="5757077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14:paraId="64B1BC06">
      <w:pPr>
        <w:pStyle w:val="29"/>
        <w:spacing w:line="560" w:lineRule="exact"/>
        <w:ind w:firstLine="640"/>
        <w:rPr>
          <w:rFonts w:ascii="仿宋_GB2312" w:hAnsi="仿宋_GB2312" w:eastAsia="仿宋_GB2312" w:cs="仿宋_GB2312"/>
          <w:b/>
          <w:bCs/>
          <w:sz w:val="32"/>
          <w:szCs w:val="32"/>
        </w:rPr>
      </w:pPr>
      <w:r>
        <w:rPr>
          <w:rFonts w:ascii="仿宋_GB2312" w:hAnsi="仿宋_GB2312" w:eastAsia="仿宋_GB2312" w:cs="仿宋_GB2312"/>
          <w:b/>
          <w:bCs/>
          <w:sz w:val="32"/>
          <w:szCs w:val="32"/>
        </w:rPr>
        <w:t>1.</w:t>
      </w:r>
      <w:r>
        <w:rPr>
          <w:rFonts w:hint="eastAsia" w:ascii="仿宋_GB2312" w:hAnsi="仿宋_GB2312" w:eastAsia="仿宋_GB2312" w:cs="仿宋_GB2312"/>
          <w:b/>
          <w:bCs/>
          <w:sz w:val="32"/>
          <w:szCs w:val="32"/>
        </w:rPr>
        <w:t>资金管理</w:t>
      </w:r>
    </w:p>
    <w:p w14:paraId="27655EE4">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）资金到位率</w:t>
      </w:r>
    </w:p>
    <w:p w14:paraId="2E2B145F">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本项目总投资</w:t>
      </w:r>
      <w:r>
        <w:rPr>
          <w:rFonts w:ascii="仿宋_GB2312" w:hAnsi="仿宋_GB2312" w:eastAsia="仿宋_GB2312" w:cs="仿宋_GB2312"/>
          <w:sz w:val="32"/>
          <w:szCs w:val="32"/>
        </w:rPr>
        <w:t>3.6</w:t>
      </w:r>
      <w:r>
        <w:rPr>
          <w:rFonts w:hint="eastAsia" w:ascii="仿宋_GB2312" w:hAnsi="仿宋_GB2312" w:eastAsia="仿宋_GB2312" w:cs="仿宋_GB2312"/>
          <w:sz w:val="32"/>
          <w:szCs w:val="32"/>
        </w:rPr>
        <w:t>万元，财政资金及时足额到位，到位率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，预算资金按计划进度执行。</w:t>
      </w:r>
    </w:p>
    <w:p w14:paraId="0AF04C71">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）预算执行率</w:t>
      </w:r>
    </w:p>
    <w:p w14:paraId="1DCFF08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预算编制较为详细，项目资金支出总体能够按照预算执行，预算资金支出</w:t>
      </w:r>
      <w:r>
        <w:rPr>
          <w:rFonts w:ascii="仿宋_GB2312" w:hAnsi="仿宋_GB2312" w:eastAsia="仿宋_GB2312" w:cs="仿宋_GB2312"/>
          <w:sz w:val="32"/>
          <w:szCs w:val="32"/>
        </w:rPr>
        <w:t>3.6</w:t>
      </w:r>
      <w:r>
        <w:rPr>
          <w:rFonts w:hint="eastAsia" w:ascii="仿宋_GB2312" w:hAnsi="仿宋_GB2312" w:eastAsia="仿宋_GB2312" w:cs="仿宋_GB2312"/>
          <w:sz w:val="32"/>
          <w:szCs w:val="32"/>
        </w:rPr>
        <w:t>万元，预算执行率为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14:paraId="7601968B">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）资金使用合规性</w:t>
      </w:r>
    </w:p>
    <w:p w14:paraId="49519032">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2E02392A">
      <w:pPr>
        <w:pStyle w:val="29"/>
        <w:spacing w:line="560" w:lineRule="exact"/>
        <w:ind w:firstLine="640"/>
        <w:rPr>
          <w:rFonts w:ascii="仿宋_GB2312" w:hAnsi="仿宋_GB2312" w:eastAsia="仿宋_GB2312" w:cs="仿宋_GB2312"/>
          <w:b/>
          <w:bCs/>
          <w:sz w:val="32"/>
          <w:szCs w:val="32"/>
        </w:rPr>
      </w:pPr>
      <w:r>
        <w:rPr>
          <w:rFonts w:ascii="仿宋_GB2312" w:hAnsi="仿宋_GB2312" w:eastAsia="仿宋_GB2312" w:cs="仿宋_GB2312"/>
          <w:b/>
          <w:bCs/>
          <w:sz w:val="32"/>
          <w:szCs w:val="32"/>
        </w:rPr>
        <w:t>2.</w:t>
      </w:r>
      <w:r>
        <w:rPr>
          <w:rFonts w:hint="eastAsia" w:ascii="仿宋_GB2312" w:hAnsi="仿宋_GB2312" w:eastAsia="仿宋_GB2312" w:cs="仿宋_GB2312"/>
          <w:b/>
          <w:bCs/>
          <w:sz w:val="32"/>
          <w:szCs w:val="32"/>
        </w:rPr>
        <w:t>组织实施</w:t>
      </w:r>
    </w:p>
    <w:p w14:paraId="71DD96CA">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）管理制度健全性</w:t>
      </w:r>
    </w:p>
    <w:p w14:paraId="2B75680C">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092D3A36">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）制度执行有效性</w:t>
      </w:r>
    </w:p>
    <w:p w14:paraId="6E0E0FB9">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14:paraId="0A8A5265">
      <w:pPr>
        <w:pStyle w:val="11"/>
        <w:numPr>
          <w:ilvl w:val="0"/>
          <w:numId w:val="5"/>
        </w:numPr>
        <w:spacing w:line="560" w:lineRule="exact"/>
        <w:ind w:firstLine="31680"/>
        <w:rPr>
          <w:rFonts w:eastAsia="楷体_GB2312"/>
          <w:b/>
          <w:bCs/>
          <w:sz w:val="32"/>
          <w:szCs w:val="32"/>
        </w:rPr>
      </w:pPr>
      <w:r>
        <w:rPr>
          <w:rFonts w:hint="eastAsia" w:eastAsia="楷体_GB2312"/>
          <w:b/>
          <w:bCs/>
          <w:sz w:val="32"/>
          <w:szCs w:val="32"/>
        </w:rPr>
        <w:t>项目产出情况</w:t>
      </w:r>
    </w:p>
    <w:p w14:paraId="0D0A40E3">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项目产出类指标包括产出数量、产出质量、产出时效、产出成本四方面的内容，由</w:t>
      </w:r>
      <w:r>
        <w:rPr>
          <w:rFonts w:ascii="仿宋_GB2312" w:hAnsi="仿宋_GB2312" w:eastAsia="仿宋_GB2312" w:cs="仿宋_GB2312"/>
          <w:sz w:val="32"/>
          <w:szCs w:val="32"/>
        </w:rPr>
        <w:t>4</w:t>
      </w:r>
      <w:r>
        <w:rPr>
          <w:rFonts w:hint="eastAsia" w:ascii="仿宋_GB2312" w:hAnsi="仿宋_GB2312" w:eastAsia="仿宋_GB2312" w:cs="仿宋_GB2312"/>
          <w:sz w:val="32"/>
          <w:szCs w:val="32"/>
        </w:rPr>
        <w:t>个三级指标构成，权重分为</w:t>
      </w:r>
      <w:r>
        <w:rPr>
          <w:rFonts w:ascii="仿宋_GB2312" w:hAnsi="仿宋_GB2312" w:eastAsia="仿宋_GB2312" w:cs="仿宋_GB2312"/>
          <w:sz w:val="32"/>
          <w:szCs w:val="32"/>
        </w:rPr>
        <w:t>40</w:t>
      </w:r>
      <w:r>
        <w:rPr>
          <w:rFonts w:hint="eastAsia" w:ascii="仿宋_GB2312" w:hAnsi="仿宋_GB2312" w:eastAsia="仿宋_GB2312" w:cs="仿宋_GB2312"/>
          <w:sz w:val="32"/>
          <w:szCs w:val="32"/>
        </w:rPr>
        <w:t>分，实际得分</w:t>
      </w:r>
      <w:r>
        <w:rPr>
          <w:rFonts w:ascii="仿宋_GB2312" w:hAnsi="仿宋_GB2312" w:eastAsia="仿宋_GB2312" w:cs="仿宋_GB2312"/>
          <w:sz w:val="32"/>
          <w:szCs w:val="32"/>
        </w:rPr>
        <w:t>40</w:t>
      </w:r>
      <w:r>
        <w:rPr>
          <w:rFonts w:hint="eastAsia" w:ascii="仿宋_GB2312" w:hAnsi="仿宋_GB2312" w:eastAsia="仿宋_GB2312" w:cs="仿宋_GB2312"/>
          <w:sz w:val="32"/>
          <w:szCs w:val="32"/>
        </w:rPr>
        <w:t>分，得分率为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。具体产出指标完成情况如下：</w:t>
      </w:r>
    </w:p>
    <w:p w14:paraId="533CCAA6">
      <w:pPr>
        <w:spacing w:line="60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 1 \* GB3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①</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数量指标：</w:t>
      </w:r>
    </w:p>
    <w:p w14:paraId="7DC7097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：项目实施个数，指标值：</w:t>
      </w:r>
      <w:r>
        <w:rPr>
          <w:rFonts w:ascii="仿宋_GB2312" w:hAnsi="仿宋_GB2312" w:eastAsia="仿宋_GB2312" w:cs="仿宋_GB2312"/>
          <w:sz w:val="32"/>
          <w:szCs w:val="32"/>
        </w:rPr>
        <w:t xml:space="preserve"> 1</w:t>
      </w:r>
      <w:r>
        <w:rPr>
          <w:rFonts w:hint="eastAsia" w:ascii="仿宋_GB2312" w:hAnsi="仿宋_GB2312" w:eastAsia="仿宋_GB2312" w:cs="仿宋_GB2312"/>
          <w:sz w:val="32"/>
          <w:szCs w:val="32"/>
        </w:rPr>
        <w:t>个，实际完成值：</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个，指标完成率</w:t>
      </w:r>
      <w:r>
        <w:rPr>
          <w:rFonts w:ascii="仿宋_GB2312" w:hAnsi="仿宋_GB2312" w:eastAsia="仿宋_GB2312" w:cs="仿宋_GB2312"/>
          <w:sz w:val="32"/>
          <w:szCs w:val="32"/>
        </w:rPr>
        <w:t>100 %</w:t>
      </w:r>
      <w:r>
        <w:rPr>
          <w:rFonts w:hint="eastAsia" w:ascii="仿宋_GB2312" w:hAnsi="仿宋_GB2312" w:eastAsia="仿宋_GB2312" w:cs="仿宋_GB2312"/>
          <w:sz w:val="32"/>
          <w:szCs w:val="32"/>
        </w:rPr>
        <w:t>。</w:t>
      </w:r>
    </w:p>
    <w:p w14:paraId="0E078F37">
      <w:pPr>
        <w:spacing w:line="60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 2 \* GB3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②</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质量指标：</w:t>
      </w:r>
    </w:p>
    <w:p w14:paraId="13071D0E">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：项目资金支付率，指标值：</w:t>
      </w:r>
      <w:r>
        <w:rPr>
          <w:rFonts w:ascii="仿宋_GB2312" w:hAnsi="仿宋_GB2312" w:eastAsia="仿宋_GB2312" w:cs="仿宋_GB2312"/>
          <w:sz w:val="32"/>
          <w:szCs w:val="32"/>
        </w:rPr>
        <w:t xml:space="preserve">&gt;=95% </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95%</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14:paraId="150A2492">
      <w:pPr>
        <w:spacing w:line="600" w:lineRule="exact"/>
        <w:ind w:firstLine="105" w:firstLineChars="50"/>
        <w:outlineLvl w:val="0"/>
        <w:rPr>
          <w:rFonts w:ascii="仿宋_GB2312" w:hAnsi="仿宋_GB2312" w:eastAsia="仿宋_GB2312" w:cs="仿宋_GB2312"/>
          <w:sz w:val="32"/>
          <w:szCs w:val="32"/>
        </w:rPr>
      </w:pPr>
      <w: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：竣工验收合格率，指标值：</w:t>
      </w:r>
      <w:r>
        <w:rPr>
          <w:rFonts w:ascii="仿宋_GB2312" w:hAnsi="仿宋_GB2312" w:eastAsia="仿宋_GB2312" w:cs="仿宋_GB2312"/>
          <w:sz w:val="32"/>
          <w:szCs w:val="32"/>
        </w:rPr>
        <w:t xml:space="preserve">&gt;=98% </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102.04%</w:t>
      </w:r>
      <w:r>
        <w:rPr>
          <w:rFonts w:hint="eastAsia" w:ascii="仿宋_GB2312" w:hAnsi="仿宋_GB2312" w:eastAsia="仿宋_GB2312" w:cs="仿宋_GB2312"/>
          <w:sz w:val="32"/>
          <w:szCs w:val="32"/>
        </w:rPr>
        <w:t>。</w:t>
      </w:r>
    </w:p>
    <w:p w14:paraId="570B70B6">
      <w:pPr>
        <w:spacing w:line="60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fldChar w:fldCharType="begin"/>
      </w:r>
      <w:r>
        <w:rPr>
          <w:rFonts w:ascii="仿宋_GB2312" w:hAnsi="仿宋_GB2312" w:eastAsia="仿宋_GB2312" w:cs="仿宋_GB2312"/>
          <w:sz w:val="32"/>
          <w:szCs w:val="32"/>
        </w:rPr>
        <w:instrText xml:space="preserve"> = 3 \* GB3 </w:instrText>
      </w:r>
      <w:r>
        <w:rPr>
          <w:rFonts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③</w:t>
      </w:r>
      <w:r>
        <w:rPr>
          <w:rFonts w:ascii="仿宋_GB2312" w:hAnsi="仿宋_GB2312" w:eastAsia="仿宋_GB2312" w:cs="仿宋_GB2312"/>
          <w:sz w:val="32"/>
          <w:szCs w:val="32"/>
        </w:rPr>
        <w:fldChar w:fldCharType="end"/>
      </w:r>
      <w:r>
        <w:rPr>
          <w:rFonts w:hint="eastAsia" w:ascii="仿宋_GB2312" w:hAnsi="仿宋_GB2312" w:eastAsia="仿宋_GB2312" w:cs="仿宋_GB2312"/>
          <w:sz w:val="32"/>
          <w:szCs w:val="32"/>
        </w:rPr>
        <w:t>时效指标：</w:t>
      </w:r>
    </w:p>
    <w:p w14:paraId="451AEE00">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：维修维护及时率，指标值：</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月，实际完成值：</w:t>
      </w:r>
      <w:r>
        <w:rPr>
          <w:rFonts w:ascii="仿宋_GB2312" w:hAnsi="仿宋_GB2312" w:eastAsia="仿宋_GB2312" w:cs="仿宋_GB2312"/>
          <w:sz w:val="32"/>
          <w:szCs w:val="32"/>
        </w:rPr>
        <w:t>2023</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11</w:t>
      </w:r>
      <w:r>
        <w:rPr>
          <w:rFonts w:hint="eastAsia" w:ascii="仿宋_GB2312" w:hAnsi="仿宋_GB2312" w:eastAsia="仿宋_GB2312" w:cs="仿宋_GB2312"/>
          <w:sz w:val="32"/>
          <w:szCs w:val="32"/>
        </w:rPr>
        <w:t>月，指标完成率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14:paraId="22C9C0A7">
      <w:pPr>
        <w:pStyle w:val="11"/>
        <w:numPr>
          <w:ilvl w:val="0"/>
          <w:numId w:val="5"/>
        </w:numPr>
        <w:spacing w:line="560" w:lineRule="exact"/>
        <w:ind w:firstLine="31680"/>
        <w:rPr>
          <w:rFonts w:eastAsia="楷体_GB2312"/>
          <w:b/>
          <w:bCs/>
          <w:sz w:val="32"/>
          <w:szCs w:val="32"/>
        </w:rPr>
      </w:pPr>
      <w:r>
        <w:rPr>
          <w:rFonts w:hint="eastAsia" w:eastAsia="楷体_GB2312"/>
          <w:b/>
          <w:bCs/>
          <w:sz w:val="32"/>
          <w:szCs w:val="32"/>
        </w:rPr>
        <w:t>项目效益情况</w:t>
      </w:r>
    </w:p>
    <w:p w14:paraId="710D8F05">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项目效益类指标包括项目实施效益和满意度两方面的内容，由</w:t>
      </w:r>
      <w:r>
        <w:rPr>
          <w:rFonts w:ascii="仿宋_GB2312" w:hAnsi="仿宋_GB2312" w:eastAsia="仿宋_GB2312" w:cs="仿宋_GB2312"/>
          <w:sz w:val="32"/>
          <w:szCs w:val="32"/>
        </w:rPr>
        <w:t>3</w:t>
      </w:r>
      <w:r>
        <w:rPr>
          <w:rFonts w:hint="eastAsia" w:ascii="仿宋_GB2312" w:hAnsi="仿宋_GB2312" w:eastAsia="仿宋_GB2312" w:cs="仿宋_GB2312"/>
          <w:sz w:val="32"/>
          <w:szCs w:val="32"/>
        </w:rPr>
        <w:t>个三级指标构成，权重分为</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分，实际得分</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分，得分率为</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。具体效益指标及满意度指标完成情况如下：</w:t>
      </w:r>
    </w:p>
    <w:p w14:paraId="2A9897C7">
      <w:pPr>
        <w:spacing w:line="60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实施效益</w:t>
      </w:r>
    </w:p>
    <w:p w14:paraId="375DEE4D">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①社会效益指标：</w:t>
      </w:r>
    </w:p>
    <w:p w14:paraId="7FC193AF">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：维修后正常运转率，指标值：</w:t>
      </w:r>
      <w:r>
        <w:rPr>
          <w:rFonts w:ascii="仿宋_GB2312" w:hAnsi="仿宋_GB2312" w:eastAsia="仿宋_GB2312" w:cs="仿宋_GB2312"/>
          <w:sz w:val="32"/>
          <w:szCs w:val="32"/>
        </w:rPr>
        <w:t xml:space="preserve">&gt;=98% </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102.04%</w:t>
      </w:r>
      <w:r>
        <w:rPr>
          <w:rFonts w:hint="eastAsia" w:ascii="仿宋_GB2312" w:hAnsi="仿宋_GB2312" w:eastAsia="仿宋_GB2312" w:cs="仿宋_GB2312"/>
          <w:sz w:val="32"/>
          <w:szCs w:val="32"/>
        </w:rPr>
        <w:t>。</w:t>
      </w:r>
    </w:p>
    <w:p w14:paraId="4E42637F">
      <w:pPr>
        <w:spacing w:line="600" w:lineRule="exact"/>
        <w:ind w:firstLine="105" w:firstLineChars="50"/>
        <w:outlineLvl w:val="0"/>
        <w:rPr>
          <w:rFonts w:ascii="仿宋_GB2312" w:hAnsi="仿宋_GB2312" w:eastAsia="仿宋_GB2312" w:cs="仿宋_GB2312"/>
          <w:sz w:val="32"/>
          <w:szCs w:val="32"/>
        </w:rPr>
      </w:pPr>
      <w:r>
        <w:t xml:space="preserve">  </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指标</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：有效服务巴州社会稳定和经济持续发展，指标值：长期有效</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，实际完成值：长期有效，指标完成率</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w:t>
      </w:r>
    </w:p>
    <w:p w14:paraId="35CEE384">
      <w:pPr>
        <w:spacing w:line="60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满意度</w:t>
      </w:r>
    </w:p>
    <w:p w14:paraId="6C36E687">
      <w:pPr>
        <w:spacing w:line="600" w:lineRule="exact"/>
        <w:ind w:firstLine="640" w:firstLineChars="200"/>
        <w:outlineLvl w:val="0"/>
        <w:rPr>
          <w:rFonts w:ascii="仿宋_GB2312" w:hAnsi="仿宋_GB2312" w:eastAsia="仿宋_GB2312" w:cs="仿宋_GB2312"/>
          <w:sz w:val="32"/>
          <w:szCs w:val="32"/>
        </w:rPr>
      </w:pPr>
      <w:r>
        <w:rPr>
          <w:rFonts w:hint="eastAsia" w:ascii="仿宋_GB2312" w:hAnsi="仿宋_GB2312" w:eastAsia="仿宋_GB2312" w:cs="仿宋_GB2312"/>
          <w:sz w:val="32"/>
          <w:szCs w:val="32"/>
        </w:rPr>
        <w:t>满意度指标：指标</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：服务对象满意度，指标值：</w:t>
      </w:r>
      <w:r>
        <w:rPr>
          <w:rFonts w:ascii="仿宋_GB2312" w:hAnsi="仿宋_GB2312" w:eastAsia="仿宋_GB2312" w:cs="仿宋_GB2312"/>
          <w:sz w:val="32"/>
          <w:szCs w:val="32"/>
        </w:rPr>
        <w:t xml:space="preserve">&gt;=98% </w:t>
      </w:r>
      <w:r>
        <w:rPr>
          <w:rFonts w:hint="eastAsia" w:ascii="仿宋_GB2312" w:hAnsi="仿宋_GB2312" w:eastAsia="仿宋_GB2312" w:cs="仿宋_GB2312"/>
          <w:sz w:val="32"/>
          <w:szCs w:val="32"/>
        </w:rPr>
        <w:t>，实际完成值：</w:t>
      </w:r>
      <w:r>
        <w:rPr>
          <w:rFonts w:ascii="仿宋_GB2312" w:hAnsi="仿宋_GB2312" w:eastAsia="仿宋_GB2312" w:cs="仿宋_GB2312"/>
          <w:sz w:val="32"/>
          <w:szCs w:val="32"/>
        </w:rPr>
        <w:t>100%</w:t>
      </w:r>
      <w:r>
        <w:rPr>
          <w:rFonts w:hint="eastAsia" w:ascii="仿宋_GB2312" w:hAnsi="仿宋_GB2312" w:eastAsia="仿宋_GB2312" w:cs="仿宋_GB2312"/>
          <w:sz w:val="32"/>
          <w:szCs w:val="32"/>
        </w:rPr>
        <w:t>，指标完成率</w:t>
      </w:r>
      <w:r>
        <w:rPr>
          <w:rFonts w:ascii="仿宋_GB2312" w:hAnsi="仿宋_GB2312" w:eastAsia="仿宋_GB2312" w:cs="仿宋_GB2312"/>
          <w:sz w:val="32"/>
          <w:szCs w:val="32"/>
        </w:rPr>
        <w:t>102.04%</w:t>
      </w:r>
      <w:r>
        <w:rPr>
          <w:rFonts w:hint="eastAsia" w:ascii="仿宋_GB2312" w:hAnsi="仿宋_GB2312" w:eastAsia="仿宋_GB2312" w:cs="仿宋_GB2312"/>
          <w:sz w:val="32"/>
          <w:szCs w:val="32"/>
        </w:rPr>
        <w:t>。</w:t>
      </w:r>
    </w:p>
    <w:p w14:paraId="341D422F">
      <w:pPr>
        <w:spacing w:line="560" w:lineRule="exact"/>
        <w:ind w:firstLine="640" w:firstLineChars="200"/>
        <w:rPr>
          <w:rFonts w:eastAsia="黑体"/>
          <w:sz w:val="32"/>
          <w:szCs w:val="32"/>
        </w:rPr>
      </w:pPr>
      <w:r>
        <w:rPr>
          <w:rFonts w:hint="eastAsia" w:eastAsia="黑体"/>
          <w:sz w:val="32"/>
          <w:szCs w:val="32"/>
        </w:rPr>
        <w:t>五、预算执行进度与绩效指标总体完成率偏差</w:t>
      </w:r>
    </w:p>
    <w:p w14:paraId="56916764">
      <w:pPr>
        <w:pStyle w:val="29"/>
        <w:spacing w:line="560" w:lineRule="exact"/>
        <w:ind w:firstLine="64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巴州B级控制中心维修维护年初预算3.6万元，全年预算3.6万元，实际支出3.55万元，预算执行率为98.61%，项目绩效指标总体完成率为99.38%，总体偏差率为0.77%,偏差原因实际支出数比预算数要少，改进措施加强科学精准编制预算。</w:t>
      </w:r>
    </w:p>
    <w:p w14:paraId="5259DA79">
      <w:pPr>
        <w:spacing w:line="560" w:lineRule="exact"/>
        <w:ind w:firstLine="640" w:firstLineChars="200"/>
        <w:rPr>
          <w:rStyle w:val="28"/>
          <w:rFonts w:ascii="Times New Roman" w:hAnsi="Times New Roman"/>
          <w:color w:val="auto"/>
          <w:szCs w:val="32"/>
        </w:rPr>
      </w:pPr>
      <w:r>
        <w:rPr>
          <w:rFonts w:hint="eastAsia" w:eastAsia="黑体"/>
          <w:sz w:val="32"/>
          <w:szCs w:val="32"/>
        </w:rPr>
        <w:t>六、主要经验及做法、存在的问题及原因分析</w:t>
      </w:r>
    </w:p>
    <w:p w14:paraId="5AC078E7">
      <w:pPr>
        <w:spacing w:line="560" w:lineRule="exact"/>
        <w:ind w:firstLine="627" w:firstLineChars="200"/>
        <w:rPr>
          <w:rFonts w:eastAsia="楷体"/>
          <w:b/>
          <w:spacing w:val="-4"/>
          <w:sz w:val="32"/>
          <w:szCs w:val="32"/>
        </w:rPr>
      </w:pPr>
      <w:r>
        <w:rPr>
          <w:rFonts w:hint="eastAsia" w:eastAsia="楷体"/>
          <w:b/>
          <w:spacing w:val="-4"/>
          <w:sz w:val="32"/>
          <w:szCs w:val="32"/>
        </w:rPr>
        <w:t>（一）主要经验及做法</w:t>
      </w:r>
    </w:p>
    <w:p w14:paraId="341122C0">
      <w:pPr>
        <w:spacing w:line="560" w:lineRule="exact"/>
        <w:ind w:firstLine="640" w:firstLineChars="200"/>
        <w:rPr>
          <w:rFonts w:eastAsia="仿宋_GB2312"/>
          <w:sz w:val="32"/>
          <w:szCs w:val="32"/>
        </w:rPr>
      </w:pPr>
      <w:r>
        <w:rPr>
          <w:rFonts w:hint="eastAsia" w:eastAsia="仿宋_GB2312"/>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437ECB46">
      <w:pPr>
        <w:pStyle w:val="2"/>
        <w:spacing w:before="0" w:after="0" w:line="560" w:lineRule="exact"/>
        <w:ind w:firstLine="640" w:firstLineChars="200"/>
        <w:jc w:val="left"/>
        <w:rPr>
          <w:rFonts w:ascii="Times New Roman" w:hAnsi="Times New Roman" w:eastAsia="仿宋_GB2312"/>
          <w:b w:val="0"/>
          <w:bCs w:val="0"/>
          <w:kern w:val="2"/>
        </w:rPr>
      </w:pPr>
      <w:r>
        <w:rPr>
          <w:rFonts w:hint="eastAsia"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5FF06E08">
      <w:pPr>
        <w:keepNext/>
        <w:keepLines/>
        <w:numPr>
          <w:ilvl w:val="0"/>
          <w:numId w:val="6"/>
        </w:numPr>
        <w:spacing w:line="560" w:lineRule="exact"/>
        <w:ind w:firstLine="643" w:firstLineChars="200"/>
        <w:rPr>
          <w:rFonts w:ascii="仿宋_GB2312" w:hAnsi="仿宋_GB2312" w:eastAsia="仿宋_GB2312" w:cs="仿宋_GB2312"/>
          <w:sz w:val="32"/>
          <w:szCs w:val="32"/>
        </w:rPr>
      </w:pPr>
      <w:r>
        <w:rPr>
          <w:rFonts w:hint="eastAsia" w:eastAsia="楷体_GB2312"/>
          <w:b/>
          <w:bCs/>
          <w:sz w:val="32"/>
          <w:szCs w:val="32"/>
        </w:rPr>
        <w:t>存在的问题及原因分析</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14:paraId="07660EC3">
      <w:pPr>
        <w:spacing w:line="60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因轮岗、调动、等因素使我单位绩效工作人员流动频繁，造成了工作衔接不到位的情况。</w:t>
      </w:r>
    </w:p>
    <w:p w14:paraId="4311BE8A">
      <w:pPr>
        <w:spacing w:line="560" w:lineRule="exact"/>
        <w:ind w:firstLine="640" w:firstLineChars="200"/>
        <w:rPr>
          <w:rFonts w:eastAsia="黑体"/>
          <w:sz w:val="32"/>
          <w:szCs w:val="32"/>
        </w:rPr>
      </w:pPr>
      <w:r>
        <w:rPr>
          <w:rFonts w:hint="eastAsia" w:eastAsia="黑体"/>
          <w:sz w:val="32"/>
          <w:szCs w:val="32"/>
        </w:rPr>
        <w:t>七、有关建议</w:t>
      </w:r>
    </w:p>
    <w:p w14:paraId="48EF5995">
      <w:pPr>
        <w:spacing w:line="60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多进行有关绩效管理工作方面的培训。积极组织第三方开展绩效管理工作培训，进一步夯实业务基础，提高我单位绩效人员水平。</w:t>
      </w:r>
    </w:p>
    <w:p w14:paraId="4E24C1FF">
      <w:pPr>
        <w:spacing w:line="60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专门设定对绩效工作人员定职、定岗、定责等相关制度措施，进一步提升我单位绩效管理工作业务水平，扎实做好绩效管理工作。</w:t>
      </w:r>
    </w:p>
    <w:p w14:paraId="1D433230">
      <w:pPr>
        <w:spacing w:line="60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3.</w:t>
      </w:r>
      <w:r>
        <w:rPr>
          <w:rFonts w:hint="eastAsia" w:ascii="仿宋_GB2312" w:hAnsi="仿宋_GB2312" w:eastAsia="仿宋_GB2312" w:cs="仿宋_GB2312"/>
          <w:sz w:val="32"/>
          <w:szCs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p>
    <w:p w14:paraId="234D1169">
      <w:pPr>
        <w:spacing w:line="600" w:lineRule="exact"/>
        <w:ind w:firstLine="640" w:firstLineChars="200"/>
        <w:outlineLvl w:val="0"/>
        <w:rPr>
          <w:sz w:val="22"/>
          <w:szCs w:val="28"/>
        </w:rPr>
      </w:pPr>
      <w:r>
        <w:rPr>
          <w:rFonts w:ascii="仿宋_GB2312" w:hAnsi="仿宋_GB2312" w:eastAsia="仿宋_GB2312" w:cs="仿宋_GB2312"/>
          <w:sz w:val="32"/>
          <w:szCs w:val="32"/>
        </w:rPr>
        <w:t>4.</w:t>
      </w:r>
      <w:r>
        <w:rPr>
          <w:rFonts w:hint="eastAsia" w:ascii="仿宋_GB2312" w:hAnsi="仿宋_GB2312" w:eastAsia="仿宋_GB2312" w:cs="仿宋_GB2312"/>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sz w:val="36"/>
          <w:szCs w:val="32"/>
        </w:rPr>
        <w:t>。</w:t>
      </w:r>
    </w:p>
    <w:p w14:paraId="0D45F106">
      <w:pPr>
        <w:spacing w:line="600" w:lineRule="exact"/>
        <w:ind w:firstLine="640" w:firstLineChars="200"/>
        <w:outlineLvl w:val="0"/>
        <w:rPr>
          <w:rFonts w:ascii="仿宋_GB2312" w:hAnsi="仿宋_GB2312" w:eastAsia="仿宋_GB2312" w:cs="仿宋_GB2312"/>
          <w:sz w:val="32"/>
          <w:szCs w:val="32"/>
        </w:rPr>
      </w:pPr>
      <w:r>
        <w:rPr>
          <w:rFonts w:ascii="仿宋_GB2312" w:hAnsi="仿宋_GB2312" w:eastAsia="仿宋_GB2312" w:cs="仿宋_GB2312"/>
          <w:sz w:val="32"/>
          <w:szCs w:val="32"/>
        </w:rPr>
        <w:t>5.</w:t>
      </w:r>
      <w:r>
        <w:rPr>
          <w:rFonts w:hint="eastAsia" w:ascii="仿宋_GB2312" w:hAnsi="仿宋_GB2312" w:eastAsia="仿宋_GB2312" w:cs="仿宋_GB2312"/>
          <w:sz w:val="32"/>
          <w:szCs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5442E380">
      <w:pPr>
        <w:spacing w:line="560" w:lineRule="exact"/>
        <w:ind w:firstLine="640" w:firstLineChars="200"/>
        <w:rPr>
          <w:rFonts w:eastAsia="黑体"/>
          <w:sz w:val="32"/>
          <w:szCs w:val="32"/>
        </w:rPr>
      </w:pPr>
      <w:r>
        <w:rPr>
          <w:rFonts w:hint="eastAsia" w:eastAsia="黑体"/>
          <w:sz w:val="32"/>
          <w:szCs w:val="32"/>
        </w:rPr>
        <w:t>八、其他需要说</w:t>
      </w:r>
      <w:bookmarkStart w:id="6" w:name="page8"/>
      <w:bookmarkEnd w:id="6"/>
      <w:r>
        <w:rPr>
          <w:rFonts w:hint="eastAsia" w:eastAsia="黑体"/>
          <w:sz w:val="32"/>
          <w:szCs w:val="32"/>
        </w:rPr>
        <w:t>明的问题</w:t>
      </w:r>
    </w:p>
    <w:p w14:paraId="3DF9607B">
      <w:pPr>
        <w:pStyle w:val="12"/>
        <w:spacing w:after="0" w:line="560" w:lineRule="exact"/>
        <w:ind w:left="0" w:leftChars="0" w:firstLine="31680"/>
        <w:rPr>
          <w:rFonts w:ascii="仿宋_GB2312" w:hAnsi="仿宋_GB2312" w:eastAsia="仿宋_GB2312" w:cs="仿宋_GB2312"/>
          <w:sz w:val="32"/>
          <w:szCs w:val="32"/>
        </w:rPr>
      </w:pPr>
      <w:r>
        <w:rPr>
          <w:rFonts w:hint="eastAsia" w:ascii="仿宋_GB2312" w:hAnsi="仿宋_GB2312" w:eastAsia="仿宋_GB2312" w:cs="仿宋_GB2312"/>
          <w:sz w:val="32"/>
          <w:szCs w:val="32"/>
        </w:rPr>
        <w:t>本项目无其他需说明的问题。</w:t>
      </w:r>
    </w:p>
    <w:p w14:paraId="44E1EDEB">
      <w:pPr>
        <w:widowControl/>
        <w:jc w:val="center"/>
        <w:textAlignment w:val="center"/>
        <w:rPr>
          <w:rFonts w:eastAsia="方正小标宋简体"/>
          <w:b/>
          <w:kern w:val="0"/>
          <w:sz w:val="32"/>
          <w:szCs w:val="32"/>
        </w:rPr>
        <w:sectPr>
          <w:pgSz w:w="11906" w:h="16838"/>
          <w:pgMar w:top="1440" w:right="1558" w:bottom="1440" w:left="1800" w:header="851" w:footer="992" w:gutter="0"/>
          <w:cols w:space="425" w:num="1"/>
          <w:docGrid w:type="lines" w:linePitch="312" w:charSpace="0"/>
        </w:sectPr>
      </w:pPr>
    </w:p>
    <w:p w14:paraId="56F36039">
      <w:pPr>
        <w:spacing w:line="600" w:lineRule="exact"/>
        <w:rPr>
          <w:rFonts w:ascii="黑体" w:hAnsi="黑体" w:eastAsia="黑体" w:cs="黑体"/>
        </w:rPr>
      </w:pPr>
      <w:bookmarkStart w:id="9" w:name="_GoBack"/>
      <w:bookmarkEnd w:id="9"/>
      <w:r>
        <w:rPr>
          <w:rFonts w:hint="eastAsia" w:ascii="黑体" w:hAnsi="黑体" w:eastAsia="黑体" w:cs="黑体"/>
          <w:bCs/>
          <w:sz w:val="32"/>
          <w:szCs w:val="32"/>
        </w:rPr>
        <w:t>附件</w:t>
      </w:r>
      <w:r>
        <w:rPr>
          <w:rFonts w:ascii="黑体" w:hAnsi="黑体" w:eastAsia="黑体" w:cs="黑体"/>
          <w:bCs/>
          <w:sz w:val="32"/>
          <w:szCs w:val="32"/>
        </w:rPr>
        <w:t>1</w:t>
      </w:r>
    </w:p>
    <w:p w14:paraId="6AFAA077">
      <w:pPr>
        <w:pStyle w:val="29"/>
        <w:ind w:firstLine="562"/>
        <w:jc w:val="center"/>
        <w:rPr>
          <w:b/>
          <w:bCs/>
          <w:sz w:val="28"/>
          <w:szCs w:val="40"/>
        </w:rPr>
      </w:pPr>
      <w:bookmarkStart w:id="7" w:name="_Toc30064_WPSOffice_Level1"/>
      <w:bookmarkStart w:id="8" w:name="_Toc26499_WPSOffice_Level2"/>
      <w:r>
        <w:rPr>
          <w:rFonts w:hint="eastAsia"/>
          <w:b/>
          <w:bCs/>
          <w:sz w:val="28"/>
          <w:szCs w:val="40"/>
        </w:rPr>
        <w:t>巴州无线电管理局</w:t>
      </w:r>
      <w:r>
        <w:rPr>
          <w:b/>
          <w:bCs/>
          <w:sz w:val="28"/>
          <w:szCs w:val="40"/>
        </w:rPr>
        <w:t>B</w:t>
      </w:r>
      <w:r>
        <w:rPr>
          <w:rFonts w:hint="eastAsia"/>
          <w:b/>
          <w:bCs/>
          <w:sz w:val="28"/>
          <w:szCs w:val="40"/>
        </w:rPr>
        <w:t>级控制中心维修维护项目绩效评价指标</w:t>
      </w:r>
    </w:p>
    <w:p w14:paraId="13C18C4A">
      <w:pPr>
        <w:pStyle w:val="29"/>
        <w:ind w:firstLine="562"/>
        <w:jc w:val="center"/>
        <w:rPr>
          <w:sz w:val="28"/>
          <w:szCs w:val="40"/>
        </w:rPr>
      </w:pPr>
      <w:r>
        <w:rPr>
          <w:rFonts w:hint="eastAsia"/>
          <w:b/>
          <w:bCs/>
          <w:sz w:val="28"/>
          <w:szCs w:val="40"/>
        </w:rPr>
        <w:t>体系及综合评分表</w:t>
      </w:r>
      <w:bookmarkEnd w:id="7"/>
      <w:bookmarkEnd w:id="8"/>
    </w:p>
    <w:tbl>
      <w:tblPr>
        <w:tblStyle w:val="13"/>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437"/>
        <w:gridCol w:w="437"/>
        <w:gridCol w:w="437"/>
        <w:gridCol w:w="1268"/>
        <w:gridCol w:w="4103"/>
        <w:gridCol w:w="438"/>
        <w:gridCol w:w="505"/>
      </w:tblGrid>
      <w:tr w14:paraId="64470F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298" w:type="pct"/>
            <w:shd w:val="clear" w:color="auto" w:fill="FFFFFF"/>
            <w:vAlign w:val="center"/>
          </w:tcPr>
          <w:p w14:paraId="62C55505">
            <w:pPr>
              <w:widowControl/>
              <w:spacing w:line="240" w:lineRule="atLeast"/>
              <w:jc w:val="center"/>
              <w:rPr>
                <w:b/>
                <w:bCs/>
                <w:color w:val="000000"/>
                <w:kern w:val="0"/>
                <w:sz w:val="22"/>
                <w:szCs w:val="22"/>
              </w:rPr>
            </w:pPr>
            <w:r>
              <w:rPr>
                <w:rFonts w:hint="eastAsia"/>
                <w:b/>
                <w:bCs/>
                <w:color w:val="000000"/>
                <w:kern w:val="0"/>
                <w:sz w:val="22"/>
                <w:szCs w:val="22"/>
              </w:rPr>
              <w:t>一级指标</w:t>
            </w:r>
          </w:p>
        </w:tc>
        <w:tc>
          <w:tcPr>
            <w:tcW w:w="287" w:type="pct"/>
            <w:shd w:val="clear" w:color="auto" w:fill="FFFFFF"/>
            <w:vAlign w:val="center"/>
          </w:tcPr>
          <w:p w14:paraId="67DB0CC8">
            <w:pPr>
              <w:widowControl/>
              <w:spacing w:line="240" w:lineRule="atLeast"/>
              <w:jc w:val="center"/>
              <w:rPr>
                <w:b/>
                <w:bCs/>
                <w:color w:val="000000"/>
                <w:kern w:val="0"/>
                <w:sz w:val="22"/>
                <w:szCs w:val="22"/>
              </w:rPr>
            </w:pPr>
            <w:r>
              <w:rPr>
                <w:rFonts w:hint="eastAsia"/>
                <w:b/>
                <w:bCs/>
                <w:color w:val="000000"/>
                <w:kern w:val="0"/>
                <w:sz w:val="22"/>
                <w:szCs w:val="22"/>
              </w:rPr>
              <w:t>二级指标</w:t>
            </w:r>
          </w:p>
        </w:tc>
        <w:tc>
          <w:tcPr>
            <w:tcW w:w="298" w:type="pct"/>
            <w:shd w:val="clear" w:color="auto" w:fill="FFFFFF"/>
            <w:vAlign w:val="center"/>
          </w:tcPr>
          <w:p w14:paraId="5F695BB0">
            <w:pPr>
              <w:widowControl/>
              <w:spacing w:line="240" w:lineRule="atLeast"/>
              <w:jc w:val="center"/>
              <w:rPr>
                <w:b/>
                <w:bCs/>
                <w:color w:val="000000"/>
                <w:kern w:val="0"/>
                <w:sz w:val="22"/>
                <w:szCs w:val="22"/>
              </w:rPr>
            </w:pPr>
            <w:r>
              <w:rPr>
                <w:rFonts w:hint="eastAsia"/>
                <w:b/>
                <w:bCs/>
                <w:color w:val="000000"/>
                <w:kern w:val="0"/>
                <w:sz w:val="22"/>
                <w:szCs w:val="22"/>
              </w:rPr>
              <w:t>三级指标</w:t>
            </w:r>
          </w:p>
        </w:tc>
        <w:tc>
          <w:tcPr>
            <w:tcW w:w="897" w:type="pct"/>
            <w:shd w:val="clear" w:color="auto" w:fill="FFFFFF"/>
            <w:vAlign w:val="center"/>
          </w:tcPr>
          <w:p w14:paraId="7BD47702">
            <w:pPr>
              <w:widowControl/>
              <w:spacing w:line="240" w:lineRule="atLeast"/>
              <w:jc w:val="center"/>
              <w:rPr>
                <w:b/>
                <w:bCs/>
                <w:color w:val="000000"/>
                <w:kern w:val="0"/>
                <w:sz w:val="22"/>
                <w:szCs w:val="22"/>
              </w:rPr>
            </w:pPr>
            <w:r>
              <w:rPr>
                <w:rFonts w:hint="eastAsia"/>
                <w:b/>
                <w:bCs/>
                <w:color w:val="000000"/>
                <w:kern w:val="0"/>
                <w:sz w:val="22"/>
                <w:szCs w:val="22"/>
              </w:rPr>
              <w:t>指标解释</w:t>
            </w:r>
          </w:p>
        </w:tc>
        <w:tc>
          <w:tcPr>
            <w:tcW w:w="2712" w:type="pct"/>
            <w:shd w:val="clear" w:color="auto" w:fill="FFFFFF"/>
            <w:vAlign w:val="center"/>
          </w:tcPr>
          <w:p w14:paraId="00A92049">
            <w:pPr>
              <w:widowControl/>
              <w:spacing w:line="240" w:lineRule="atLeast"/>
              <w:jc w:val="center"/>
              <w:rPr>
                <w:b/>
                <w:bCs/>
                <w:color w:val="000000"/>
                <w:kern w:val="0"/>
                <w:sz w:val="22"/>
                <w:szCs w:val="22"/>
              </w:rPr>
            </w:pPr>
            <w:r>
              <w:rPr>
                <w:rFonts w:hint="eastAsia"/>
                <w:b/>
                <w:bCs/>
                <w:color w:val="000000"/>
                <w:kern w:val="0"/>
                <w:sz w:val="22"/>
                <w:szCs w:val="22"/>
              </w:rPr>
              <w:t>指标说明</w:t>
            </w:r>
          </w:p>
        </w:tc>
        <w:tc>
          <w:tcPr>
            <w:tcW w:w="155" w:type="pct"/>
            <w:shd w:val="clear" w:color="auto" w:fill="FFFFFF"/>
            <w:vAlign w:val="center"/>
          </w:tcPr>
          <w:p w14:paraId="1E983678">
            <w:pPr>
              <w:widowControl/>
              <w:spacing w:line="240" w:lineRule="atLeast"/>
              <w:jc w:val="center"/>
              <w:rPr>
                <w:b/>
                <w:bCs/>
                <w:color w:val="000000"/>
                <w:kern w:val="0"/>
                <w:sz w:val="22"/>
                <w:szCs w:val="22"/>
              </w:rPr>
            </w:pPr>
            <w:r>
              <w:rPr>
                <w:rFonts w:hint="eastAsia"/>
                <w:b/>
                <w:bCs/>
                <w:color w:val="000000"/>
                <w:kern w:val="0"/>
                <w:sz w:val="22"/>
                <w:szCs w:val="22"/>
              </w:rPr>
              <w:t>权重</w:t>
            </w:r>
          </w:p>
        </w:tc>
        <w:tc>
          <w:tcPr>
            <w:tcW w:w="354" w:type="pct"/>
            <w:shd w:val="clear" w:color="auto" w:fill="FFFFFF"/>
            <w:vAlign w:val="center"/>
          </w:tcPr>
          <w:p w14:paraId="19CCA40D">
            <w:pPr>
              <w:widowControl/>
              <w:spacing w:line="240" w:lineRule="atLeast"/>
              <w:jc w:val="center"/>
              <w:rPr>
                <w:b/>
                <w:bCs/>
                <w:color w:val="000000"/>
                <w:kern w:val="0"/>
                <w:sz w:val="22"/>
                <w:szCs w:val="22"/>
              </w:rPr>
            </w:pPr>
            <w:r>
              <w:rPr>
                <w:rFonts w:hint="eastAsia"/>
                <w:b/>
                <w:bCs/>
                <w:color w:val="000000"/>
                <w:kern w:val="0"/>
                <w:sz w:val="22"/>
                <w:szCs w:val="22"/>
              </w:rPr>
              <w:t>得分</w:t>
            </w:r>
          </w:p>
        </w:tc>
      </w:tr>
      <w:tr w14:paraId="186AC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298" w:type="pct"/>
            <w:vMerge w:val="restart"/>
            <w:shd w:val="clear" w:color="auto" w:fill="FFFFFF"/>
            <w:vAlign w:val="center"/>
          </w:tcPr>
          <w:p w14:paraId="382977F1">
            <w:pPr>
              <w:widowControl/>
              <w:spacing w:line="240" w:lineRule="atLeast"/>
              <w:jc w:val="center"/>
              <w:rPr>
                <w:color w:val="000000"/>
                <w:kern w:val="0"/>
                <w:sz w:val="22"/>
                <w:szCs w:val="22"/>
              </w:rPr>
            </w:pPr>
          </w:p>
          <w:p w14:paraId="20ABC8A5">
            <w:pPr>
              <w:widowControl/>
              <w:spacing w:line="240" w:lineRule="atLeast"/>
              <w:jc w:val="center"/>
              <w:rPr>
                <w:color w:val="000000"/>
                <w:kern w:val="0"/>
                <w:sz w:val="22"/>
                <w:szCs w:val="22"/>
              </w:rPr>
            </w:pPr>
          </w:p>
          <w:p w14:paraId="056E98A0">
            <w:pPr>
              <w:widowControl/>
              <w:spacing w:line="240" w:lineRule="atLeast"/>
              <w:jc w:val="center"/>
              <w:rPr>
                <w:color w:val="000000"/>
                <w:kern w:val="0"/>
                <w:sz w:val="22"/>
                <w:szCs w:val="22"/>
              </w:rPr>
            </w:pPr>
          </w:p>
          <w:p w14:paraId="03F9E453">
            <w:pPr>
              <w:widowControl/>
              <w:spacing w:line="240" w:lineRule="atLeast"/>
              <w:jc w:val="center"/>
              <w:rPr>
                <w:color w:val="000000"/>
                <w:kern w:val="0"/>
                <w:sz w:val="22"/>
                <w:szCs w:val="22"/>
              </w:rPr>
            </w:pPr>
          </w:p>
          <w:p w14:paraId="462E4FE2">
            <w:pPr>
              <w:widowControl/>
              <w:spacing w:line="240" w:lineRule="atLeast"/>
              <w:jc w:val="center"/>
              <w:rPr>
                <w:color w:val="000000"/>
                <w:kern w:val="0"/>
                <w:sz w:val="22"/>
                <w:szCs w:val="22"/>
              </w:rPr>
            </w:pPr>
          </w:p>
          <w:p w14:paraId="447454BD">
            <w:pPr>
              <w:widowControl/>
              <w:spacing w:line="240" w:lineRule="atLeast"/>
              <w:jc w:val="center"/>
              <w:rPr>
                <w:color w:val="000000"/>
                <w:kern w:val="0"/>
                <w:sz w:val="22"/>
                <w:szCs w:val="22"/>
              </w:rPr>
            </w:pPr>
          </w:p>
          <w:p w14:paraId="6082A5AA">
            <w:pPr>
              <w:widowControl/>
              <w:spacing w:line="240" w:lineRule="atLeast"/>
              <w:jc w:val="center"/>
              <w:rPr>
                <w:color w:val="000000"/>
                <w:kern w:val="0"/>
                <w:sz w:val="22"/>
                <w:szCs w:val="22"/>
              </w:rPr>
            </w:pPr>
            <w:r>
              <w:rPr>
                <w:rFonts w:hint="eastAsia"/>
                <w:color w:val="000000"/>
                <w:kern w:val="0"/>
                <w:sz w:val="22"/>
                <w:szCs w:val="22"/>
              </w:rPr>
              <w:t>决策　</w:t>
            </w:r>
          </w:p>
        </w:tc>
        <w:tc>
          <w:tcPr>
            <w:tcW w:w="287" w:type="pct"/>
            <w:vMerge w:val="restart"/>
            <w:shd w:val="clear" w:color="auto" w:fill="FFFFFF"/>
            <w:vAlign w:val="center"/>
          </w:tcPr>
          <w:p w14:paraId="2A049932">
            <w:pPr>
              <w:widowControl/>
              <w:spacing w:line="240" w:lineRule="atLeast"/>
              <w:jc w:val="center"/>
              <w:rPr>
                <w:color w:val="000000"/>
                <w:kern w:val="0"/>
                <w:sz w:val="22"/>
                <w:szCs w:val="22"/>
              </w:rPr>
            </w:pPr>
            <w:r>
              <w:rPr>
                <w:rFonts w:hint="eastAsia"/>
                <w:color w:val="000000"/>
                <w:kern w:val="0"/>
                <w:sz w:val="22"/>
                <w:szCs w:val="22"/>
              </w:rPr>
              <w:t>项目立项　</w:t>
            </w:r>
          </w:p>
        </w:tc>
        <w:tc>
          <w:tcPr>
            <w:tcW w:w="298" w:type="pct"/>
            <w:shd w:val="clear" w:color="auto" w:fill="FFFFFF"/>
            <w:vAlign w:val="center"/>
          </w:tcPr>
          <w:p w14:paraId="5A4E2404">
            <w:pPr>
              <w:widowControl/>
              <w:spacing w:line="240" w:lineRule="atLeast"/>
              <w:jc w:val="center"/>
              <w:rPr>
                <w:color w:val="000000"/>
                <w:kern w:val="0"/>
                <w:sz w:val="22"/>
                <w:szCs w:val="22"/>
              </w:rPr>
            </w:pPr>
            <w:r>
              <w:rPr>
                <w:rFonts w:hint="eastAsia"/>
                <w:color w:val="000000"/>
                <w:kern w:val="0"/>
                <w:sz w:val="22"/>
                <w:szCs w:val="22"/>
              </w:rPr>
              <w:t>立项依据</w:t>
            </w:r>
          </w:p>
          <w:p w14:paraId="161838B2">
            <w:pPr>
              <w:widowControl/>
              <w:spacing w:line="240" w:lineRule="atLeast"/>
              <w:jc w:val="center"/>
              <w:rPr>
                <w:color w:val="000000"/>
                <w:kern w:val="0"/>
                <w:sz w:val="22"/>
                <w:szCs w:val="22"/>
              </w:rPr>
            </w:pPr>
            <w:r>
              <w:rPr>
                <w:rFonts w:hint="eastAsia"/>
                <w:color w:val="000000"/>
                <w:kern w:val="0"/>
                <w:sz w:val="22"/>
                <w:szCs w:val="22"/>
              </w:rPr>
              <w:t>充分性</w:t>
            </w:r>
          </w:p>
        </w:tc>
        <w:tc>
          <w:tcPr>
            <w:tcW w:w="897" w:type="pct"/>
            <w:shd w:val="clear" w:color="auto" w:fill="FFFFFF"/>
            <w:vAlign w:val="center"/>
          </w:tcPr>
          <w:p w14:paraId="5656C85B">
            <w:pPr>
              <w:widowControl/>
              <w:spacing w:line="240" w:lineRule="atLeast"/>
              <w:rPr>
                <w:color w:val="000000"/>
                <w:kern w:val="0"/>
                <w:sz w:val="22"/>
                <w:szCs w:val="22"/>
              </w:rPr>
            </w:pPr>
            <w:r>
              <w:rPr>
                <w:rFonts w:hint="eastAsia"/>
                <w:color w:val="000000"/>
                <w:kern w:val="0"/>
                <w:sz w:val="22"/>
                <w:szCs w:val="22"/>
              </w:rPr>
              <w:t>项目立项是否符合法律法规、相关政策、发展规划以及部门职责，用以反映和考核项目立项依据情况。</w:t>
            </w:r>
          </w:p>
        </w:tc>
        <w:tc>
          <w:tcPr>
            <w:tcW w:w="2712" w:type="pct"/>
            <w:shd w:val="clear" w:color="auto" w:fill="FFFFFF"/>
            <w:vAlign w:val="center"/>
          </w:tcPr>
          <w:p w14:paraId="030F8DCC">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rFonts w:hint="eastAsia"/>
                <w:color w:val="000000"/>
                <w:kern w:val="0"/>
                <w:sz w:val="22"/>
                <w:szCs w:val="22"/>
              </w:rPr>
              <w:t>项目立项是否符合国家法律法规、国民经济发展规划和相关政策；</w:t>
            </w:r>
            <w:r>
              <w:rPr>
                <w:color w:val="000000"/>
                <w:kern w:val="0"/>
                <w:sz w:val="22"/>
                <w:szCs w:val="22"/>
              </w:rPr>
              <w:br w:type="textWrapping"/>
            </w:r>
            <w:r>
              <w:rPr>
                <w:rFonts w:hint="eastAsia"/>
                <w:color w:val="000000"/>
                <w:kern w:val="0"/>
                <w:sz w:val="22"/>
                <w:szCs w:val="22"/>
              </w:rPr>
              <w:t>项目立项是否符合行业发展规划和政策要求；</w:t>
            </w:r>
            <w:r>
              <w:rPr>
                <w:color w:val="000000"/>
                <w:kern w:val="0"/>
                <w:sz w:val="22"/>
                <w:szCs w:val="22"/>
              </w:rPr>
              <w:br w:type="textWrapping"/>
            </w:r>
            <w:r>
              <w:rPr>
                <w:rFonts w:hint="eastAsia"/>
                <w:color w:val="000000"/>
                <w:kern w:val="0"/>
                <w:sz w:val="22"/>
                <w:szCs w:val="22"/>
              </w:rPr>
              <w:t>项目立项是否与部门职责范围相符，属于部门履职所需；</w:t>
            </w:r>
            <w:r>
              <w:rPr>
                <w:color w:val="000000"/>
                <w:kern w:val="0"/>
                <w:sz w:val="22"/>
                <w:szCs w:val="22"/>
              </w:rPr>
              <w:br w:type="textWrapping"/>
            </w:r>
            <w:r>
              <w:rPr>
                <w:rFonts w:hint="eastAsia"/>
                <w:color w:val="000000"/>
                <w:kern w:val="0"/>
                <w:sz w:val="22"/>
                <w:szCs w:val="22"/>
              </w:rPr>
              <w:t>项目是否属于公共财政支持范围，是否符合中央、地方事权支出责任划分原则；</w:t>
            </w:r>
            <w:r>
              <w:rPr>
                <w:color w:val="000000"/>
                <w:kern w:val="0"/>
                <w:sz w:val="22"/>
                <w:szCs w:val="22"/>
              </w:rPr>
              <w:br w:type="textWrapping"/>
            </w:r>
            <w:r>
              <w:rPr>
                <w:rFonts w:hint="eastAsia"/>
                <w:color w:val="000000"/>
                <w:kern w:val="0"/>
                <w:sz w:val="22"/>
                <w:szCs w:val="22"/>
              </w:rPr>
              <w:t>项目是否与相关部门同类项目或部门内部相关项目重复。</w:t>
            </w:r>
          </w:p>
        </w:tc>
        <w:tc>
          <w:tcPr>
            <w:tcW w:w="155" w:type="pct"/>
            <w:shd w:val="clear" w:color="auto" w:fill="FFFFFF"/>
            <w:vAlign w:val="center"/>
          </w:tcPr>
          <w:p w14:paraId="40E80F96">
            <w:pPr>
              <w:widowControl/>
              <w:spacing w:line="240" w:lineRule="atLeast"/>
              <w:jc w:val="center"/>
              <w:rPr>
                <w:b/>
                <w:bCs/>
                <w:color w:val="000000"/>
                <w:kern w:val="0"/>
                <w:sz w:val="22"/>
                <w:szCs w:val="22"/>
              </w:rPr>
            </w:pPr>
            <w:r>
              <w:rPr>
                <w:b/>
                <w:bCs/>
                <w:color w:val="000000"/>
                <w:kern w:val="0"/>
                <w:sz w:val="22"/>
                <w:szCs w:val="22"/>
              </w:rPr>
              <w:t>3</w:t>
            </w:r>
          </w:p>
        </w:tc>
        <w:tc>
          <w:tcPr>
            <w:tcW w:w="354" w:type="pct"/>
            <w:shd w:val="clear" w:color="auto" w:fill="FFFFFF"/>
            <w:vAlign w:val="center"/>
          </w:tcPr>
          <w:p w14:paraId="3A536BEF">
            <w:pPr>
              <w:widowControl/>
              <w:spacing w:line="240" w:lineRule="atLeast"/>
              <w:jc w:val="center"/>
              <w:rPr>
                <w:b/>
                <w:bCs/>
                <w:color w:val="000000"/>
                <w:kern w:val="0"/>
                <w:sz w:val="22"/>
                <w:szCs w:val="22"/>
              </w:rPr>
            </w:pPr>
            <w:r>
              <w:rPr>
                <w:b/>
                <w:bCs/>
                <w:color w:val="000000"/>
                <w:kern w:val="0"/>
                <w:sz w:val="22"/>
                <w:szCs w:val="22"/>
              </w:rPr>
              <w:t>3</w:t>
            </w:r>
          </w:p>
        </w:tc>
      </w:tr>
      <w:tr w14:paraId="29C9AF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98" w:type="pct"/>
            <w:vMerge w:val="continue"/>
            <w:shd w:val="clear" w:color="auto" w:fill="FFFFFF"/>
            <w:vAlign w:val="center"/>
          </w:tcPr>
          <w:p w14:paraId="7FE68454">
            <w:pPr>
              <w:spacing w:line="240" w:lineRule="atLeast"/>
              <w:jc w:val="center"/>
              <w:rPr>
                <w:color w:val="000000"/>
                <w:kern w:val="0"/>
                <w:sz w:val="22"/>
                <w:szCs w:val="22"/>
              </w:rPr>
            </w:pPr>
          </w:p>
        </w:tc>
        <w:tc>
          <w:tcPr>
            <w:tcW w:w="287" w:type="pct"/>
            <w:vMerge w:val="continue"/>
            <w:shd w:val="clear" w:color="auto" w:fill="FFFFFF"/>
            <w:vAlign w:val="center"/>
          </w:tcPr>
          <w:p w14:paraId="7BC5307E">
            <w:pPr>
              <w:widowControl/>
              <w:spacing w:line="240" w:lineRule="atLeast"/>
              <w:jc w:val="center"/>
              <w:rPr>
                <w:color w:val="000000"/>
                <w:kern w:val="0"/>
                <w:sz w:val="22"/>
                <w:szCs w:val="22"/>
              </w:rPr>
            </w:pPr>
          </w:p>
        </w:tc>
        <w:tc>
          <w:tcPr>
            <w:tcW w:w="298" w:type="pct"/>
            <w:shd w:val="clear" w:color="auto" w:fill="FFFFFF"/>
            <w:vAlign w:val="center"/>
          </w:tcPr>
          <w:p w14:paraId="4B8558BF">
            <w:pPr>
              <w:widowControl/>
              <w:spacing w:line="240" w:lineRule="atLeast"/>
              <w:jc w:val="center"/>
              <w:rPr>
                <w:color w:val="000000"/>
                <w:kern w:val="0"/>
                <w:sz w:val="22"/>
                <w:szCs w:val="22"/>
              </w:rPr>
            </w:pPr>
            <w:r>
              <w:rPr>
                <w:rFonts w:hint="eastAsia"/>
                <w:color w:val="000000"/>
                <w:kern w:val="0"/>
                <w:sz w:val="22"/>
                <w:szCs w:val="22"/>
              </w:rPr>
              <w:t>立项程序</w:t>
            </w:r>
          </w:p>
          <w:p w14:paraId="6B30B20B">
            <w:pPr>
              <w:widowControl/>
              <w:spacing w:line="240" w:lineRule="atLeast"/>
              <w:jc w:val="center"/>
              <w:rPr>
                <w:color w:val="000000"/>
                <w:kern w:val="0"/>
                <w:sz w:val="22"/>
                <w:szCs w:val="22"/>
              </w:rPr>
            </w:pPr>
            <w:r>
              <w:rPr>
                <w:rFonts w:hint="eastAsia"/>
                <w:color w:val="000000"/>
                <w:kern w:val="0"/>
                <w:sz w:val="22"/>
                <w:szCs w:val="22"/>
              </w:rPr>
              <w:t>规范性</w:t>
            </w:r>
          </w:p>
        </w:tc>
        <w:tc>
          <w:tcPr>
            <w:tcW w:w="897" w:type="pct"/>
            <w:shd w:val="clear" w:color="auto" w:fill="FFFFFF"/>
            <w:vAlign w:val="center"/>
          </w:tcPr>
          <w:p w14:paraId="2B1041C8">
            <w:pPr>
              <w:widowControl/>
              <w:spacing w:line="240" w:lineRule="atLeast"/>
              <w:rPr>
                <w:color w:val="000000"/>
                <w:kern w:val="0"/>
                <w:sz w:val="22"/>
                <w:szCs w:val="22"/>
              </w:rPr>
            </w:pPr>
            <w:r>
              <w:rPr>
                <w:rFonts w:hint="eastAsia"/>
                <w:color w:val="000000"/>
                <w:kern w:val="0"/>
                <w:sz w:val="22"/>
                <w:szCs w:val="22"/>
              </w:rPr>
              <w:t>项目申请、设立过程是否符合相关要求，用以反映和考核项目立项的规范情况。</w:t>
            </w:r>
          </w:p>
        </w:tc>
        <w:tc>
          <w:tcPr>
            <w:tcW w:w="2712" w:type="pct"/>
            <w:shd w:val="clear" w:color="auto" w:fill="FFFFFF"/>
            <w:vAlign w:val="center"/>
          </w:tcPr>
          <w:p w14:paraId="4401B3B3">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rFonts w:hint="eastAsia"/>
                <w:color w:val="000000"/>
                <w:kern w:val="0"/>
                <w:sz w:val="22"/>
                <w:szCs w:val="22"/>
              </w:rPr>
              <w:t>项目是否按照规定的程序申请设立；</w:t>
            </w:r>
            <w:r>
              <w:rPr>
                <w:color w:val="000000"/>
                <w:kern w:val="0"/>
                <w:sz w:val="22"/>
                <w:szCs w:val="22"/>
              </w:rPr>
              <w:br w:type="textWrapping"/>
            </w:r>
            <w:r>
              <w:rPr>
                <w:rFonts w:hint="eastAsia"/>
                <w:color w:val="000000"/>
                <w:kern w:val="0"/>
                <w:sz w:val="22"/>
                <w:szCs w:val="22"/>
              </w:rPr>
              <w:t>审批文件、材料是否符合相关要求；</w:t>
            </w:r>
            <w:r>
              <w:rPr>
                <w:color w:val="000000"/>
                <w:kern w:val="0"/>
                <w:sz w:val="22"/>
                <w:szCs w:val="22"/>
              </w:rPr>
              <w:br w:type="textWrapping"/>
            </w:r>
            <w:r>
              <w:rPr>
                <w:rFonts w:hint="eastAsia"/>
                <w:color w:val="000000"/>
                <w:kern w:val="0"/>
                <w:sz w:val="22"/>
                <w:szCs w:val="22"/>
              </w:rPr>
              <w:t>事前是否已经过必要的可行性研究、专家论证、风险评估、绩效评估、集体决策。</w:t>
            </w:r>
          </w:p>
        </w:tc>
        <w:tc>
          <w:tcPr>
            <w:tcW w:w="155" w:type="pct"/>
            <w:shd w:val="clear" w:color="auto" w:fill="FFFFFF"/>
            <w:vAlign w:val="center"/>
          </w:tcPr>
          <w:p w14:paraId="109EDA68">
            <w:pPr>
              <w:widowControl/>
              <w:spacing w:line="240" w:lineRule="atLeast"/>
              <w:jc w:val="center"/>
              <w:rPr>
                <w:b/>
                <w:bCs/>
                <w:color w:val="000000"/>
                <w:kern w:val="0"/>
                <w:sz w:val="22"/>
                <w:szCs w:val="22"/>
              </w:rPr>
            </w:pPr>
            <w:r>
              <w:rPr>
                <w:b/>
                <w:bCs/>
                <w:color w:val="000000"/>
                <w:kern w:val="0"/>
                <w:sz w:val="22"/>
                <w:szCs w:val="22"/>
              </w:rPr>
              <w:t>3</w:t>
            </w:r>
          </w:p>
        </w:tc>
        <w:tc>
          <w:tcPr>
            <w:tcW w:w="354" w:type="pct"/>
            <w:shd w:val="clear" w:color="auto" w:fill="FFFFFF"/>
            <w:vAlign w:val="center"/>
          </w:tcPr>
          <w:p w14:paraId="6680E5C6">
            <w:pPr>
              <w:widowControl/>
              <w:spacing w:line="240" w:lineRule="atLeast"/>
              <w:jc w:val="center"/>
              <w:rPr>
                <w:b/>
                <w:bCs/>
                <w:color w:val="000000"/>
                <w:kern w:val="0"/>
                <w:sz w:val="22"/>
                <w:szCs w:val="22"/>
              </w:rPr>
            </w:pPr>
            <w:r>
              <w:rPr>
                <w:b/>
                <w:bCs/>
                <w:color w:val="000000"/>
                <w:kern w:val="0"/>
                <w:sz w:val="22"/>
                <w:szCs w:val="22"/>
              </w:rPr>
              <w:t>3</w:t>
            </w:r>
          </w:p>
        </w:tc>
      </w:tr>
      <w:tr w14:paraId="4F51A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298" w:type="pct"/>
            <w:vMerge w:val="continue"/>
            <w:shd w:val="clear" w:color="auto" w:fill="FFFFFF"/>
            <w:vAlign w:val="center"/>
          </w:tcPr>
          <w:p w14:paraId="61EAA0A7">
            <w:pPr>
              <w:spacing w:line="240" w:lineRule="atLeast"/>
              <w:jc w:val="center"/>
              <w:rPr>
                <w:color w:val="000000"/>
                <w:kern w:val="0"/>
                <w:sz w:val="22"/>
                <w:szCs w:val="22"/>
              </w:rPr>
            </w:pPr>
          </w:p>
        </w:tc>
        <w:tc>
          <w:tcPr>
            <w:tcW w:w="287" w:type="pct"/>
            <w:vMerge w:val="restart"/>
            <w:shd w:val="clear" w:color="auto" w:fill="FFFFFF"/>
            <w:vAlign w:val="center"/>
          </w:tcPr>
          <w:p w14:paraId="69E52C43">
            <w:pPr>
              <w:widowControl/>
              <w:spacing w:line="240" w:lineRule="atLeast"/>
              <w:jc w:val="center"/>
              <w:rPr>
                <w:color w:val="000000"/>
                <w:kern w:val="0"/>
                <w:sz w:val="22"/>
                <w:szCs w:val="22"/>
              </w:rPr>
            </w:pPr>
            <w:r>
              <w:rPr>
                <w:rFonts w:hint="eastAsia"/>
                <w:color w:val="000000"/>
                <w:kern w:val="0"/>
                <w:sz w:val="22"/>
                <w:szCs w:val="22"/>
              </w:rPr>
              <w:t>绩效目标　</w:t>
            </w:r>
          </w:p>
        </w:tc>
        <w:tc>
          <w:tcPr>
            <w:tcW w:w="298" w:type="pct"/>
            <w:shd w:val="clear" w:color="auto" w:fill="FFFFFF"/>
            <w:vAlign w:val="center"/>
          </w:tcPr>
          <w:p w14:paraId="4F92294D">
            <w:pPr>
              <w:widowControl/>
              <w:spacing w:line="240" w:lineRule="atLeast"/>
              <w:jc w:val="center"/>
              <w:rPr>
                <w:color w:val="000000"/>
                <w:kern w:val="0"/>
                <w:sz w:val="22"/>
                <w:szCs w:val="22"/>
              </w:rPr>
            </w:pPr>
            <w:r>
              <w:rPr>
                <w:rFonts w:hint="eastAsia"/>
                <w:color w:val="000000"/>
                <w:kern w:val="0"/>
                <w:sz w:val="22"/>
                <w:szCs w:val="22"/>
              </w:rPr>
              <w:t>绩效目标</w:t>
            </w:r>
          </w:p>
          <w:p w14:paraId="6F4621FC">
            <w:pPr>
              <w:widowControl/>
              <w:spacing w:line="240" w:lineRule="atLeast"/>
              <w:jc w:val="center"/>
              <w:rPr>
                <w:color w:val="000000"/>
                <w:kern w:val="0"/>
                <w:sz w:val="22"/>
                <w:szCs w:val="22"/>
              </w:rPr>
            </w:pPr>
            <w:r>
              <w:rPr>
                <w:rFonts w:hint="eastAsia"/>
                <w:color w:val="000000"/>
                <w:kern w:val="0"/>
                <w:sz w:val="22"/>
                <w:szCs w:val="22"/>
              </w:rPr>
              <w:t>合理性</w:t>
            </w:r>
          </w:p>
        </w:tc>
        <w:tc>
          <w:tcPr>
            <w:tcW w:w="897" w:type="pct"/>
            <w:shd w:val="clear" w:color="000000" w:fill="FFFFFF"/>
            <w:vAlign w:val="center"/>
          </w:tcPr>
          <w:p w14:paraId="51332984">
            <w:pPr>
              <w:widowControl/>
              <w:spacing w:line="240" w:lineRule="atLeast"/>
              <w:rPr>
                <w:color w:val="000000"/>
                <w:kern w:val="0"/>
                <w:sz w:val="22"/>
                <w:szCs w:val="22"/>
              </w:rPr>
            </w:pPr>
            <w:r>
              <w:rPr>
                <w:rFonts w:hint="eastAsia"/>
                <w:color w:val="000000"/>
                <w:kern w:val="0"/>
                <w:sz w:val="22"/>
                <w:szCs w:val="22"/>
              </w:rPr>
              <w:t>项目所设定的绩效目标是否依据充分，是否符合客观实际，用以反映和考核项目绩效目标与项目实施的相符情况。</w:t>
            </w:r>
          </w:p>
        </w:tc>
        <w:tc>
          <w:tcPr>
            <w:tcW w:w="2712" w:type="pct"/>
            <w:shd w:val="clear" w:color="000000" w:fill="FFFFFF"/>
            <w:vAlign w:val="center"/>
          </w:tcPr>
          <w:p w14:paraId="1CDD906B">
            <w:pPr>
              <w:widowControl/>
              <w:spacing w:line="240" w:lineRule="atLeast"/>
              <w:jc w:val="lef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rFonts w:hint="eastAsia"/>
                <w:color w:val="000000"/>
                <w:kern w:val="0"/>
                <w:sz w:val="22"/>
                <w:szCs w:val="22"/>
              </w:rPr>
              <w:t>（如未设定预算绩效目标，也可考核其他工作任务目标）</w:t>
            </w:r>
            <w:r>
              <w:rPr>
                <w:color w:val="000000"/>
                <w:kern w:val="0"/>
                <w:sz w:val="22"/>
                <w:szCs w:val="22"/>
              </w:rPr>
              <w:br w:type="textWrapping"/>
            </w:r>
            <w:r>
              <w:rPr>
                <w:rFonts w:hint="eastAsia"/>
                <w:color w:val="000000"/>
                <w:kern w:val="0"/>
                <w:sz w:val="22"/>
                <w:szCs w:val="22"/>
              </w:rPr>
              <w:t>项目是否有绩效目标；</w:t>
            </w:r>
            <w:r>
              <w:rPr>
                <w:color w:val="000000"/>
                <w:kern w:val="0"/>
                <w:sz w:val="22"/>
                <w:szCs w:val="22"/>
              </w:rPr>
              <w:br w:type="textWrapping"/>
            </w:r>
            <w:r>
              <w:rPr>
                <w:rFonts w:hint="eastAsia"/>
                <w:color w:val="000000"/>
                <w:kern w:val="0"/>
                <w:sz w:val="22"/>
                <w:szCs w:val="22"/>
              </w:rPr>
              <w:t>项目绩效目标与实际工作内容是否具有相关性；</w:t>
            </w:r>
            <w:r>
              <w:rPr>
                <w:color w:val="000000"/>
                <w:kern w:val="0"/>
                <w:sz w:val="22"/>
                <w:szCs w:val="22"/>
              </w:rPr>
              <w:br w:type="textWrapping"/>
            </w:r>
            <w:r>
              <w:rPr>
                <w:rFonts w:hint="eastAsia"/>
                <w:color w:val="000000"/>
                <w:kern w:val="0"/>
                <w:sz w:val="22"/>
                <w:szCs w:val="22"/>
              </w:rPr>
              <w:t>项目预期产出效益和效果是否符合正常的业绩水平；</w:t>
            </w:r>
          </w:p>
          <w:p w14:paraId="56C927F1">
            <w:pPr>
              <w:widowControl/>
              <w:spacing w:line="240" w:lineRule="atLeast"/>
              <w:jc w:val="left"/>
              <w:rPr>
                <w:color w:val="000000"/>
                <w:kern w:val="0"/>
                <w:sz w:val="22"/>
                <w:szCs w:val="22"/>
              </w:rPr>
            </w:pPr>
            <w:r>
              <w:rPr>
                <w:rFonts w:hint="eastAsia"/>
                <w:color w:val="000000"/>
                <w:kern w:val="0"/>
                <w:sz w:val="22"/>
                <w:szCs w:val="22"/>
              </w:rPr>
              <w:t>是否与预算确定的项目投资额或资金量相匹配。</w:t>
            </w:r>
          </w:p>
        </w:tc>
        <w:tc>
          <w:tcPr>
            <w:tcW w:w="155" w:type="pct"/>
            <w:shd w:val="clear" w:color="000000" w:fill="FFFFFF"/>
            <w:vAlign w:val="center"/>
          </w:tcPr>
          <w:p w14:paraId="03618790">
            <w:pPr>
              <w:widowControl/>
              <w:spacing w:line="240" w:lineRule="atLeast"/>
              <w:jc w:val="center"/>
              <w:rPr>
                <w:b/>
                <w:bCs/>
                <w:color w:val="000000"/>
                <w:kern w:val="0"/>
                <w:sz w:val="22"/>
                <w:szCs w:val="22"/>
              </w:rPr>
            </w:pPr>
            <w:r>
              <w:rPr>
                <w:b/>
                <w:bCs/>
                <w:color w:val="000000"/>
                <w:kern w:val="0"/>
                <w:sz w:val="22"/>
                <w:szCs w:val="22"/>
              </w:rPr>
              <w:t>3</w:t>
            </w:r>
          </w:p>
        </w:tc>
        <w:tc>
          <w:tcPr>
            <w:tcW w:w="354" w:type="pct"/>
            <w:shd w:val="clear" w:color="000000" w:fill="FFFFFF"/>
            <w:vAlign w:val="center"/>
          </w:tcPr>
          <w:p w14:paraId="571D474F">
            <w:pPr>
              <w:widowControl/>
              <w:spacing w:line="240" w:lineRule="atLeast"/>
              <w:jc w:val="center"/>
              <w:rPr>
                <w:b/>
                <w:bCs/>
                <w:color w:val="000000"/>
                <w:kern w:val="0"/>
                <w:sz w:val="22"/>
                <w:szCs w:val="22"/>
              </w:rPr>
            </w:pPr>
            <w:r>
              <w:rPr>
                <w:b/>
                <w:bCs/>
                <w:color w:val="000000"/>
                <w:kern w:val="0"/>
                <w:sz w:val="22"/>
                <w:szCs w:val="22"/>
              </w:rPr>
              <w:t>3</w:t>
            </w:r>
          </w:p>
        </w:tc>
      </w:tr>
      <w:tr w14:paraId="05A0A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298" w:type="pct"/>
            <w:vMerge w:val="continue"/>
            <w:shd w:val="clear" w:color="auto" w:fill="FFFFFF"/>
            <w:vAlign w:val="center"/>
          </w:tcPr>
          <w:p w14:paraId="396A5508">
            <w:pPr>
              <w:widowControl/>
              <w:spacing w:line="240" w:lineRule="atLeast"/>
              <w:jc w:val="center"/>
              <w:rPr>
                <w:color w:val="000000"/>
                <w:kern w:val="0"/>
                <w:sz w:val="22"/>
                <w:szCs w:val="22"/>
              </w:rPr>
            </w:pPr>
          </w:p>
        </w:tc>
        <w:tc>
          <w:tcPr>
            <w:tcW w:w="287" w:type="pct"/>
            <w:vMerge w:val="continue"/>
            <w:shd w:val="clear" w:color="auto" w:fill="FFFFFF"/>
            <w:vAlign w:val="center"/>
          </w:tcPr>
          <w:p w14:paraId="734F2933">
            <w:pPr>
              <w:widowControl/>
              <w:spacing w:line="240" w:lineRule="atLeast"/>
              <w:jc w:val="center"/>
              <w:rPr>
                <w:color w:val="000000"/>
                <w:kern w:val="0"/>
                <w:sz w:val="22"/>
                <w:szCs w:val="22"/>
              </w:rPr>
            </w:pPr>
          </w:p>
        </w:tc>
        <w:tc>
          <w:tcPr>
            <w:tcW w:w="298" w:type="pct"/>
            <w:shd w:val="clear" w:color="auto" w:fill="FFFFFF"/>
            <w:vAlign w:val="center"/>
          </w:tcPr>
          <w:p w14:paraId="0ED27913">
            <w:pPr>
              <w:widowControl/>
              <w:spacing w:line="240" w:lineRule="atLeast"/>
              <w:jc w:val="center"/>
              <w:rPr>
                <w:color w:val="000000"/>
                <w:kern w:val="0"/>
                <w:sz w:val="22"/>
                <w:szCs w:val="22"/>
              </w:rPr>
            </w:pPr>
            <w:r>
              <w:rPr>
                <w:rFonts w:hint="eastAsia"/>
                <w:color w:val="000000"/>
                <w:kern w:val="0"/>
                <w:sz w:val="22"/>
                <w:szCs w:val="22"/>
              </w:rPr>
              <w:t>绩效指标</w:t>
            </w:r>
          </w:p>
          <w:p w14:paraId="4F96C0D4">
            <w:pPr>
              <w:widowControl/>
              <w:spacing w:line="240" w:lineRule="atLeast"/>
              <w:jc w:val="center"/>
              <w:rPr>
                <w:color w:val="000000"/>
                <w:kern w:val="0"/>
                <w:sz w:val="22"/>
                <w:szCs w:val="22"/>
              </w:rPr>
            </w:pPr>
            <w:r>
              <w:rPr>
                <w:rFonts w:hint="eastAsia"/>
                <w:color w:val="000000"/>
                <w:kern w:val="0"/>
                <w:sz w:val="22"/>
                <w:szCs w:val="22"/>
              </w:rPr>
              <w:t>明确性</w:t>
            </w:r>
          </w:p>
        </w:tc>
        <w:tc>
          <w:tcPr>
            <w:tcW w:w="897" w:type="pct"/>
            <w:shd w:val="clear" w:color="000000" w:fill="FFFFFF"/>
            <w:vAlign w:val="center"/>
          </w:tcPr>
          <w:p w14:paraId="030633CA">
            <w:pPr>
              <w:widowControl/>
              <w:spacing w:line="240" w:lineRule="atLeast"/>
              <w:rPr>
                <w:color w:val="000000"/>
                <w:kern w:val="0"/>
                <w:sz w:val="22"/>
                <w:szCs w:val="22"/>
              </w:rPr>
            </w:pPr>
            <w:r>
              <w:rPr>
                <w:rFonts w:hint="eastAsia"/>
                <w:color w:val="000000"/>
                <w:kern w:val="0"/>
                <w:sz w:val="22"/>
                <w:szCs w:val="22"/>
              </w:rPr>
              <w:t>依据绩效目标设定的绩效指标是否清晰、细化、可衡量等，用以反映和考核项目绩效目标的明细化情况。</w:t>
            </w:r>
          </w:p>
        </w:tc>
        <w:tc>
          <w:tcPr>
            <w:tcW w:w="2712" w:type="pct"/>
            <w:shd w:val="clear" w:color="000000" w:fill="FFFFFF"/>
            <w:vAlign w:val="center"/>
          </w:tcPr>
          <w:p w14:paraId="541384D1">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rFonts w:hint="eastAsia"/>
                <w:color w:val="000000"/>
                <w:kern w:val="0"/>
                <w:sz w:val="22"/>
                <w:szCs w:val="22"/>
              </w:rPr>
              <w:t>是否将项目绩效目标细化分解为具体的绩效指标；</w:t>
            </w:r>
            <w:r>
              <w:rPr>
                <w:color w:val="000000"/>
                <w:kern w:val="0"/>
                <w:sz w:val="22"/>
                <w:szCs w:val="22"/>
              </w:rPr>
              <w:br w:type="textWrapping"/>
            </w:r>
            <w:r>
              <w:rPr>
                <w:rFonts w:hint="eastAsia"/>
                <w:color w:val="000000"/>
                <w:kern w:val="0"/>
                <w:sz w:val="22"/>
                <w:szCs w:val="22"/>
              </w:rPr>
              <w:t>是否通过清晰、可衡量的指标值予以体现；</w:t>
            </w:r>
            <w:r>
              <w:rPr>
                <w:color w:val="000000"/>
                <w:kern w:val="0"/>
                <w:sz w:val="22"/>
                <w:szCs w:val="22"/>
              </w:rPr>
              <w:br w:type="textWrapping"/>
            </w:r>
            <w:r>
              <w:rPr>
                <w:rFonts w:hint="eastAsia"/>
                <w:color w:val="000000"/>
                <w:kern w:val="0"/>
                <w:sz w:val="22"/>
                <w:szCs w:val="22"/>
              </w:rPr>
              <w:t>是否与项目目标任务数或计划数相对应。</w:t>
            </w:r>
            <w:r>
              <w:rPr>
                <w:color w:val="000000"/>
                <w:kern w:val="0"/>
                <w:sz w:val="22"/>
                <w:szCs w:val="22"/>
              </w:rPr>
              <w:br w:type="textWrapping"/>
            </w:r>
          </w:p>
        </w:tc>
        <w:tc>
          <w:tcPr>
            <w:tcW w:w="155" w:type="pct"/>
            <w:shd w:val="clear" w:color="000000" w:fill="FFFFFF"/>
            <w:vAlign w:val="center"/>
          </w:tcPr>
          <w:p w14:paraId="188A4F06">
            <w:pPr>
              <w:widowControl/>
              <w:spacing w:line="240" w:lineRule="atLeast"/>
              <w:jc w:val="center"/>
              <w:rPr>
                <w:b/>
                <w:bCs/>
                <w:color w:val="000000"/>
                <w:kern w:val="0"/>
                <w:sz w:val="22"/>
                <w:szCs w:val="22"/>
              </w:rPr>
            </w:pPr>
            <w:r>
              <w:rPr>
                <w:b/>
                <w:bCs/>
                <w:color w:val="000000"/>
                <w:kern w:val="0"/>
                <w:sz w:val="22"/>
                <w:szCs w:val="22"/>
              </w:rPr>
              <w:t>3</w:t>
            </w:r>
          </w:p>
        </w:tc>
        <w:tc>
          <w:tcPr>
            <w:tcW w:w="354" w:type="pct"/>
            <w:shd w:val="clear" w:color="000000" w:fill="FFFFFF"/>
            <w:vAlign w:val="center"/>
          </w:tcPr>
          <w:p w14:paraId="646B3F03">
            <w:pPr>
              <w:widowControl/>
              <w:spacing w:line="240" w:lineRule="atLeast"/>
              <w:jc w:val="center"/>
              <w:rPr>
                <w:b/>
                <w:bCs/>
                <w:color w:val="000000"/>
                <w:kern w:val="0"/>
                <w:sz w:val="22"/>
                <w:szCs w:val="22"/>
              </w:rPr>
            </w:pPr>
            <w:r>
              <w:rPr>
                <w:b/>
                <w:bCs/>
                <w:color w:val="000000"/>
                <w:kern w:val="0"/>
                <w:sz w:val="22"/>
                <w:szCs w:val="22"/>
              </w:rPr>
              <w:t>3</w:t>
            </w:r>
          </w:p>
        </w:tc>
      </w:tr>
      <w:tr w14:paraId="2CC042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298" w:type="pct"/>
            <w:vMerge w:val="continue"/>
            <w:shd w:val="clear" w:color="auto" w:fill="FFFFFF"/>
            <w:vAlign w:val="center"/>
          </w:tcPr>
          <w:p w14:paraId="1D652F14">
            <w:pPr>
              <w:spacing w:line="240" w:lineRule="atLeast"/>
              <w:jc w:val="center"/>
              <w:rPr>
                <w:color w:val="000000"/>
                <w:kern w:val="0"/>
                <w:sz w:val="22"/>
                <w:szCs w:val="22"/>
              </w:rPr>
            </w:pPr>
          </w:p>
        </w:tc>
        <w:tc>
          <w:tcPr>
            <w:tcW w:w="287" w:type="pct"/>
            <w:vMerge w:val="restart"/>
            <w:shd w:val="clear" w:color="auto" w:fill="FFFFFF"/>
            <w:vAlign w:val="center"/>
          </w:tcPr>
          <w:p w14:paraId="4734BD44">
            <w:pPr>
              <w:widowControl/>
              <w:spacing w:line="240" w:lineRule="atLeast"/>
              <w:jc w:val="center"/>
              <w:rPr>
                <w:color w:val="000000"/>
                <w:kern w:val="0"/>
                <w:sz w:val="22"/>
                <w:szCs w:val="22"/>
              </w:rPr>
            </w:pPr>
            <w:r>
              <w:rPr>
                <w:rFonts w:hint="eastAsia"/>
                <w:color w:val="000000"/>
                <w:kern w:val="0"/>
                <w:sz w:val="22"/>
                <w:szCs w:val="22"/>
              </w:rPr>
              <w:t>资金投入</w:t>
            </w:r>
          </w:p>
          <w:p w14:paraId="77B5D50D">
            <w:pPr>
              <w:spacing w:line="240" w:lineRule="atLeast"/>
              <w:jc w:val="center"/>
              <w:rPr>
                <w:color w:val="000000"/>
                <w:kern w:val="0"/>
                <w:sz w:val="22"/>
                <w:szCs w:val="22"/>
              </w:rPr>
            </w:pPr>
            <w:r>
              <w:rPr>
                <w:rFonts w:hint="eastAsia"/>
                <w:color w:val="000000"/>
                <w:kern w:val="0"/>
                <w:sz w:val="22"/>
                <w:szCs w:val="22"/>
              </w:rPr>
              <w:t>　</w:t>
            </w:r>
          </w:p>
        </w:tc>
        <w:tc>
          <w:tcPr>
            <w:tcW w:w="298" w:type="pct"/>
            <w:shd w:val="clear" w:color="auto" w:fill="FFFFFF"/>
            <w:vAlign w:val="center"/>
          </w:tcPr>
          <w:p w14:paraId="4CA740A6">
            <w:pPr>
              <w:widowControl/>
              <w:spacing w:line="240" w:lineRule="atLeast"/>
              <w:jc w:val="center"/>
              <w:rPr>
                <w:color w:val="000000"/>
                <w:kern w:val="0"/>
                <w:sz w:val="22"/>
                <w:szCs w:val="22"/>
              </w:rPr>
            </w:pPr>
            <w:r>
              <w:rPr>
                <w:rFonts w:hint="eastAsia"/>
                <w:color w:val="000000"/>
                <w:kern w:val="0"/>
                <w:sz w:val="22"/>
                <w:szCs w:val="22"/>
              </w:rPr>
              <w:t>预算编制</w:t>
            </w:r>
          </w:p>
          <w:p w14:paraId="56EC2749">
            <w:pPr>
              <w:widowControl/>
              <w:spacing w:line="240" w:lineRule="atLeast"/>
              <w:jc w:val="center"/>
              <w:rPr>
                <w:color w:val="000000"/>
                <w:kern w:val="0"/>
                <w:sz w:val="22"/>
                <w:szCs w:val="22"/>
              </w:rPr>
            </w:pPr>
            <w:r>
              <w:rPr>
                <w:rFonts w:hint="eastAsia"/>
                <w:color w:val="000000"/>
                <w:kern w:val="0"/>
                <w:sz w:val="22"/>
                <w:szCs w:val="22"/>
              </w:rPr>
              <w:t>科学性</w:t>
            </w:r>
          </w:p>
        </w:tc>
        <w:tc>
          <w:tcPr>
            <w:tcW w:w="897" w:type="pct"/>
            <w:shd w:val="clear" w:color="auto" w:fill="FFFFFF"/>
            <w:vAlign w:val="center"/>
          </w:tcPr>
          <w:p w14:paraId="63C6AB67">
            <w:pPr>
              <w:widowControl/>
              <w:spacing w:line="240" w:lineRule="atLeast"/>
              <w:rPr>
                <w:color w:val="000000"/>
                <w:kern w:val="0"/>
                <w:sz w:val="22"/>
                <w:szCs w:val="22"/>
              </w:rPr>
            </w:pPr>
            <w:r>
              <w:rPr>
                <w:rFonts w:hint="eastAsia"/>
                <w:color w:val="000000"/>
                <w:kern w:val="0"/>
                <w:sz w:val="22"/>
                <w:szCs w:val="22"/>
              </w:rPr>
              <w:t>项目预算编制是否经过科学论证、有明确标准，资金额度与年度目标是否相适应，用以反映和考核项目预算编制的科学性、合理性情况。</w:t>
            </w:r>
          </w:p>
        </w:tc>
        <w:tc>
          <w:tcPr>
            <w:tcW w:w="2712" w:type="pct"/>
            <w:shd w:val="clear" w:color="auto" w:fill="FFFFFF"/>
            <w:vAlign w:val="center"/>
          </w:tcPr>
          <w:p w14:paraId="0BEF4063">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rFonts w:hint="eastAsia"/>
                <w:color w:val="000000"/>
                <w:kern w:val="0"/>
                <w:sz w:val="22"/>
                <w:szCs w:val="22"/>
              </w:rPr>
              <w:t>预算编制是否经过科学论证；</w:t>
            </w:r>
            <w:r>
              <w:rPr>
                <w:color w:val="000000"/>
                <w:kern w:val="0"/>
                <w:sz w:val="22"/>
                <w:szCs w:val="22"/>
              </w:rPr>
              <w:br w:type="textWrapping"/>
            </w:r>
            <w:r>
              <w:rPr>
                <w:rFonts w:hint="eastAsia"/>
                <w:color w:val="000000"/>
                <w:kern w:val="0"/>
                <w:sz w:val="22"/>
                <w:szCs w:val="22"/>
              </w:rPr>
              <w:t>预算内容与项目内容是否匹配；</w:t>
            </w:r>
            <w:r>
              <w:rPr>
                <w:color w:val="000000"/>
                <w:kern w:val="0"/>
                <w:sz w:val="22"/>
                <w:szCs w:val="22"/>
              </w:rPr>
              <w:br w:type="textWrapping"/>
            </w:r>
            <w:r>
              <w:rPr>
                <w:rFonts w:hint="eastAsia"/>
                <w:color w:val="000000"/>
                <w:kern w:val="0"/>
                <w:sz w:val="22"/>
                <w:szCs w:val="22"/>
              </w:rPr>
              <w:t>预算额度测算依据是否充分，是否按照标准编制；</w:t>
            </w:r>
            <w:r>
              <w:rPr>
                <w:color w:val="000000"/>
                <w:kern w:val="0"/>
                <w:sz w:val="22"/>
                <w:szCs w:val="22"/>
              </w:rPr>
              <w:br w:type="textWrapping"/>
            </w:r>
            <w:r>
              <w:rPr>
                <w:rFonts w:hint="eastAsia"/>
                <w:color w:val="000000"/>
                <w:kern w:val="0"/>
                <w:sz w:val="22"/>
                <w:szCs w:val="22"/>
              </w:rPr>
              <w:t>预算确定的项目投资额或资金量是否与工作任务相匹配。</w:t>
            </w:r>
          </w:p>
        </w:tc>
        <w:tc>
          <w:tcPr>
            <w:tcW w:w="155" w:type="pct"/>
            <w:shd w:val="clear" w:color="auto" w:fill="FFFFFF"/>
            <w:vAlign w:val="center"/>
          </w:tcPr>
          <w:p w14:paraId="778B4619">
            <w:pPr>
              <w:widowControl/>
              <w:spacing w:line="240" w:lineRule="atLeast"/>
              <w:jc w:val="center"/>
              <w:rPr>
                <w:b/>
                <w:bCs/>
                <w:color w:val="000000"/>
                <w:kern w:val="0"/>
                <w:sz w:val="22"/>
                <w:szCs w:val="22"/>
              </w:rPr>
            </w:pPr>
            <w:r>
              <w:rPr>
                <w:b/>
                <w:bCs/>
                <w:color w:val="000000"/>
                <w:kern w:val="0"/>
                <w:sz w:val="22"/>
                <w:szCs w:val="22"/>
              </w:rPr>
              <w:t>4</w:t>
            </w:r>
          </w:p>
        </w:tc>
        <w:tc>
          <w:tcPr>
            <w:tcW w:w="354" w:type="pct"/>
            <w:shd w:val="clear" w:color="auto" w:fill="FFFFFF"/>
            <w:vAlign w:val="center"/>
          </w:tcPr>
          <w:p w14:paraId="63D5423F">
            <w:pPr>
              <w:widowControl/>
              <w:spacing w:line="240" w:lineRule="atLeast"/>
              <w:jc w:val="center"/>
              <w:rPr>
                <w:b/>
                <w:bCs/>
                <w:color w:val="000000"/>
                <w:kern w:val="0"/>
                <w:sz w:val="22"/>
                <w:szCs w:val="22"/>
              </w:rPr>
            </w:pPr>
            <w:r>
              <w:rPr>
                <w:b/>
                <w:bCs/>
                <w:color w:val="000000"/>
                <w:kern w:val="0"/>
                <w:sz w:val="22"/>
                <w:szCs w:val="22"/>
              </w:rPr>
              <w:t>4</w:t>
            </w:r>
          </w:p>
        </w:tc>
      </w:tr>
      <w:tr w14:paraId="52E972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298" w:type="pct"/>
            <w:vMerge w:val="continue"/>
            <w:shd w:val="clear" w:color="auto" w:fill="FFFFFF"/>
            <w:vAlign w:val="center"/>
          </w:tcPr>
          <w:p w14:paraId="7FB61096">
            <w:pPr>
              <w:widowControl/>
              <w:spacing w:line="240" w:lineRule="atLeast"/>
              <w:jc w:val="center"/>
              <w:rPr>
                <w:color w:val="000000"/>
                <w:kern w:val="0"/>
                <w:sz w:val="22"/>
                <w:szCs w:val="22"/>
              </w:rPr>
            </w:pPr>
          </w:p>
        </w:tc>
        <w:tc>
          <w:tcPr>
            <w:tcW w:w="287" w:type="pct"/>
            <w:vMerge w:val="continue"/>
            <w:shd w:val="clear" w:color="auto" w:fill="FFFFFF"/>
            <w:vAlign w:val="center"/>
          </w:tcPr>
          <w:p w14:paraId="4EA8CB24">
            <w:pPr>
              <w:widowControl/>
              <w:spacing w:line="240" w:lineRule="atLeast"/>
              <w:jc w:val="center"/>
              <w:rPr>
                <w:color w:val="000000"/>
                <w:kern w:val="0"/>
                <w:sz w:val="22"/>
                <w:szCs w:val="22"/>
              </w:rPr>
            </w:pPr>
          </w:p>
        </w:tc>
        <w:tc>
          <w:tcPr>
            <w:tcW w:w="298" w:type="pct"/>
            <w:shd w:val="clear" w:color="auto" w:fill="FFFFFF"/>
            <w:vAlign w:val="center"/>
          </w:tcPr>
          <w:p w14:paraId="61750777">
            <w:pPr>
              <w:widowControl/>
              <w:spacing w:line="240" w:lineRule="atLeast"/>
              <w:jc w:val="center"/>
              <w:rPr>
                <w:color w:val="000000"/>
                <w:kern w:val="0"/>
                <w:sz w:val="22"/>
                <w:szCs w:val="22"/>
              </w:rPr>
            </w:pPr>
            <w:r>
              <w:rPr>
                <w:rFonts w:hint="eastAsia"/>
                <w:color w:val="000000"/>
                <w:kern w:val="0"/>
                <w:sz w:val="22"/>
                <w:szCs w:val="22"/>
              </w:rPr>
              <w:t>资金分配</w:t>
            </w:r>
          </w:p>
          <w:p w14:paraId="20376B6C">
            <w:pPr>
              <w:widowControl/>
              <w:spacing w:line="240" w:lineRule="atLeast"/>
              <w:jc w:val="center"/>
              <w:rPr>
                <w:color w:val="000000"/>
                <w:kern w:val="0"/>
                <w:sz w:val="22"/>
                <w:szCs w:val="22"/>
              </w:rPr>
            </w:pPr>
            <w:r>
              <w:rPr>
                <w:rFonts w:hint="eastAsia"/>
                <w:color w:val="000000"/>
                <w:kern w:val="0"/>
                <w:sz w:val="22"/>
                <w:szCs w:val="22"/>
              </w:rPr>
              <w:t>合理性</w:t>
            </w:r>
          </w:p>
        </w:tc>
        <w:tc>
          <w:tcPr>
            <w:tcW w:w="897" w:type="pct"/>
            <w:shd w:val="clear" w:color="auto" w:fill="FFFFFF"/>
            <w:vAlign w:val="center"/>
          </w:tcPr>
          <w:p w14:paraId="3A863300">
            <w:pPr>
              <w:widowControl/>
              <w:spacing w:line="240" w:lineRule="atLeast"/>
              <w:rPr>
                <w:color w:val="000000"/>
                <w:kern w:val="0"/>
                <w:sz w:val="22"/>
                <w:szCs w:val="22"/>
              </w:rPr>
            </w:pPr>
            <w:r>
              <w:rPr>
                <w:rFonts w:hint="eastAsia"/>
                <w:color w:val="000000"/>
                <w:kern w:val="0"/>
                <w:sz w:val="22"/>
                <w:szCs w:val="22"/>
              </w:rPr>
              <w:t>项目预算资金分配是否有测算依据，与补助单位或地方实际是否相适应，用以反映和考核项目预算资金分配的科学性、合理性情况。</w:t>
            </w:r>
          </w:p>
        </w:tc>
        <w:tc>
          <w:tcPr>
            <w:tcW w:w="2712" w:type="pct"/>
            <w:shd w:val="clear" w:color="auto" w:fill="FFFFFF"/>
            <w:vAlign w:val="center"/>
          </w:tcPr>
          <w:p w14:paraId="0FD0D523">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rFonts w:hint="eastAsia"/>
                <w:color w:val="000000"/>
                <w:kern w:val="0"/>
                <w:sz w:val="22"/>
                <w:szCs w:val="22"/>
              </w:rPr>
              <w:t>预算资金分配依据是否充分；</w:t>
            </w:r>
            <w:r>
              <w:rPr>
                <w:color w:val="000000"/>
                <w:kern w:val="0"/>
                <w:sz w:val="22"/>
                <w:szCs w:val="22"/>
              </w:rPr>
              <w:br w:type="textWrapping"/>
            </w:r>
            <w:r>
              <w:rPr>
                <w:rFonts w:hint="eastAsia"/>
                <w:color w:val="000000"/>
                <w:kern w:val="0"/>
                <w:sz w:val="22"/>
                <w:szCs w:val="22"/>
              </w:rPr>
              <w:t>资金分配额度是否合理，与项目单位或地方实际是否相适应。</w:t>
            </w:r>
          </w:p>
        </w:tc>
        <w:tc>
          <w:tcPr>
            <w:tcW w:w="155" w:type="pct"/>
            <w:shd w:val="clear" w:color="auto" w:fill="FFFFFF"/>
            <w:vAlign w:val="center"/>
          </w:tcPr>
          <w:p w14:paraId="41F18C73">
            <w:pPr>
              <w:widowControl/>
              <w:spacing w:line="240" w:lineRule="atLeast"/>
              <w:jc w:val="center"/>
              <w:rPr>
                <w:b/>
                <w:bCs/>
                <w:color w:val="000000"/>
                <w:kern w:val="0"/>
                <w:sz w:val="22"/>
                <w:szCs w:val="22"/>
              </w:rPr>
            </w:pPr>
            <w:r>
              <w:rPr>
                <w:b/>
                <w:bCs/>
                <w:color w:val="000000"/>
                <w:kern w:val="0"/>
                <w:sz w:val="22"/>
                <w:szCs w:val="22"/>
              </w:rPr>
              <w:t>4</w:t>
            </w:r>
          </w:p>
        </w:tc>
        <w:tc>
          <w:tcPr>
            <w:tcW w:w="354" w:type="pct"/>
            <w:shd w:val="clear" w:color="auto" w:fill="FFFFFF"/>
            <w:vAlign w:val="center"/>
          </w:tcPr>
          <w:p w14:paraId="5B2C47F9">
            <w:pPr>
              <w:widowControl/>
              <w:spacing w:line="240" w:lineRule="atLeast"/>
              <w:jc w:val="center"/>
              <w:rPr>
                <w:b/>
                <w:bCs/>
                <w:color w:val="000000"/>
                <w:kern w:val="0"/>
                <w:sz w:val="22"/>
                <w:szCs w:val="22"/>
              </w:rPr>
            </w:pPr>
            <w:r>
              <w:rPr>
                <w:b/>
                <w:bCs/>
                <w:color w:val="000000"/>
                <w:kern w:val="0"/>
                <w:sz w:val="22"/>
                <w:szCs w:val="22"/>
              </w:rPr>
              <w:t>4</w:t>
            </w:r>
          </w:p>
        </w:tc>
      </w:tr>
      <w:tr w14:paraId="1546F1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44" w:hRule="atLeast"/>
          <w:jc w:val="center"/>
        </w:trPr>
        <w:tc>
          <w:tcPr>
            <w:tcW w:w="298" w:type="pct"/>
            <w:vMerge w:val="restart"/>
            <w:shd w:val="clear" w:color="auto" w:fill="FFFFFF"/>
            <w:vAlign w:val="center"/>
          </w:tcPr>
          <w:p w14:paraId="564DE1B6">
            <w:pPr>
              <w:spacing w:line="240" w:lineRule="atLeast"/>
              <w:jc w:val="center"/>
              <w:rPr>
                <w:color w:val="000000"/>
                <w:kern w:val="0"/>
                <w:sz w:val="22"/>
                <w:szCs w:val="22"/>
              </w:rPr>
            </w:pPr>
          </w:p>
          <w:p w14:paraId="767B1A0D">
            <w:pPr>
              <w:spacing w:line="240" w:lineRule="atLeast"/>
              <w:jc w:val="center"/>
              <w:rPr>
                <w:color w:val="000000"/>
                <w:kern w:val="0"/>
                <w:sz w:val="22"/>
                <w:szCs w:val="22"/>
              </w:rPr>
            </w:pPr>
          </w:p>
          <w:p w14:paraId="04131A33">
            <w:pPr>
              <w:spacing w:line="240" w:lineRule="atLeast"/>
              <w:jc w:val="center"/>
              <w:rPr>
                <w:color w:val="000000"/>
                <w:kern w:val="0"/>
                <w:sz w:val="22"/>
                <w:szCs w:val="22"/>
              </w:rPr>
            </w:pPr>
          </w:p>
          <w:p w14:paraId="044DACF5">
            <w:pPr>
              <w:spacing w:line="240" w:lineRule="atLeast"/>
              <w:jc w:val="center"/>
              <w:rPr>
                <w:color w:val="000000"/>
                <w:kern w:val="0"/>
                <w:sz w:val="22"/>
                <w:szCs w:val="22"/>
              </w:rPr>
            </w:pPr>
          </w:p>
          <w:p w14:paraId="65495F51">
            <w:pPr>
              <w:spacing w:line="240" w:lineRule="atLeast"/>
              <w:jc w:val="center"/>
              <w:rPr>
                <w:color w:val="000000"/>
                <w:kern w:val="0"/>
                <w:sz w:val="22"/>
                <w:szCs w:val="22"/>
              </w:rPr>
            </w:pPr>
          </w:p>
          <w:p w14:paraId="173A9D09">
            <w:pPr>
              <w:spacing w:line="240" w:lineRule="atLeast"/>
              <w:jc w:val="center"/>
              <w:rPr>
                <w:color w:val="000000"/>
                <w:kern w:val="0"/>
                <w:sz w:val="22"/>
                <w:szCs w:val="22"/>
              </w:rPr>
            </w:pPr>
          </w:p>
          <w:p w14:paraId="4CF1A379">
            <w:pPr>
              <w:spacing w:line="240" w:lineRule="atLeast"/>
              <w:jc w:val="center"/>
              <w:rPr>
                <w:color w:val="000000"/>
                <w:kern w:val="0"/>
                <w:sz w:val="22"/>
                <w:szCs w:val="22"/>
              </w:rPr>
            </w:pPr>
          </w:p>
          <w:p w14:paraId="34B69888">
            <w:pPr>
              <w:spacing w:line="240" w:lineRule="atLeast"/>
              <w:jc w:val="center"/>
              <w:rPr>
                <w:color w:val="000000"/>
                <w:kern w:val="0"/>
                <w:sz w:val="22"/>
                <w:szCs w:val="22"/>
              </w:rPr>
            </w:pPr>
          </w:p>
          <w:p w14:paraId="3F7D7DA3">
            <w:pPr>
              <w:spacing w:line="240" w:lineRule="atLeast"/>
              <w:jc w:val="center"/>
              <w:rPr>
                <w:color w:val="000000"/>
                <w:kern w:val="0"/>
                <w:sz w:val="22"/>
                <w:szCs w:val="22"/>
              </w:rPr>
            </w:pPr>
          </w:p>
          <w:p w14:paraId="61D58FC1">
            <w:pPr>
              <w:spacing w:line="240" w:lineRule="atLeast"/>
              <w:jc w:val="center"/>
              <w:rPr>
                <w:color w:val="000000"/>
                <w:kern w:val="0"/>
                <w:sz w:val="22"/>
                <w:szCs w:val="22"/>
              </w:rPr>
            </w:pPr>
          </w:p>
          <w:p w14:paraId="34CE55C3">
            <w:pPr>
              <w:spacing w:line="240" w:lineRule="atLeast"/>
              <w:jc w:val="center"/>
              <w:rPr>
                <w:color w:val="000000"/>
                <w:kern w:val="0"/>
                <w:sz w:val="22"/>
                <w:szCs w:val="22"/>
              </w:rPr>
            </w:pPr>
          </w:p>
          <w:p w14:paraId="22086E52">
            <w:pPr>
              <w:spacing w:line="240" w:lineRule="atLeast"/>
              <w:jc w:val="center"/>
              <w:rPr>
                <w:color w:val="000000"/>
                <w:kern w:val="0"/>
                <w:sz w:val="22"/>
                <w:szCs w:val="22"/>
              </w:rPr>
            </w:pPr>
          </w:p>
          <w:p w14:paraId="759DEA12">
            <w:pPr>
              <w:spacing w:line="240" w:lineRule="atLeast"/>
              <w:jc w:val="center"/>
              <w:rPr>
                <w:color w:val="000000"/>
                <w:kern w:val="0"/>
                <w:sz w:val="22"/>
                <w:szCs w:val="22"/>
              </w:rPr>
            </w:pPr>
          </w:p>
          <w:p w14:paraId="132DECF9">
            <w:pPr>
              <w:spacing w:line="240" w:lineRule="atLeast"/>
              <w:jc w:val="center"/>
              <w:rPr>
                <w:color w:val="000000"/>
                <w:kern w:val="0"/>
                <w:sz w:val="22"/>
                <w:szCs w:val="22"/>
              </w:rPr>
            </w:pPr>
          </w:p>
          <w:p w14:paraId="7A75C55B">
            <w:pPr>
              <w:spacing w:line="240" w:lineRule="atLeast"/>
              <w:jc w:val="center"/>
              <w:rPr>
                <w:color w:val="000000"/>
                <w:kern w:val="0"/>
                <w:sz w:val="22"/>
                <w:szCs w:val="22"/>
              </w:rPr>
            </w:pPr>
          </w:p>
          <w:p w14:paraId="70F47CE5">
            <w:pPr>
              <w:spacing w:line="240" w:lineRule="atLeast"/>
              <w:jc w:val="center"/>
              <w:rPr>
                <w:color w:val="000000"/>
                <w:kern w:val="0"/>
                <w:sz w:val="22"/>
                <w:szCs w:val="22"/>
              </w:rPr>
            </w:pPr>
            <w:r>
              <w:rPr>
                <w:rFonts w:hint="eastAsia"/>
                <w:color w:val="000000"/>
                <w:kern w:val="0"/>
                <w:sz w:val="22"/>
                <w:szCs w:val="22"/>
              </w:rPr>
              <w:t>过程</w:t>
            </w:r>
          </w:p>
          <w:p w14:paraId="5C77E8CB">
            <w:pPr>
              <w:widowControl/>
              <w:spacing w:line="240" w:lineRule="atLeast"/>
              <w:jc w:val="center"/>
              <w:rPr>
                <w:color w:val="000000"/>
                <w:kern w:val="0"/>
                <w:sz w:val="22"/>
                <w:szCs w:val="22"/>
              </w:rPr>
            </w:pPr>
            <w:r>
              <w:rPr>
                <w:rFonts w:hint="eastAsia"/>
                <w:color w:val="000000"/>
                <w:kern w:val="0"/>
                <w:sz w:val="22"/>
                <w:szCs w:val="22"/>
              </w:rPr>
              <w:t>　　</w:t>
            </w:r>
          </w:p>
        </w:tc>
        <w:tc>
          <w:tcPr>
            <w:tcW w:w="287" w:type="pct"/>
            <w:vMerge w:val="restart"/>
            <w:shd w:val="clear" w:color="auto" w:fill="FFFFFF"/>
            <w:vAlign w:val="center"/>
          </w:tcPr>
          <w:p w14:paraId="006C53ED">
            <w:pPr>
              <w:widowControl/>
              <w:spacing w:line="240" w:lineRule="atLeast"/>
              <w:jc w:val="center"/>
              <w:rPr>
                <w:color w:val="000000"/>
                <w:kern w:val="0"/>
                <w:sz w:val="22"/>
                <w:szCs w:val="22"/>
              </w:rPr>
            </w:pPr>
            <w:r>
              <w:rPr>
                <w:rFonts w:hint="eastAsia"/>
                <w:color w:val="000000"/>
                <w:kern w:val="0"/>
                <w:sz w:val="22"/>
                <w:szCs w:val="22"/>
              </w:rPr>
              <w:t>资金管理</w:t>
            </w:r>
          </w:p>
        </w:tc>
        <w:tc>
          <w:tcPr>
            <w:tcW w:w="298" w:type="pct"/>
            <w:shd w:val="clear" w:color="auto" w:fill="FFFFFF"/>
            <w:vAlign w:val="center"/>
          </w:tcPr>
          <w:p w14:paraId="181920FE">
            <w:pPr>
              <w:widowControl/>
              <w:spacing w:line="240" w:lineRule="atLeast"/>
              <w:jc w:val="center"/>
              <w:rPr>
                <w:color w:val="000000"/>
                <w:kern w:val="0"/>
                <w:sz w:val="22"/>
                <w:szCs w:val="22"/>
              </w:rPr>
            </w:pPr>
            <w:r>
              <w:rPr>
                <w:rFonts w:hint="eastAsia"/>
                <w:color w:val="000000"/>
                <w:kern w:val="0"/>
                <w:sz w:val="22"/>
                <w:szCs w:val="22"/>
              </w:rPr>
              <w:t>资金到位率</w:t>
            </w:r>
          </w:p>
        </w:tc>
        <w:tc>
          <w:tcPr>
            <w:tcW w:w="897" w:type="pct"/>
            <w:shd w:val="clear" w:color="000000" w:fill="FFFFFF"/>
            <w:vAlign w:val="center"/>
          </w:tcPr>
          <w:p w14:paraId="286D4FA2">
            <w:pPr>
              <w:widowControl/>
              <w:spacing w:line="240" w:lineRule="atLeast"/>
              <w:rPr>
                <w:color w:val="000000"/>
                <w:kern w:val="0"/>
                <w:sz w:val="22"/>
                <w:szCs w:val="22"/>
              </w:rPr>
            </w:pPr>
            <w:r>
              <w:rPr>
                <w:rFonts w:hint="eastAsia"/>
                <w:color w:val="000000"/>
                <w:kern w:val="0"/>
                <w:sz w:val="22"/>
                <w:szCs w:val="22"/>
              </w:rPr>
              <w:t>实际到位资金与预算资金的比率，用以反映和考核资金落实情况对项目实施的总体保障程度。</w:t>
            </w:r>
          </w:p>
        </w:tc>
        <w:tc>
          <w:tcPr>
            <w:tcW w:w="2712" w:type="pct"/>
            <w:shd w:val="clear" w:color="000000" w:fill="FFFFFF"/>
            <w:vAlign w:val="center"/>
          </w:tcPr>
          <w:p w14:paraId="654C6C93">
            <w:pPr>
              <w:widowControl/>
              <w:spacing w:line="240" w:lineRule="atLeast"/>
              <w:rPr>
                <w:color w:val="000000"/>
                <w:kern w:val="0"/>
                <w:sz w:val="22"/>
                <w:szCs w:val="22"/>
              </w:rPr>
            </w:pPr>
            <w:r>
              <w:rPr>
                <w:rFonts w:hint="eastAsia"/>
                <w:color w:val="000000"/>
                <w:kern w:val="0"/>
                <w:sz w:val="22"/>
                <w:szCs w:val="22"/>
              </w:rPr>
              <w:t>资金到位率</w:t>
            </w:r>
            <w:r>
              <w:rPr>
                <w:color w:val="000000"/>
                <w:kern w:val="0"/>
                <w:sz w:val="22"/>
                <w:szCs w:val="22"/>
              </w:rPr>
              <w:t>=</w:t>
            </w:r>
            <w:r>
              <w:rPr>
                <w:rFonts w:hint="eastAsia"/>
                <w:color w:val="000000"/>
                <w:kern w:val="0"/>
                <w:sz w:val="22"/>
                <w:szCs w:val="22"/>
              </w:rPr>
              <w:t>（实际到位资金</w:t>
            </w:r>
            <w:r>
              <w:rPr>
                <w:color w:val="000000"/>
                <w:kern w:val="0"/>
                <w:sz w:val="22"/>
                <w:szCs w:val="22"/>
              </w:rPr>
              <w:t>/</w:t>
            </w:r>
            <w:r>
              <w:rPr>
                <w:rFonts w:hint="eastAsia"/>
                <w:color w:val="000000"/>
                <w:kern w:val="0"/>
                <w:sz w:val="22"/>
                <w:szCs w:val="22"/>
              </w:rPr>
              <w:t>预算资金）</w:t>
            </w:r>
            <w:r>
              <w:rPr>
                <w:color w:val="000000"/>
                <w:kern w:val="0"/>
                <w:sz w:val="22"/>
                <w:szCs w:val="22"/>
              </w:rPr>
              <w:t>×100%</w:t>
            </w:r>
            <w:r>
              <w:rPr>
                <w:rFonts w:hint="eastAsia"/>
                <w:color w:val="000000"/>
                <w:kern w:val="0"/>
                <w:sz w:val="22"/>
                <w:szCs w:val="22"/>
              </w:rPr>
              <w:t>。</w:t>
            </w:r>
          </w:p>
          <w:p w14:paraId="2325E820">
            <w:pPr>
              <w:widowControl/>
              <w:spacing w:line="240" w:lineRule="atLeast"/>
              <w:rPr>
                <w:color w:val="000000"/>
                <w:kern w:val="0"/>
                <w:sz w:val="22"/>
                <w:szCs w:val="22"/>
              </w:rPr>
            </w:pPr>
            <w:r>
              <w:rPr>
                <w:rFonts w:hint="eastAsia"/>
                <w:color w:val="000000"/>
                <w:kern w:val="0"/>
                <w:sz w:val="22"/>
                <w:szCs w:val="22"/>
              </w:rPr>
              <w:t>实际到位资金：一定时期（本年度或项目期）内落实到具体项目的资金。</w:t>
            </w:r>
          </w:p>
          <w:p w14:paraId="08FF6677">
            <w:pPr>
              <w:widowControl/>
              <w:spacing w:line="240" w:lineRule="atLeast"/>
              <w:rPr>
                <w:color w:val="000000"/>
                <w:kern w:val="0"/>
                <w:sz w:val="22"/>
                <w:szCs w:val="22"/>
              </w:rPr>
            </w:pPr>
            <w:r>
              <w:rPr>
                <w:rFonts w:hint="eastAsia"/>
                <w:color w:val="000000"/>
                <w:kern w:val="0"/>
                <w:sz w:val="22"/>
                <w:szCs w:val="22"/>
              </w:rPr>
              <w:t>预算资金：一定时期（本年度或项目期）内预算安排到具体项目的资金。</w:t>
            </w:r>
          </w:p>
        </w:tc>
        <w:tc>
          <w:tcPr>
            <w:tcW w:w="155" w:type="pct"/>
            <w:shd w:val="clear" w:color="000000" w:fill="FFFFFF"/>
            <w:vAlign w:val="center"/>
          </w:tcPr>
          <w:p w14:paraId="0BBF595F">
            <w:pPr>
              <w:widowControl/>
              <w:spacing w:line="240" w:lineRule="atLeast"/>
              <w:jc w:val="center"/>
              <w:rPr>
                <w:b/>
                <w:bCs/>
                <w:color w:val="000000"/>
                <w:kern w:val="0"/>
                <w:sz w:val="22"/>
                <w:szCs w:val="22"/>
              </w:rPr>
            </w:pPr>
            <w:r>
              <w:rPr>
                <w:b/>
                <w:bCs/>
                <w:color w:val="000000"/>
                <w:kern w:val="0"/>
                <w:sz w:val="22"/>
                <w:szCs w:val="22"/>
              </w:rPr>
              <w:t>4</w:t>
            </w:r>
          </w:p>
        </w:tc>
        <w:tc>
          <w:tcPr>
            <w:tcW w:w="354" w:type="pct"/>
            <w:shd w:val="clear" w:color="000000" w:fill="FFFFFF"/>
            <w:vAlign w:val="center"/>
          </w:tcPr>
          <w:p w14:paraId="12FE258E">
            <w:pPr>
              <w:widowControl/>
              <w:spacing w:line="240" w:lineRule="atLeast"/>
              <w:jc w:val="center"/>
              <w:rPr>
                <w:b/>
                <w:bCs/>
                <w:color w:val="000000"/>
                <w:kern w:val="0"/>
                <w:sz w:val="22"/>
                <w:szCs w:val="22"/>
              </w:rPr>
            </w:pPr>
            <w:r>
              <w:rPr>
                <w:b/>
                <w:bCs/>
                <w:color w:val="000000"/>
                <w:kern w:val="0"/>
                <w:sz w:val="22"/>
                <w:szCs w:val="22"/>
              </w:rPr>
              <w:t>4</w:t>
            </w:r>
          </w:p>
        </w:tc>
      </w:tr>
      <w:tr w14:paraId="24F73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298" w:type="pct"/>
            <w:vMerge w:val="continue"/>
            <w:shd w:val="clear" w:color="auto" w:fill="FFFFFF"/>
            <w:vAlign w:val="center"/>
          </w:tcPr>
          <w:p w14:paraId="01FEE257">
            <w:pPr>
              <w:spacing w:line="240" w:lineRule="atLeast"/>
              <w:jc w:val="center"/>
              <w:rPr>
                <w:color w:val="000000"/>
                <w:kern w:val="0"/>
                <w:sz w:val="22"/>
                <w:szCs w:val="22"/>
              </w:rPr>
            </w:pPr>
          </w:p>
        </w:tc>
        <w:tc>
          <w:tcPr>
            <w:tcW w:w="287" w:type="pct"/>
            <w:vMerge w:val="continue"/>
            <w:shd w:val="clear" w:color="auto" w:fill="FFFFFF"/>
            <w:vAlign w:val="center"/>
          </w:tcPr>
          <w:p w14:paraId="5712E658">
            <w:pPr>
              <w:spacing w:line="240" w:lineRule="atLeast"/>
              <w:jc w:val="center"/>
              <w:rPr>
                <w:color w:val="000000"/>
                <w:kern w:val="0"/>
                <w:sz w:val="22"/>
                <w:szCs w:val="22"/>
              </w:rPr>
            </w:pPr>
          </w:p>
        </w:tc>
        <w:tc>
          <w:tcPr>
            <w:tcW w:w="298" w:type="pct"/>
            <w:shd w:val="clear" w:color="auto" w:fill="FFFFFF"/>
            <w:vAlign w:val="center"/>
          </w:tcPr>
          <w:p w14:paraId="5C99A322">
            <w:pPr>
              <w:widowControl/>
              <w:spacing w:line="240" w:lineRule="atLeast"/>
              <w:jc w:val="center"/>
              <w:rPr>
                <w:color w:val="000000"/>
                <w:kern w:val="0"/>
                <w:sz w:val="22"/>
                <w:szCs w:val="22"/>
              </w:rPr>
            </w:pPr>
            <w:r>
              <w:rPr>
                <w:rFonts w:hint="eastAsia"/>
                <w:color w:val="000000"/>
                <w:kern w:val="0"/>
                <w:sz w:val="22"/>
                <w:szCs w:val="22"/>
              </w:rPr>
              <w:t>预算执行率</w:t>
            </w:r>
          </w:p>
        </w:tc>
        <w:tc>
          <w:tcPr>
            <w:tcW w:w="897" w:type="pct"/>
            <w:shd w:val="clear" w:color="auto" w:fill="FFFFFF"/>
            <w:vAlign w:val="center"/>
          </w:tcPr>
          <w:p w14:paraId="7CBDA985">
            <w:pPr>
              <w:widowControl/>
              <w:spacing w:line="240" w:lineRule="atLeast"/>
              <w:rPr>
                <w:color w:val="000000"/>
                <w:kern w:val="0"/>
                <w:sz w:val="22"/>
                <w:szCs w:val="22"/>
              </w:rPr>
            </w:pPr>
            <w:r>
              <w:rPr>
                <w:rFonts w:hint="eastAsia"/>
                <w:color w:val="000000"/>
                <w:kern w:val="0"/>
                <w:sz w:val="22"/>
                <w:szCs w:val="22"/>
              </w:rPr>
              <w:t>项目预算资金是否按照计划执行，用以反映或考核项目预算执行情况。</w:t>
            </w:r>
          </w:p>
        </w:tc>
        <w:tc>
          <w:tcPr>
            <w:tcW w:w="2712" w:type="pct"/>
            <w:shd w:val="clear" w:color="auto" w:fill="FFFFFF"/>
            <w:vAlign w:val="center"/>
          </w:tcPr>
          <w:p w14:paraId="1B1C3DFE">
            <w:pPr>
              <w:widowControl/>
              <w:spacing w:line="240" w:lineRule="atLeast"/>
              <w:rPr>
                <w:color w:val="000000"/>
                <w:kern w:val="0"/>
                <w:sz w:val="22"/>
                <w:szCs w:val="22"/>
              </w:rPr>
            </w:pPr>
            <w:r>
              <w:rPr>
                <w:rFonts w:hint="eastAsia"/>
                <w:color w:val="000000"/>
                <w:kern w:val="0"/>
                <w:sz w:val="22"/>
                <w:szCs w:val="22"/>
              </w:rPr>
              <w:t>预算执行率</w:t>
            </w:r>
            <w:r>
              <w:rPr>
                <w:color w:val="000000"/>
                <w:kern w:val="0"/>
                <w:sz w:val="22"/>
                <w:szCs w:val="22"/>
              </w:rPr>
              <w:t>=</w:t>
            </w:r>
            <w:r>
              <w:rPr>
                <w:rFonts w:hint="eastAsia"/>
                <w:color w:val="000000"/>
                <w:kern w:val="0"/>
                <w:sz w:val="22"/>
                <w:szCs w:val="22"/>
              </w:rPr>
              <w:t>（实际支出资金</w:t>
            </w:r>
            <w:r>
              <w:rPr>
                <w:color w:val="000000"/>
                <w:kern w:val="0"/>
                <w:sz w:val="22"/>
                <w:szCs w:val="22"/>
              </w:rPr>
              <w:t>/</w:t>
            </w:r>
            <w:r>
              <w:rPr>
                <w:rFonts w:hint="eastAsia"/>
                <w:color w:val="000000"/>
                <w:kern w:val="0"/>
                <w:sz w:val="22"/>
                <w:szCs w:val="22"/>
              </w:rPr>
              <w:t>实际到位资金）</w:t>
            </w:r>
            <w:r>
              <w:rPr>
                <w:color w:val="000000"/>
                <w:kern w:val="0"/>
                <w:sz w:val="22"/>
                <w:szCs w:val="22"/>
              </w:rPr>
              <w:t>×100%</w:t>
            </w:r>
            <w:r>
              <w:rPr>
                <w:rFonts w:hint="eastAsia"/>
                <w:color w:val="000000"/>
                <w:kern w:val="0"/>
                <w:sz w:val="22"/>
                <w:szCs w:val="22"/>
              </w:rPr>
              <w:t>。</w:t>
            </w:r>
            <w:r>
              <w:rPr>
                <w:color w:val="000000"/>
                <w:kern w:val="0"/>
                <w:sz w:val="22"/>
                <w:szCs w:val="22"/>
              </w:rPr>
              <w:br w:type="textWrapping"/>
            </w:r>
            <w:r>
              <w:rPr>
                <w:rFonts w:hint="eastAsia"/>
                <w:color w:val="000000"/>
                <w:kern w:val="0"/>
                <w:sz w:val="22"/>
                <w:szCs w:val="22"/>
              </w:rPr>
              <w:t>实际支出资金：一定时期（本年度或项目期）内项目实际拨付的资金。</w:t>
            </w:r>
          </w:p>
        </w:tc>
        <w:tc>
          <w:tcPr>
            <w:tcW w:w="155" w:type="pct"/>
            <w:shd w:val="clear" w:color="auto" w:fill="FFFFFF"/>
            <w:vAlign w:val="center"/>
          </w:tcPr>
          <w:p w14:paraId="36E60341">
            <w:pPr>
              <w:widowControl/>
              <w:spacing w:line="240" w:lineRule="atLeast"/>
              <w:jc w:val="center"/>
              <w:rPr>
                <w:b/>
                <w:bCs/>
                <w:color w:val="000000"/>
                <w:kern w:val="0"/>
                <w:sz w:val="22"/>
                <w:szCs w:val="22"/>
              </w:rPr>
            </w:pPr>
            <w:r>
              <w:rPr>
                <w:b/>
                <w:bCs/>
                <w:color w:val="000000"/>
                <w:kern w:val="0"/>
                <w:sz w:val="22"/>
                <w:szCs w:val="22"/>
              </w:rPr>
              <w:t>4</w:t>
            </w:r>
          </w:p>
        </w:tc>
        <w:tc>
          <w:tcPr>
            <w:tcW w:w="354" w:type="pct"/>
            <w:shd w:val="clear" w:color="auto" w:fill="FFFFFF"/>
            <w:vAlign w:val="center"/>
          </w:tcPr>
          <w:p w14:paraId="6E498D99">
            <w:pPr>
              <w:widowControl/>
              <w:spacing w:line="240" w:lineRule="atLeast"/>
              <w:jc w:val="center"/>
              <w:rPr>
                <w:b/>
                <w:bCs/>
                <w:color w:val="000000"/>
                <w:kern w:val="0"/>
                <w:sz w:val="22"/>
                <w:szCs w:val="22"/>
              </w:rPr>
            </w:pPr>
            <w:r>
              <w:rPr>
                <w:b/>
                <w:bCs/>
                <w:color w:val="000000"/>
                <w:kern w:val="0"/>
                <w:sz w:val="22"/>
                <w:szCs w:val="22"/>
              </w:rPr>
              <w:t>4</w:t>
            </w:r>
          </w:p>
        </w:tc>
      </w:tr>
      <w:tr w14:paraId="5BBF3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298" w:type="pct"/>
            <w:vMerge w:val="continue"/>
            <w:shd w:val="clear" w:color="auto" w:fill="FFFFFF"/>
            <w:vAlign w:val="center"/>
          </w:tcPr>
          <w:p w14:paraId="37389C90">
            <w:pPr>
              <w:spacing w:line="240" w:lineRule="atLeast"/>
              <w:jc w:val="center"/>
              <w:rPr>
                <w:color w:val="000000"/>
                <w:kern w:val="0"/>
                <w:sz w:val="22"/>
                <w:szCs w:val="22"/>
              </w:rPr>
            </w:pPr>
          </w:p>
        </w:tc>
        <w:tc>
          <w:tcPr>
            <w:tcW w:w="287" w:type="pct"/>
            <w:shd w:val="clear" w:color="auto" w:fill="FFFFFF"/>
            <w:vAlign w:val="center"/>
          </w:tcPr>
          <w:p w14:paraId="3B280A9A">
            <w:pPr>
              <w:widowControl/>
              <w:spacing w:line="240" w:lineRule="atLeast"/>
              <w:jc w:val="center"/>
              <w:rPr>
                <w:color w:val="000000"/>
                <w:kern w:val="0"/>
                <w:sz w:val="22"/>
                <w:szCs w:val="22"/>
              </w:rPr>
            </w:pPr>
            <w:r>
              <w:rPr>
                <w:rFonts w:hint="eastAsia"/>
                <w:color w:val="000000"/>
                <w:kern w:val="0"/>
                <w:sz w:val="22"/>
                <w:szCs w:val="22"/>
              </w:rPr>
              <w:t>资金管理</w:t>
            </w:r>
          </w:p>
        </w:tc>
        <w:tc>
          <w:tcPr>
            <w:tcW w:w="298" w:type="pct"/>
            <w:shd w:val="clear" w:color="auto" w:fill="FFFFFF"/>
            <w:vAlign w:val="center"/>
          </w:tcPr>
          <w:p w14:paraId="5A1E7761">
            <w:pPr>
              <w:widowControl/>
              <w:spacing w:line="240" w:lineRule="atLeast"/>
              <w:jc w:val="center"/>
              <w:rPr>
                <w:color w:val="000000"/>
                <w:kern w:val="0"/>
                <w:sz w:val="22"/>
                <w:szCs w:val="22"/>
              </w:rPr>
            </w:pPr>
            <w:r>
              <w:rPr>
                <w:rFonts w:hint="eastAsia"/>
                <w:color w:val="000000"/>
                <w:kern w:val="0"/>
                <w:sz w:val="22"/>
                <w:szCs w:val="22"/>
              </w:rPr>
              <w:t>资金使用</w:t>
            </w:r>
          </w:p>
          <w:p w14:paraId="5C7B9565">
            <w:pPr>
              <w:widowControl/>
              <w:spacing w:line="240" w:lineRule="atLeast"/>
              <w:jc w:val="center"/>
              <w:rPr>
                <w:color w:val="000000"/>
                <w:kern w:val="0"/>
                <w:sz w:val="22"/>
                <w:szCs w:val="22"/>
              </w:rPr>
            </w:pPr>
            <w:r>
              <w:rPr>
                <w:rFonts w:hint="eastAsia"/>
                <w:color w:val="000000"/>
                <w:kern w:val="0"/>
                <w:sz w:val="22"/>
                <w:szCs w:val="22"/>
              </w:rPr>
              <w:t>合规性</w:t>
            </w:r>
          </w:p>
        </w:tc>
        <w:tc>
          <w:tcPr>
            <w:tcW w:w="897" w:type="pct"/>
            <w:shd w:val="clear" w:color="000000" w:fill="FFFFFF"/>
            <w:vAlign w:val="center"/>
          </w:tcPr>
          <w:p w14:paraId="53D6DD7D">
            <w:pPr>
              <w:widowControl/>
              <w:spacing w:line="240" w:lineRule="atLeast"/>
              <w:rPr>
                <w:color w:val="000000"/>
                <w:kern w:val="0"/>
                <w:sz w:val="22"/>
                <w:szCs w:val="22"/>
              </w:rPr>
            </w:pPr>
            <w:r>
              <w:rPr>
                <w:rFonts w:hint="eastAsia"/>
                <w:color w:val="000000"/>
                <w:kern w:val="0"/>
                <w:sz w:val="22"/>
                <w:szCs w:val="22"/>
              </w:rPr>
              <w:t>项目资金使用是否符合相关的财务管理制度规定，用以反映和考核项目资金的规范运行情况。</w:t>
            </w:r>
          </w:p>
        </w:tc>
        <w:tc>
          <w:tcPr>
            <w:tcW w:w="2712" w:type="pct"/>
            <w:shd w:val="clear" w:color="000000" w:fill="FFFFFF"/>
            <w:vAlign w:val="center"/>
          </w:tcPr>
          <w:p w14:paraId="1F6264B4">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rFonts w:hint="eastAsia"/>
                <w:color w:val="000000"/>
                <w:kern w:val="0"/>
                <w:sz w:val="22"/>
                <w:szCs w:val="22"/>
              </w:rPr>
              <w:t>是否符合国家财经法规和财务管理制度以及有关专项资金管理办法的规定；</w:t>
            </w:r>
            <w:r>
              <w:rPr>
                <w:color w:val="000000"/>
                <w:kern w:val="0"/>
                <w:sz w:val="22"/>
                <w:szCs w:val="22"/>
              </w:rPr>
              <w:br w:type="textWrapping"/>
            </w:r>
            <w:r>
              <w:rPr>
                <w:rFonts w:hint="eastAsia"/>
                <w:color w:val="000000"/>
                <w:kern w:val="0"/>
                <w:sz w:val="22"/>
                <w:szCs w:val="22"/>
              </w:rPr>
              <w:t>资金的拨付是否有完整的审批程序和手续；</w:t>
            </w:r>
            <w:r>
              <w:rPr>
                <w:color w:val="000000"/>
                <w:kern w:val="0"/>
                <w:sz w:val="22"/>
                <w:szCs w:val="22"/>
              </w:rPr>
              <w:br w:type="textWrapping"/>
            </w:r>
            <w:r>
              <w:rPr>
                <w:rFonts w:hint="eastAsia"/>
                <w:color w:val="000000"/>
                <w:kern w:val="0"/>
                <w:sz w:val="22"/>
                <w:szCs w:val="22"/>
              </w:rPr>
              <w:t>是否符合项目预算批复或合同规定的用途；</w:t>
            </w:r>
            <w:r>
              <w:rPr>
                <w:color w:val="000000"/>
                <w:kern w:val="0"/>
                <w:sz w:val="22"/>
                <w:szCs w:val="22"/>
              </w:rPr>
              <w:br w:type="textWrapping"/>
            </w:r>
            <w:r>
              <w:rPr>
                <w:rFonts w:hint="eastAsia"/>
                <w:color w:val="000000"/>
                <w:kern w:val="0"/>
                <w:sz w:val="22"/>
                <w:szCs w:val="22"/>
              </w:rPr>
              <w:t>是否存在截留、挤占、挪用、虚列支出等情况。</w:t>
            </w:r>
          </w:p>
        </w:tc>
        <w:tc>
          <w:tcPr>
            <w:tcW w:w="155" w:type="pct"/>
            <w:shd w:val="clear" w:color="000000" w:fill="FFFFFF"/>
            <w:vAlign w:val="center"/>
          </w:tcPr>
          <w:p w14:paraId="698F841A">
            <w:pPr>
              <w:widowControl/>
              <w:spacing w:line="240" w:lineRule="atLeast"/>
              <w:jc w:val="center"/>
              <w:rPr>
                <w:b/>
                <w:bCs/>
                <w:color w:val="000000"/>
                <w:kern w:val="0"/>
                <w:sz w:val="22"/>
                <w:szCs w:val="22"/>
              </w:rPr>
            </w:pPr>
            <w:r>
              <w:rPr>
                <w:b/>
                <w:bCs/>
                <w:color w:val="000000"/>
                <w:kern w:val="0"/>
                <w:sz w:val="22"/>
                <w:szCs w:val="22"/>
              </w:rPr>
              <w:t>4</w:t>
            </w:r>
          </w:p>
        </w:tc>
        <w:tc>
          <w:tcPr>
            <w:tcW w:w="354" w:type="pct"/>
            <w:shd w:val="clear" w:color="000000" w:fill="FFFFFF"/>
            <w:vAlign w:val="center"/>
          </w:tcPr>
          <w:p w14:paraId="4029E9BC">
            <w:pPr>
              <w:widowControl/>
              <w:spacing w:line="240" w:lineRule="atLeast"/>
              <w:jc w:val="center"/>
              <w:rPr>
                <w:b/>
                <w:bCs/>
                <w:color w:val="000000"/>
                <w:kern w:val="0"/>
                <w:sz w:val="22"/>
                <w:szCs w:val="22"/>
              </w:rPr>
            </w:pPr>
            <w:r>
              <w:rPr>
                <w:b/>
                <w:bCs/>
                <w:color w:val="000000"/>
                <w:kern w:val="0"/>
                <w:sz w:val="22"/>
                <w:szCs w:val="22"/>
              </w:rPr>
              <w:t>4</w:t>
            </w:r>
          </w:p>
        </w:tc>
      </w:tr>
      <w:tr w14:paraId="1DA541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298" w:type="pct"/>
            <w:vMerge w:val="continue"/>
            <w:shd w:val="clear" w:color="auto" w:fill="FFFFFF"/>
            <w:vAlign w:val="center"/>
          </w:tcPr>
          <w:p w14:paraId="4D7FBC13">
            <w:pPr>
              <w:spacing w:line="240" w:lineRule="atLeast"/>
              <w:jc w:val="center"/>
              <w:rPr>
                <w:color w:val="000000"/>
                <w:kern w:val="0"/>
                <w:sz w:val="22"/>
                <w:szCs w:val="22"/>
              </w:rPr>
            </w:pPr>
          </w:p>
        </w:tc>
        <w:tc>
          <w:tcPr>
            <w:tcW w:w="287" w:type="pct"/>
            <w:vMerge w:val="restart"/>
            <w:shd w:val="clear" w:color="auto" w:fill="FFFFFF"/>
            <w:vAlign w:val="center"/>
          </w:tcPr>
          <w:p w14:paraId="3AFC9BEB">
            <w:pPr>
              <w:widowControl/>
              <w:spacing w:line="240" w:lineRule="atLeast"/>
              <w:jc w:val="center"/>
              <w:rPr>
                <w:color w:val="000000"/>
                <w:kern w:val="0"/>
                <w:sz w:val="22"/>
                <w:szCs w:val="22"/>
              </w:rPr>
            </w:pPr>
            <w:r>
              <w:rPr>
                <w:rFonts w:hint="eastAsia"/>
                <w:color w:val="000000"/>
                <w:kern w:val="0"/>
                <w:sz w:val="22"/>
                <w:szCs w:val="22"/>
              </w:rPr>
              <w:t>组织实施</w:t>
            </w:r>
          </w:p>
          <w:p w14:paraId="080939F4">
            <w:pPr>
              <w:spacing w:line="240" w:lineRule="atLeast"/>
              <w:jc w:val="center"/>
              <w:rPr>
                <w:color w:val="000000"/>
                <w:kern w:val="0"/>
                <w:sz w:val="22"/>
                <w:szCs w:val="22"/>
              </w:rPr>
            </w:pPr>
            <w:r>
              <w:rPr>
                <w:rFonts w:hint="eastAsia"/>
                <w:color w:val="000000"/>
                <w:kern w:val="0"/>
                <w:sz w:val="22"/>
                <w:szCs w:val="22"/>
              </w:rPr>
              <w:t>　</w:t>
            </w:r>
          </w:p>
        </w:tc>
        <w:tc>
          <w:tcPr>
            <w:tcW w:w="298" w:type="pct"/>
            <w:shd w:val="clear" w:color="auto" w:fill="FFFFFF"/>
            <w:vAlign w:val="center"/>
          </w:tcPr>
          <w:p w14:paraId="1302FC8E">
            <w:pPr>
              <w:widowControl/>
              <w:spacing w:line="240" w:lineRule="atLeast"/>
              <w:jc w:val="center"/>
              <w:rPr>
                <w:color w:val="000000"/>
                <w:kern w:val="0"/>
                <w:sz w:val="22"/>
                <w:szCs w:val="22"/>
              </w:rPr>
            </w:pPr>
            <w:r>
              <w:rPr>
                <w:rFonts w:hint="eastAsia"/>
                <w:color w:val="000000"/>
                <w:kern w:val="0"/>
                <w:sz w:val="22"/>
                <w:szCs w:val="22"/>
              </w:rPr>
              <w:t>管理制度</w:t>
            </w:r>
          </w:p>
          <w:p w14:paraId="61077651">
            <w:pPr>
              <w:widowControl/>
              <w:spacing w:line="240" w:lineRule="atLeast"/>
              <w:jc w:val="center"/>
              <w:rPr>
                <w:color w:val="000000"/>
                <w:kern w:val="0"/>
                <w:sz w:val="22"/>
                <w:szCs w:val="22"/>
              </w:rPr>
            </w:pPr>
            <w:r>
              <w:rPr>
                <w:rFonts w:hint="eastAsia"/>
                <w:color w:val="000000"/>
                <w:kern w:val="0"/>
                <w:sz w:val="22"/>
                <w:szCs w:val="22"/>
              </w:rPr>
              <w:t>健全性</w:t>
            </w:r>
          </w:p>
        </w:tc>
        <w:tc>
          <w:tcPr>
            <w:tcW w:w="897" w:type="pct"/>
            <w:shd w:val="clear" w:color="000000" w:fill="FFFFFF"/>
            <w:vAlign w:val="center"/>
          </w:tcPr>
          <w:p w14:paraId="21AF8F7C">
            <w:pPr>
              <w:widowControl/>
              <w:spacing w:line="240" w:lineRule="atLeast"/>
              <w:rPr>
                <w:color w:val="000000"/>
                <w:kern w:val="0"/>
                <w:sz w:val="22"/>
                <w:szCs w:val="22"/>
              </w:rPr>
            </w:pPr>
            <w:r>
              <w:rPr>
                <w:rFonts w:hint="eastAsia"/>
                <w:color w:val="000000"/>
                <w:kern w:val="0"/>
                <w:sz w:val="22"/>
                <w:szCs w:val="22"/>
              </w:rPr>
              <w:t>项目实施单位的财务和业务管理制度是否健全，用以反映和考核财务和业务管理制度对项目顺利实施的保障情况。</w:t>
            </w:r>
          </w:p>
        </w:tc>
        <w:tc>
          <w:tcPr>
            <w:tcW w:w="2712" w:type="pct"/>
            <w:shd w:val="clear" w:color="000000" w:fill="FFFFFF"/>
            <w:vAlign w:val="center"/>
          </w:tcPr>
          <w:p w14:paraId="01D6D938">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rFonts w:hint="eastAsia"/>
                <w:color w:val="000000"/>
                <w:kern w:val="0"/>
                <w:sz w:val="22"/>
                <w:szCs w:val="22"/>
              </w:rPr>
              <w:t>是否已制定或具有相应的财务和业务管理制度；</w:t>
            </w:r>
            <w:r>
              <w:rPr>
                <w:color w:val="000000"/>
                <w:kern w:val="0"/>
                <w:sz w:val="22"/>
                <w:szCs w:val="22"/>
              </w:rPr>
              <w:br w:type="textWrapping"/>
            </w:r>
            <w:r>
              <w:rPr>
                <w:rFonts w:hint="eastAsia"/>
                <w:color w:val="000000"/>
                <w:kern w:val="0"/>
                <w:sz w:val="22"/>
                <w:szCs w:val="22"/>
              </w:rPr>
              <w:t>财务和业务管理制度是否合法、合规、完整。</w:t>
            </w:r>
          </w:p>
        </w:tc>
        <w:tc>
          <w:tcPr>
            <w:tcW w:w="155" w:type="pct"/>
            <w:shd w:val="clear" w:color="000000" w:fill="FFFFFF"/>
            <w:vAlign w:val="center"/>
          </w:tcPr>
          <w:p w14:paraId="5AAA8776">
            <w:pPr>
              <w:widowControl/>
              <w:spacing w:line="240" w:lineRule="atLeast"/>
              <w:jc w:val="center"/>
              <w:rPr>
                <w:b/>
                <w:bCs/>
                <w:color w:val="000000"/>
                <w:kern w:val="0"/>
                <w:sz w:val="22"/>
                <w:szCs w:val="22"/>
              </w:rPr>
            </w:pPr>
            <w:r>
              <w:rPr>
                <w:b/>
                <w:bCs/>
                <w:color w:val="000000"/>
                <w:kern w:val="0"/>
                <w:sz w:val="22"/>
                <w:szCs w:val="22"/>
              </w:rPr>
              <w:t>4</w:t>
            </w:r>
          </w:p>
        </w:tc>
        <w:tc>
          <w:tcPr>
            <w:tcW w:w="354" w:type="pct"/>
            <w:shd w:val="clear" w:color="000000" w:fill="FFFFFF"/>
            <w:vAlign w:val="center"/>
          </w:tcPr>
          <w:p w14:paraId="2BF817B1">
            <w:pPr>
              <w:widowControl/>
              <w:spacing w:line="240" w:lineRule="atLeast"/>
              <w:jc w:val="center"/>
              <w:rPr>
                <w:b/>
                <w:bCs/>
                <w:color w:val="000000"/>
                <w:kern w:val="0"/>
                <w:sz w:val="22"/>
                <w:szCs w:val="22"/>
              </w:rPr>
            </w:pPr>
            <w:r>
              <w:rPr>
                <w:b/>
                <w:bCs/>
                <w:color w:val="000000"/>
                <w:kern w:val="0"/>
                <w:sz w:val="22"/>
                <w:szCs w:val="22"/>
              </w:rPr>
              <w:t>4</w:t>
            </w:r>
          </w:p>
        </w:tc>
      </w:tr>
      <w:tr w14:paraId="35389D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44" w:hRule="atLeast"/>
          <w:jc w:val="center"/>
        </w:trPr>
        <w:tc>
          <w:tcPr>
            <w:tcW w:w="298" w:type="pct"/>
            <w:vMerge w:val="continue"/>
            <w:shd w:val="clear" w:color="auto" w:fill="FFFFFF"/>
            <w:vAlign w:val="center"/>
          </w:tcPr>
          <w:p w14:paraId="2409FBA6">
            <w:pPr>
              <w:widowControl/>
              <w:spacing w:line="240" w:lineRule="atLeast"/>
              <w:jc w:val="center"/>
              <w:rPr>
                <w:color w:val="000000"/>
                <w:kern w:val="0"/>
                <w:sz w:val="22"/>
                <w:szCs w:val="22"/>
              </w:rPr>
            </w:pPr>
          </w:p>
        </w:tc>
        <w:tc>
          <w:tcPr>
            <w:tcW w:w="287" w:type="pct"/>
            <w:vMerge w:val="continue"/>
            <w:shd w:val="clear" w:color="auto" w:fill="FFFFFF"/>
            <w:vAlign w:val="center"/>
          </w:tcPr>
          <w:p w14:paraId="51CC803E">
            <w:pPr>
              <w:widowControl/>
              <w:spacing w:line="240" w:lineRule="atLeast"/>
              <w:jc w:val="center"/>
              <w:rPr>
                <w:color w:val="000000"/>
                <w:kern w:val="0"/>
                <w:sz w:val="22"/>
                <w:szCs w:val="22"/>
              </w:rPr>
            </w:pPr>
          </w:p>
        </w:tc>
        <w:tc>
          <w:tcPr>
            <w:tcW w:w="298" w:type="pct"/>
            <w:shd w:val="clear" w:color="auto" w:fill="FFFFFF"/>
            <w:vAlign w:val="center"/>
          </w:tcPr>
          <w:p w14:paraId="76B81C81">
            <w:pPr>
              <w:widowControl/>
              <w:spacing w:line="240" w:lineRule="atLeast"/>
              <w:jc w:val="center"/>
              <w:rPr>
                <w:color w:val="000000"/>
                <w:kern w:val="0"/>
                <w:sz w:val="22"/>
                <w:szCs w:val="22"/>
              </w:rPr>
            </w:pPr>
            <w:r>
              <w:rPr>
                <w:rFonts w:hint="eastAsia"/>
                <w:color w:val="000000"/>
                <w:kern w:val="0"/>
                <w:sz w:val="22"/>
                <w:szCs w:val="22"/>
              </w:rPr>
              <w:t>制度执行</w:t>
            </w:r>
          </w:p>
          <w:p w14:paraId="12660FB3">
            <w:pPr>
              <w:widowControl/>
              <w:spacing w:line="240" w:lineRule="atLeast"/>
              <w:jc w:val="center"/>
              <w:rPr>
                <w:color w:val="000000"/>
                <w:kern w:val="0"/>
                <w:sz w:val="22"/>
                <w:szCs w:val="22"/>
              </w:rPr>
            </w:pPr>
            <w:r>
              <w:rPr>
                <w:rFonts w:hint="eastAsia"/>
                <w:color w:val="000000"/>
                <w:kern w:val="0"/>
                <w:sz w:val="22"/>
                <w:szCs w:val="22"/>
              </w:rPr>
              <w:t>有效性</w:t>
            </w:r>
          </w:p>
        </w:tc>
        <w:tc>
          <w:tcPr>
            <w:tcW w:w="897" w:type="pct"/>
            <w:shd w:val="clear" w:color="000000" w:fill="FFFFFF"/>
            <w:vAlign w:val="center"/>
          </w:tcPr>
          <w:p w14:paraId="11748720">
            <w:pPr>
              <w:widowControl/>
              <w:spacing w:line="240" w:lineRule="atLeast"/>
              <w:rPr>
                <w:color w:val="000000"/>
                <w:kern w:val="0"/>
                <w:sz w:val="22"/>
                <w:szCs w:val="22"/>
              </w:rPr>
            </w:pPr>
            <w:r>
              <w:rPr>
                <w:rFonts w:hint="eastAsia"/>
                <w:color w:val="000000"/>
                <w:kern w:val="0"/>
                <w:sz w:val="22"/>
                <w:szCs w:val="22"/>
              </w:rPr>
              <w:t>项目实施是否符合相关管理规定，用以反映和考核相关管理制度的有效执行情况。</w:t>
            </w:r>
          </w:p>
        </w:tc>
        <w:tc>
          <w:tcPr>
            <w:tcW w:w="2712" w:type="pct"/>
            <w:shd w:val="clear" w:color="000000" w:fill="FFFFFF"/>
            <w:vAlign w:val="center"/>
          </w:tcPr>
          <w:p w14:paraId="26399273">
            <w:pPr>
              <w:widowControl/>
              <w:spacing w:line="240" w:lineRule="atLeast"/>
              <w:rPr>
                <w:color w:val="000000"/>
                <w:kern w:val="0"/>
                <w:sz w:val="22"/>
                <w:szCs w:val="22"/>
              </w:rPr>
            </w:pPr>
            <w:r>
              <w:rPr>
                <w:rFonts w:hint="eastAsia"/>
                <w:color w:val="000000"/>
                <w:kern w:val="0"/>
                <w:sz w:val="22"/>
                <w:szCs w:val="22"/>
              </w:rPr>
              <w:t>评价要点：</w:t>
            </w:r>
            <w:r>
              <w:rPr>
                <w:color w:val="000000"/>
                <w:kern w:val="0"/>
                <w:sz w:val="22"/>
                <w:szCs w:val="22"/>
              </w:rPr>
              <w:br w:type="textWrapping"/>
            </w:r>
            <w:r>
              <w:rPr>
                <w:rFonts w:hint="eastAsia"/>
                <w:color w:val="000000"/>
                <w:kern w:val="0"/>
                <w:sz w:val="22"/>
                <w:szCs w:val="22"/>
              </w:rPr>
              <w:t>是否遵守相关法律法规和相关管理规定；</w:t>
            </w:r>
            <w:r>
              <w:rPr>
                <w:color w:val="000000"/>
                <w:kern w:val="0"/>
                <w:sz w:val="22"/>
                <w:szCs w:val="22"/>
              </w:rPr>
              <w:br w:type="textWrapping"/>
            </w:r>
            <w:r>
              <w:rPr>
                <w:rFonts w:hint="eastAsia"/>
                <w:color w:val="000000"/>
                <w:kern w:val="0"/>
                <w:sz w:val="22"/>
                <w:szCs w:val="22"/>
              </w:rPr>
              <w:t>项目调整及支出调整手续是否完备；</w:t>
            </w:r>
            <w:r>
              <w:rPr>
                <w:color w:val="000000"/>
                <w:kern w:val="0"/>
                <w:sz w:val="22"/>
                <w:szCs w:val="22"/>
              </w:rPr>
              <w:br w:type="textWrapping"/>
            </w:r>
            <w:r>
              <w:rPr>
                <w:rFonts w:hint="eastAsia"/>
                <w:color w:val="000000"/>
                <w:kern w:val="0"/>
                <w:sz w:val="22"/>
                <w:szCs w:val="22"/>
              </w:rPr>
              <w:t>项目合同书、验收报告、技术鉴定等资料是否齐全并及时归档；</w:t>
            </w:r>
            <w:r>
              <w:rPr>
                <w:color w:val="000000"/>
                <w:kern w:val="0"/>
                <w:sz w:val="22"/>
                <w:szCs w:val="22"/>
              </w:rPr>
              <w:br w:type="textWrapping"/>
            </w:r>
            <w:r>
              <w:rPr>
                <w:rFonts w:hint="eastAsia"/>
                <w:color w:val="000000"/>
                <w:kern w:val="0"/>
                <w:sz w:val="22"/>
                <w:szCs w:val="22"/>
              </w:rPr>
              <w:t>项目实施的人员条件、场地设备、信息支撑等是否落实到位。</w:t>
            </w:r>
          </w:p>
        </w:tc>
        <w:tc>
          <w:tcPr>
            <w:tcW w:w="155" w:type="pct"/>
            <w:shd w:val="clear" w:color="000000" w:fill="FFFFFF"/>
            <w:vAlign w:val="center"/>
          </w:tcPr>
          <w:p w14:paraId="47E7D251">
            <w:pPr>
              <w:widowControl/>
              <w:spacing w:line="240" w:lineRule="atLeast"/>
              <w:jc w:val="center"/>
              <w:rPr>
                <w:b/>
                <w:bCs/>
                <w:color w:val="000000"/>
                <w:kern w:val="0"/>
                <w:sz w:val="22"/>
                <w:szCs w:val="22"/>
              </w:rPr>
            </w:pPr>
            <w:r>
              <w:rPr>
                <w:b/>
                <w:bCs/>
                <w:color w:val="000000"/>
                <w:kern w:val="0"/>
                <w:sz w:val="22"/>
                <w:szCs w:val="22"/>
              </w:rPr>
              <w:t>4</w:t>
            </w:r>
          </w:p>
        </w:tc>
        <w:tc>
          <w:tcPr>
            <w:tcW w:w="354" w:type="pct"/>
            <w:shd w:val="clear" w:color="000000" w:fill="FFFFFF"/>
            <w:vAlign w:val="center"/>
          </w:tcPr>
          <w:p w14:paraId="26C9775C">
            <w:pPr>
              <w:widowControl/>
              <w:spacing w:line="240" w:lineRule="atLeast"/>
              <w:jc w:val="center"/>
              <w:rPr>
                <w:b/>
                <w:bCs/>
                <w:color w:val="000000"/>
                <w:kern w:val="0"/>
                <w:sz w:val="22"/>
                <w:szCs w:val="22"/>
              </w:rPr>
            </w:pPr>
            <w:r>
              <w:rPr>
                <w:b/>
                <w:bCs/>
                <w:color w:val="000000"/>
                <w:kern w:val="0"/>
                <w:sz w:val="22"/>
                <w:szCs w:val="22"/>
              </w:rPr>
              <w:t>4</w:t>
            </w:r>
          </w:p>
        </w:tc>
      </w:tr>
      <w:tr w14:paraId="494868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298" w:type="pct"/>
            <w:vMerge w:val="restart"/>
            <w:shd w:val="clear" w:color="auto" w:fill="FFFFFF"/>
            <w:vAlign w:val="center"/>
          </w:tcPr>
          <w:p w14:paraId="1F89ED7D">
            <w:pPr>
              <w:widowControl/>
              <w:spacing w:line="240" w:lineRule="atLeast"/>
              <w:jc w:val="center"/>
              <w:rPr>
                <w:color w:val="000000"/>
                <w:kern w:val="0"/>
                <w:sz w:val="22"/>
                <w:szCs w:val="22"/>
              </w:rPr>
            </w:pPr>
            <w:r>
              <w:rPr>
                <w:rFonts w:hint="eastAsia"/>
                <w:color w:val="000000"/>
                <w:kern w:val="0"/>
                <w:sz w:val="22"/>
                <w:szCs w:val="22"/>
              </w:rPr>
              <w:t>产出</w:t>
            </w:r>
          </w:p>
        </w:tc>
        <w:tc>
          <w:tcPr>
            <w:tcW w:w="287" w:type="pct"/>
            <w:shd w:val="clear" w:color="auto" w:fill="FFFFFF"/>
            <w:vAlign w:val="center"/>
          </w:tcPr>
          <w:p w14:paraId="5BE14DCA">
            <w:pPr>
              <w:widowControl/>
              <w:spacing w:line="240" w:lineRule="atLeast"/>
              <w:jc w:val="center"/>
              <w:rPr>
                <w:color w:val="000000"/>
                <w:kern w:val="0"/>
                <w:sz w:val="22"/>
                <w:szCs w:val="22"/>
              </w:rPr>
            </w:pPr>
            <w:r>
              <w:rPr>
                <w:rFonts w:hint="eastAsia"/>
                <w:color w:val="000000"/>
                <w:kern w:val="0"/>
                <w:sz w:val="22"/>
                <w:szCs w:val="22"/>
              </w:rPr>
              <w:t>产出数量</w:t>
            </w:r>
          </w:p>
        </w:tc>
        <w:tc>
          <w:tcPr>
            <w:tcW w:w="298" w:type="pct"/>
            <w:shd w:val="clear" w:color="auto" w:fill="FFFFFF"/>
            <w:vAlign w:val="center"/>
          </w:tcPr>
          <w:p w14:paraId="33C2CC3E">
            <w:pPr>
              <w:widowControl/>
              <w:spacing w:line="240" w:lineRule="atLeast"/>
              <w:jc w:val="center"/>
              <w:rPr>
                <w:color w:val="000000"/>
                <w:kern w:val="0"/>
                <w:sz w:val="22"/>
                <w:szCs w:val="22"/>
              </w:rPr>
            </w:pPr>
            <w:r>
              <w:rPr>
                <w:rFonts w:hint="eastAsia"/>
                <w:color w:val="000000"/>
                <w:kern w:val="0"/>
                <w:sz w:val="22"/>
                <w:szCs w:val="22"/>
              </w:rPr>
              <w:t>实际完成率</w:t>
            </w:r>
          </w:p>
        </w:tc>
        <w:tc>
          <w:tcPr>
            <w:tcW w:w="897" w:type="pct"/>
            <w:shd w:val="clear" w:color="000000" w:fill="FFFFFF"/>
            <w:vAlign w:val="center"/>
          </w:tcPr>
          <w:p w14:paraId="552B0F4C">
            <w:pPr>
              <w:widowControl/>
              <w:spacing w:line="240" w:lineRule="atLeast"/>
              <w:rPr>
                <w:color w:val="000000"/>
                <w:kern w:val="0"/>
                <w:sz w:val="22"/>
                <w:szCs w:val="22"/>
              </w:rPr>
            </w:pPr>
            <w:r>
              <w:rPr>
                <w:rFonts w:hint="eastAsia"/>
                <w:color w:val="000000"/>
                <w:kern w:val="0"/>
                <w:sz w:val="22"/>
                <w:szCs w:val="22"/>
              </w:rPr>
              <w:t>项目实施的实际产出数与计划产出数的比率，用以反映和考核项目产出数量目标的实现程度。</w:t>
            </w:r>
          </w:p>
        </w:tc>
        <w:tc>
          <w:tcPr>
            <w:tcW w:w="2712" w:type="pct"/>
            <w:shd w:val="clear" w:color="000000" w:fill="FFFFFF"/>
            <w:vAlign w:val="center"/>
          </w:tcPr>
          <w:p w14:paraId="6B6A3728">
            <w:pPr>
              <w:widowControl/>
              <w:spacing w:line="240" w:lineRule="atLeast"/>
              <w:rPr>
                <w:color w:val="000000"/>
                <w:kern w:val="0"/>
                <w:sz w:val="22"/>
                <w:szCs w:val="22"/>
              </w:rPr>
            </w:pPr>
            <w:r>
              <w:rPr>
                <w:rFonts w:hint="eastAsia"/>
                <w:color w:val="000000"/>
                <w:kern w:val="0"/>
                <w:sz w:val="22"/>
                <w:szCs w:val="22"/>
              </w:rPr>
              <w:t>实际完成率</w:t>
            </w:r>
            <w:r>
              <w:rPr>
                <w:color w:val="000000"/>
                <w:kern w:val="0"/>
                <w:sz w:val="22"/>
                <w:szCs w:val="22"/>
              </w:rPr>
              <w:t>=</w:t>
            </w:r>
            <w:r>
              <w:rPr>
                <w:rFonts w:hint="eastAsia"/>
                <w:color w:val="000000"/>
                <w:kern w:val="0"/>
                <w:sz w:val="22"/>
                <w:szCs w:val="22"/>
              </w:rPr>
              <w:t>（实际产出数</w:t>
            </w:r>
            <w:r>
              <w:rPr>
                <w:color w:val="000000"/>
                <w:kern w:val="0"/>
                <w:sz w:val="22"/>
                <w:szCs w:val="22"/>
              </w:rPr>
              <w:t>/</w:t>
            </w:r>
            <w:r>
              <w:rPr>
                <w:rFonts w:hint="eastAsia"/>
                <w:color w:val="000000"/>
                <w:kern w:val="0"/>
                <w:sz w:val="22"/>
                <w:szCs w:val="22"/>
              </w:rPr>
              <w:t>计划产出数）</w:t>
            </w:r>
            <w:r>
              <w:rPr>
                <w:color w:val="000000"/>
                <w:kern w:val="0"/>
                <w:sz w:val="22"/>
                <w:szCs w:val="22"/>
              </w:rPr>
              <w:t>×100%</w:t>
            </w:r>
            <w:r>
              <w:rPr>
                <w:rFonts w:hint="eastAsia"/>
                <w:color w:val="000000"/>
                <w:kern w:val="0"/>
                <w:sz w:val="22"/>
                <w:szCs w:val="22"/>
              </w:rPr>
              <w:t>。</w:t>
            </w:r>
            <w:r>
              <w:rPr>
                <w:color w:val="000000"/>
                <w:kern w:val="0"/>
                <w:sz w:val="22"/>
                <w:szCs w:val="22"/>
              </w:rPr>
              <w:br w:type="textWrapping"/>
            </w:r>
            <w:r>
              <w:rPr>
                <w:rFonts w:hint="eastAsia"/>
                <w:color w:val="000000"/>
                <w:kern w:val="0"/>
                <w:sz w:val="22"/>
                <w:szCs w:val="22"/>
              </w:rPr>
              <w:t>实际产出数：一定时期（本年度或项目期）内项目实际产出的产品或提供的服务数量。</w:t>
            </w:r>
            <w:r>
              <w:rPr>
                <w:color w:val="000000"/>
                <w:kern w:val="0"/>
                <w:sz w:val="22"/>
                <w:szCs w:val="22"/>
              </w:rPr>
              <w:br w:type="textWrapping"/>
            </w:r>
            <w:r>
              <w:rPr>
                <w:rFonts w:hint="eastAsia"/>
                <w:color w:val="000000"/>
                <w:kern w:val="0"/>
                <w:sz w:val="22"/>
                <w:szCs w:val="22"/>
              </w:rPr>
              <w:t>计划产出数：项目绩效目标确定的在一定时期（本年度或项目期）内计划产出的产品或提供的服务数量。</w:t>
            </w:r>
          </w:p>
        </w:tc>
        <w:tc>
          <w:tcPr>
            <w:tcW w:w="155" w:type="pct"/>
            <w:shd w:val="clear" w:color="000000" w:fill="FFFFFF"/>
            <w:vAlign w:val="center"/>
          </w:tcPr>
          <w:p w14:paraId="519A110A">
            <w:pPr>
              <w:widowControl/>
              <w:spacing w:line="240" w:lineRule="atLeast"/>
              <w:jc w:val="center"/>
              <w:rPr>
                <w:b/>
                <w:bCs/>
                <w:color w:val="000000"/>
                <w:kern w:val="0"/>
                <w:sz w:val="22"/>
                <w:szCs w:val="22"/>
              </w:rPr>
            </w:pPr>
            <w:r>
              <w:rPr>
                <w:b/>
                <w:bCs/>
                <w:color w:val="000000"/>
                <w:kern w:val="0"/>
                <w:sz w:val="22"/>
                <w:szCs w:val="22"/>
              </w:rPr>
              <w:t>10</w:t>
            </w:r>
          </w:p>
        </w:tc>
        <w:tc>
          <w:tcPr>
            <w:tcW w:w="354" w:type="pct"/>
            <w:shd w:val="clear" w:color="000000" w:fill="FFFFFF"/>
            <w:vAlign w:val="center"/>
          </w:tcPr>
          <w:p w14:paraId="3FDA2EAD">
            <w:pPr>
              <w:widowControl/>
              <w:spacing w:line="240" w:lineRule="atLeast"/>
              <w:jc w:val="center"/>
              <w:rPr>
                <w:b/>
                <w:bCs/>
                <w:color w:val="000000"/>
                <w:kern w:val="0"/>
                <w:sz w:val="22"/>
                <w:szCs w:val="22"/>
              </w:rPr>
            </w:pPr>
            <w:r>
              <w:rPr>
                <w:b/>
                <w:bCs/>
                <w:color w:val="000000"/>
                <w:kern w:val="0"/>
                <w:sz w:val="22"/>
                <w:szCs w:val="22"/>
              </w:rPr>
              <w:t>10</w:t>
            </w:r>
          </w:p>
        </w:tc>
      </w:tr>
      <w:tr w14:paraId="3B08E5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298" w:type="pct"/>
            <w:vMerge w:val="continue"/>
            <w:shd w:val="clear" w:color="auto" w:fill="FFFFFF"/>
            <w:vAlign w:val="center"/>
          </w:tcPr>
          <w:p w14:paraId="56B3882B">
            <w:pPr>
              <w:widowControl/>
              <w:spacing w:line="240" w:lineRule="atLeast"/>
              <w:jc w:val="center"/>
              <w:rPr>
                <w:color w:val="000000"/>
                <w:kern w:val="0"/>
                <w:sz w:val="22"/>
                <w:szCs w:val="22"/>
              </w:rPr>
            </w:pPr>
          </w:p>
        </w:tc>
        <w:tc>
          <w:tcPr>
            <w:tcW w:w="287" w:type="pct"/>
            <w:shd w:val="clear" w:color="auto" w:fill="FFFFFF"/>
            <w:vAlign w:val="center"/>
          </w:tcPr>
          <w:p w14:paraId="60A4C072">
            <w:pPr>
              <w:widowControl/>
              <w:spacing w:line="240" w:lineRule="atLeast"/>
              <w:jc w:val="center"/>
              <w:rPr>
                <w:color w:val="000000"/>
                <w:kern w:val="0"/>
                <w:sz w:val="22"/>
                <w:szCs w:val="22"/>
              </w:rPr>
            </w:pPr>
            <w:r>
              <w:rPr>
                <w:rFonts w:hint="eastAsia"/>
                <w:color w:val="000000"/>
                <w:kern w:val="0"/>
                <w:sz w:val="22"/>
                <w:szCs w:val="22"/>
              </w:rPr>
              <w:t>产出质量</w:t>
            </w:r>
          </w:p>
        </w:tc>
        <w:tc>
          <w:tcPr>
            <w:tcW w:w="298" w:type="pct"/>
            <w:shd w:val="clear" w:color="auto" w:fill="FFFFFF"/>
            <w:vAlign w:val="center"/>
          </w:tcPr>
          <w:p w14:paraId="0E90B18A">
            <w:pPr>
              <w:widowControl/>
              <w:spacing w:line="240" w:lineRule="atLeast"/>
              <w:jc w:val="center"/>
              <w:rPr>
                <w:color w:val="000000"/>
                <w:kern w:val="0"/>
                <w:sz w:val="22"/>
                <w:szCs w:val="22"/>
              </w:rPr>
            </w:pPr>
            <w:r>
              <w:rPr>
                <w:rFonts w:hint="eastAsia"/>
                <w:color w:val="000000"/>
                <w:kern w:val="0"/>
                <w:sz w:val="22"/>
                <w:szCs w:val="22"/>
              </w:rPr>
              <w:t>质量达标率</w:t>
            </w:r>
          </w:p>
        </w:tc>
        <w:tc>
          <w:tcPr>
            <w:tcW w:w="897" w:type="pct"/>
            <w:shd w:val="clear" w:color="000000" w:fill="FFFFFF"/>
            <w:vAlign w:val="center"/>
          </w:tcPr>
          <w:p w14:paraId="0EC008B7">
            <w:pPr>
              <w:widowControl/>
              <w:spacing w:line="240" w:lineRule="atLeast"/>
              <w:rPr>
                <w:color w:val="000000"/>
                <w:kern w:val="0"/>
                <w:sz w:val="22"/>
                <w:szCs w:val="22"/>
              </w:rPr>
            </w:pPr>
            <w:r>
              <w:rPr>
                <w:rFonts w:hint="eastAsia"/>
                <w:color w:val="000000"/>
                <w:kern w:val="0"/>
                <w:sz w:val="22"/>
                <w:szCs w:val="22"/>
              </w:rPr>
              <w:t>项目完成的质量达标产出数与实际产出数的比率，用以反映和考核项目产出质量目标的实现程度。</w:t>
            </w:r>
          </w:p>
        </w:tc>
        <w:tc>
          <w:tcPr>
            <w:tcW w:w="2712" w:type="pct"/>
            <w:shd w:val="clear" w:color="000000" w:fill="FFFFFF"/>
            <w:vAlign w:val="center"/>
          </w:tcPr>
          <w:p w14:paraId="5E16118E">
            <w:pPr>
              <w:widowControl/>
              <w:spacing w:line="240" w:lineRule="atLeast"/>
              <w:rPr>
                <w:color w:val="000000"/>
                <w:kern w:val="0"/>
                <w:sz w:val="22"/>
                <w:szCs w:val="22"/>
              </w:rPr>
            </w:pPr>
            <w:r>
              <w:rPr>
                <w:rFonts w:hint="eastAsia"/>
                <w:color w:val="000000"/>
                <w:kern w:val="0"/>
                <w:sz w:val="22"/>
                <w:szCs w:val="22"/>
              </w:rPr>
              <w:t>质量达标率</w:t>
            </w:r>
            <w:r>
              <w:rPr>
                <w:color w:val="000000"/>
                <w:kern w:val="0"/>
                <w:sz w:val="22"/>
                <w:szCs w:val="22"/>
              </w:rPr>
              <w:t>=</w:t>
            </w:r>
            <w:r>
              <w:rPr>
                <w:rFonts w:hint="eastAsia"/>
                <w:color w:val="000000"/>
                <w:kern w:val="0"/>
                <w:sz w:val="22"/>
                <w:szCs w:val="22"/>
              </w:rPr>
              <w:t>（质量达标产出数</w:t>
            </w:r>
            <w:r>
              <w:rPr>
                <w:color w:val="000000"/>
                <w:kern w:val="0"/>
                <w:sz w:val="22"/>
                <w:szCs w:val="22"/>
              </w:rPr>
              <w:t>/</w:t>
            </w:r>
            <w:r>
              <w:rPr>
                <w:rFonts w:hint="eastAsia"/>
                <w:color w:val="000000"/>
                <w:kern w:val="0"/>
                <w:sz w:val="22"/>
                <w:szCs w:val="22"/>
              </w:rPr>
              <w:t>实际产出数）</w:t>
            </w:r>
            <w:r>
              <w:rPr>
                <w:color w:val="000000"/>
                <w:kern w:val="0"/>
                <w:sz w:val="22"/>
                <w:szCs w:val="22"/>
              </w:rPr>
              <w:t>×100%</w:t>
            </w:r>
            <w:r>
              <w:rPr>
                <w:rFonts w:hint="eastAsia"/>
                <w:color w:val="000000"/>
                <w:kern w:val="0"/>
                <w:sz w:val="22"/>
                <w:szCs w:val="22"/>
              </w:rPr>
              <w:t>。</w:t>
            </w:r>
          </w:p>
          <w:p w14:paraId="64D698AD">
            <w:pPr>
              <w:widowControl/>
              <w:spacing w:line="240" w:lineRule="atLeast"/>
              <w:rPr>
                <w:color w:val="000000"/>
                <w:kern w:val="0"/>
                <w:sz w:val="22"/>
                <w:szCs w:val="22"/>
              </w:rPr>
            </w:pPr>
            <w:r>
              <w:rPr>
                <w:rFonts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55" w:type="pct"/>
            <w:shd w:val="clear" w:color="000000" w:fill="FFFFFF"/>
            <w:vAlign w:val="center"/>
          </w:tcPr>
          <w:p w14:paraId="638FB68D">
            <w:pPr>
              <w:widowControl/>
              <w:spacing w:line="240" w:lineRule="atLeast"/>
              <w:jc w:val="center"/>
              <w:rPr>
                <w:b/>
                <w:bCs/>
                <w:color w:val="000000"/>
                <w:kern w:val="0"/>
                <w:sz w:val="22"/>
                <w:szCs w:val="22"/>
              </w:rPr>
            </w:pPr>
            <w:r>
              <w:rPr>
                <w:b/>
                <w:bCs/>
                <w:color w:val="000000"/>
                <w:kern w:val="0"/>
                <w:sz w:val="22"/>
                <w:szCs w:val="22"/>
              </w:rPr>
              <w:t>10</w:t>
            </w:r>
          </w:p>
        </w:tc>
        <w:tc>
          <w:tcPr>
            <w:tcW w:w="354" w:type="pct"/>
            <w:shd w:val="clear" w:color="000000" w:fill="FFFFFF"/>
            <w:vAlign w:val="center"/>
          </w:tcPr>
          <w:p w14:paraId="0AFF01B0">
            <w:pPr>
              <w:widowControl/>
              <w:spacing w:line="240" w:lineRule="atLeast"/>
              <w:jc w:val="center"/>
              <w:rPr>
                <w:b/>
                <w:bCs/>
                <w:color w:val="000000"/>
                <w:kern w:val="0"/>
                <w:sz w:val="22"/>
                <w:szCs w:val="22"/>
              </w:rPr>
            </w:pPr>
            <w:r>
              <w:rPr>
                <w:b/>
                <w:bCs/>
                <w:color w:val="000000"/>
                <w:kern w:val="0"/>
                <w:sz w:val="22"/>
                <w:szCs w:val="22"/>
              </w:rPr>
              <w:t>10</w:t>
            </w:r>
          </w:p>
        </w:tc>
      </w:tr>
      <w:tr w14:paraId="47EABF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298" w:type="pct"/>
            <w:vMerge w:val="continue"/>
            <w:shd w:val="clear" w:color="auto" w:fill="FFFFFF"/>
            <w:vAlign w:val="center"/>
          </w:tcPr>
          <w:p w14:paraId="21B51B8E">
            <w:pPr>
              <w:spacing w:line="240" w:lineRule="atLeast"/>
              <w:jc w:val="center"/>
              <w:rPr>
                <w:color w:val="000000"/>
                <w:kern w:val="0"/>
                <w:sz w:val="22"/>
                <w:szCs w:val="22"/>
              </w:rPr>
            </w:pPr>
          </w:p>
        </w:tc>
        <w:tc>
          <w:tcPr>
            <w:tcW w:w="287" w:type="pct"/>
            <w:shd w:val="clear" w:color="auto" w:fill="FFFFFF"/>
            <w:vAlign w:val="center"/>
          </w:tcPr>
          <w:p w14:paraId="4807EBC4">
            <w:pPr>
              <w:spacing w:line="240" w:lineRule="atLeast"/>
              <w:jc w:val="center"/>
              <w:rPr>
                <w:color w:val="000000"/>
                <w:kern w:val="0"/>
                <w:sz w:val="22"/>
                <w:szCs w:val="22"/>
              </w:rPr>
            </w:pPr>
            <w:r>
              <w:rPr>
                <w:rFonts w:hint="eastAsia"/>
                <w:color w:val="000000"/>
                <w:kern w:val="0"/>
                <w:sz w:val="22"/>
                <w:szCs w:val="22"/>
              </w:rPr>
              <w:t>产出时效</w:t>
            </w:r>
          </w:p>
        </w:tc>
        <w:tc>
          <w:tcPr>
            <w:tcW w:w="298" w:type="pct"/>
            <w:shd w:val="clear" w:color="auto" w:fill="FFFFFF"/>
            <w:vAlign w:val="center"/>
          </w:tcPr>
          <w:p w14:paraId="674D289B">
            <w:pPr>
              <w:widowControl/>
              <w:spacing w:line="240" w:lineRule="atLeast"/>
              <w:jc w:val="center"/>
              <w:rPr>
                <w:color w:val="000000"/>
                <w:kern w:val="0"/>
                <w:sz w:val="22"/>
                <w:szCs w:val="22"/>
              </w:rPr>
            </w:pPr>
            <w:r>
              <w:rPr>
                <w:rFonts w:hint="eastAsia"/>
                <w:color w:val="000000"/>
                <w:kern w:val="0"/>
                <w:sz w:val="22"/>
                <w:szCs w:val="22"/>
              </w:rPr>
              <w:t>完成及时性</w:t>
            </w:r>
          </w:p>
        </w:tc>
        <w:tc>
          <w:tcPr>
            <w:tcW w:w="897" w:type="pct"/>
            <w:shd w:val="clear" w:color="000000" w:fill="FFFFFF"/>
            <w:vAlign w:val="center"/>
          </w:tcPr>
          <w:p w14:paraId="472D8127">
            <w:pPr>
              <w:widowControl/>
              <w:spacing w:line="240" w:lineRule="atLeast"/>
              <w:rPr>
                <w:color w:val="000000"/>
                <w:kern w:val="0"/>
                <w:sz w:val="22"/>
                <w:szCs w:val="22"/>
              </w:rPr>
            </w:pPr>
            <w:r>
              <w:rPr>
                <w:rFonts w:hint="eastAsia"/>
                <w:color w:val="000000"/>
                <w:kern w:val="0"/>
                <w:sz w:val="22"/>
                <w:szCs w:val="22"/>
              </w:rPr>
              <w:t>项目实际完成时间与计划完成时间的比较，用以反映和考核项目产出时效目标的实现程度。</w:t>
            </w:r>
          </w:p>
        </w:tc>
        <w:tc>
          <w:tcPr>
            <w:tcW w:w="2712" w:type="pct"/>
            <w:shd w:val="clear" w:color="000000" w:fill="FFFFFF"/>
            <w:vAlign w:val="center"/>
          </w:tcPr>
          <w:p w14:paraId="759314FA">
            <w:pPr>
              <w:widowControl/>
              <w:spacing w:line="240" w:lineRule="atLeast"/>
              <w:rPr>
                <w:color w:val="000000"/>
                <w:kern w:val="0"/>
                <w:sz w:val="22"/>
                <w:szCs w:val="22"/>
              </w:rPr>
            </w:pPr>
            <w:r>
              <w:rPr>
                <w:rFonts w:hint="eastAsia"/>
                <w:color w:val="000000"/>
                <w:kern w:val="0"/>
                <w:sz w:val="22"/>
                <w:szCs w:val="22"/>
              </w:rPr>
              <w:t>实际完成时间：项目实施单位完成该项目实际所耗用的时间。</w:t>
            </w:r>
            <w:r>
              <w:rPr>
                <w:color w:val="000000"/>
                <w:kern w:val="0"/>
                <w:sz w:val="22"/>
                <w:szCs w:val="22"/>
              </w:rPr>
              <w:br w:type="textWrapping"/>
            </w:r>
            <w:r>
              <w:rPr>
                <w:rFonts w:hint="eastAsia"/>
                <w:color w:val="000000"/>
                <w:kern w:val="0"/>
                <w:sz w:val="22"/>
                <w:szCs w:val="22"/>
              </w:rPr>
              <w:t>计划完成时间：按照项目实施计划或相关规定完成该项目所需的时间。</w:t>
            </w:r>
          </w:p>
        </w:tc>
        <w:tc>
          <w:tcPr>
            <w:tcW w:w="155" w:type="pct"/>
            <w:shd w:val="clear" w:color="000000" w:fill="FFFFFF"/>
            <w:vAlign w:val="center"/>
          </w:tcPr>
          <w:p w14:paraId="416BF48A">
            <w:pPr>
              <w:widowControl/>
              <w:spacing w:line="240" w:lineRule="atLeast"/>
              <w:jc w:val="center"/>
              <w:rPr>
                <w:b/>
                <w:bCs/>
                <w:color w:val="000000"/>
                <w:kern w:val="0"/>
                <w:sz w:val="22"/>
                <w:szCs w:val="22"/>
              </w:rPr>
            </w:pPr>
            <w:r>
              <w:rPr>
                <w:b/>
                <w:bCs/>
                <w:color w:val="000000"/>
                <w:kern w:val="0"/>
                <w:sz w:val="22"/>
                <w:szCs w:val="22"/>
              </w:rPr>
              <w:t>10</w:t>
            </w:r>
          </w:p>
        </w:tc>
        <w:tc>
          <w:tcPr>
            <w:tcW w:w="354" w:type="pct"/>
            <w:shd w:val="clear" w:color="000000" w:fill="FFFFFF"/>
            <w:vAlign w:val="center"/>
          </w:tcPr>
          <w:p w14:paraId="31C956F4">
            <w:pPr>
              <w:widowControl/>
              <w:spacing w:line="240" w:lineRule="atLeast"/>
              <w:jc w:val="center"/>
              <w:rPr>
                <w:b/>
                <w:bCs/>
                <w:color w:val="000000"/>
                <w:kern w:val="0"/>
                <w:sz w:val="22"/>
                <w:szCs w:val="22"/>
              </w:rPr>
            </w:pPr>
            <w:r>
              <w:rPr>
                <w:b/>
                <w:bCs/>
                <w:color w:val="000000"/>
                <w:kern w:val="0"/>
                <w:sz w:val="22"/>
                <w:szCs w:val="22"/>
              </w:rPr>
              <w:t>10</w:t>
            </w:r>
          </w:p>
        </w:tc>
      </w:tr>
      <w:tr w14:paraId="74775A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298" w:type="pct"/>
            <w:vMerge w:val="continue"/>
            <w:shd w:val="clear" w:color="auto" w:fill="FFFFFF"/>
            <w:vAlign w:val="center"/>
          </w:tcPr>
          <w:p w14:paraId="13ED963D">
            <w:pPr>
              <w:widowControl/>
              <w:spacing w:line="240" w:lineRule="atLeast"/>
              <w:jc w:val="center"/>
              <w:rPr>
                <w:color w:val="000000"/>
                <w:kern w:val="0"/>
                <w:sz w:val="22"/>
                <w:szCs w:val="22"/>
              </w:rPr>
            </w:pPr>
          </w:p>
        </w:tc>
        <w:tc>
          <w:tcPr>
            <w:tcW w:w="287" w:type="pct"/>
            <w:shd w:val="clear" w:color="auto" w:fill="FFFFFF"/>
            <w:vAlign w:val="center"/>
          </w:tcPr>
          <w:p w14:paraId="7E723F5E">
            <w:pPr>
              <w:widowControl/>
              <w:spacing w:line="240" w:lineRule="atLeast"/>
              <w:jc w:val="center"/>
              <w:rPr>
                <w:color w:val="000000"/>
                <w:kern w:val="0"/>
                <w:sz w:val="22"/>
                <w:szCs w:val="22"/>
              </w:rPr>
            </w:pPr>
            <w:r>
              <w:rPr>
                <w:rFonts w:hint="eastAsia"/>
                <w:color w:val="000000"/>
                <w:kern w:val="0"/>
                <w:sz w:val="22"/>
                <w:szCs w:val="22"/>
              </w:rPr>
              <w:t>产出成本</w:t>
            </w:r>
          </w:p>
        </w:tc>
        <w:tc>
          <w:tcPr>
            <w:tcW w:w="298" w:type="pct"/>
            <w:shd w:val="clear" w:color="auto" w:fill="FFFFFF"/>
            <w:vAlign w:val="center"/>
          </w:tcPr>
          <w:p w14:paraId="02073431">
            <w:pPr>
              <w:widowControl/>
              <w:spacing w:line="240" w:lineRule="atLeast"/>
              <w:jc w:val="center"/>
              <w:rPr>
                <w:color w:val="000000"/>
                <w:kern w:val="0"/>
                <w:sz w:val="22"/>
                <w:szCs w:val="22"/>
              </w:rPr>
            </w:pPr>
            <w:r>
              <w:rPr>
                <w:rFonts w:hint="eastAsia"/>
                <w:color w:val="000000"/>
                <w:kern w:val="0"/>
                <w:sz w:val="22"/>
                <w:szCs w:val="22"/>
              </w:rPr>
              <w:t>成本节约率</w:t>
            </w:r>
          </w:p>
        </w:tc>
        <w:tc>
          <w:tcPr>
            <w:tcW w:w="897" w:type="pct"/>
            <w:shd w:val="clear" w:color="000000" w:fill="FFFFFF"/>
            <w:vAlign w:val="center"/>
          </w:tcPr>
          <w:p w14:paraId="60232B1E">
            <w:pPr>
              <w:widowControl/>
              <w:spacing w:line="240" w:lineRule="atLeast"/>
              <w:rPr>
                <w:color w:val="000000"/>
                <w:kern w:val="0"/>
                <w:sz w:val="22"/>
                <w:szCs w:val="22"/>
              </w:rPr>
            </w:pPr>
            <w:r>
              <w:rPr>
                <w:rFonts w:hint="eastAsia"/>
                <w:color w:val="000000"/>
                <w:kern w:val="0"/>
                <w:sz w:val="22"/>
                <w:szCs w:val="22"/>
              </w:rPr>
              <w:t>完成项目计划工作目标的实际节约成本与计划成本的比率，用以反映和考核项目的成本节约程度。</w:t>
            </w:r>
          </w:p>
        </w:tc>
        <w:tc>
          <w:tcPr>
            <w:tcW w:w="2712" w:type="pct"/>
            <w:shd w:val="clear" w:color="000000" w:fill="FFFFFF"/>
            <w:vAlign w:val="center"/>
          </w:tcPr>
          <w:p w14:paraId="1B735E0D">
            <w:pPr>
              <w:widowControl/>
              <w:spacing w:line="240" w:lineRule="atLeast"/>
              <w:rPr>
                <w:color w:val="000000"/>
                <w:kern w:val="0"/>
                <w:sz w:val="22"/>
                <w:szCs w:val="22"/>
              </w:rPr>
            </w:pPr>
            <w:r>
              <w:rPr>
                <w:color w:val="000000"/>
                <w:kern w:val="0"/>
                <w:sz w:val="22"/>
                <w:szCs w:val="22"/>
              </w:rPr>
              <w:br w:type="textWrapping"/>
            </w:r>
            <w:r>
              <w:rPr>
                <w:rFonts w:hint="eastAsia"/>
                <w:color w:val="000000"/>
                <w:kern w:val="0"/>
                <w:sz w:val="22"/>
                <w:szCs w:val="22"/>
              </w:rPr>
              <w:t>成本节约率</w:t>
            </w:r>
            <w:r>
              <w:rPr>
                <w:color w:val="000000"/>
                <w:kern w:val="0"/>
                <w:sz w:val="22"/>
                <w:szCs w:val="22"/>
              </w:rPr>
              <w:t>=[</w:t>
            </w:r>
            <w:r>
              <w:rPr>
                <w:rFonts w:hint="eastAsia"/>
                <w:color w:val="000000"/>
                <w:kern w:val="0"/>
                <w:sz w:val="22"/>
                <w:szCs w:val="22"/>
              </w:rPr>
              <w:t>（计划成本</w:t>
            </w:r>
            <w:r>
              <w:rPr>
                <w:color w:val="000000"/>
                <w:kern w:val="0"/>
                <w:sz w:val="22"/>
                <w:szCs w:val="22"/>
              </w:rPr>
              <w:t>-</w:t>
            </w:r>
            <w:r>
              <w:rPr>
                <w:rFonts w:hint="eastAsia"/>
                <w:color w:val="000000"/>
                <w:kern w:val="0"/>
                <w:sz w:val="22"/>
                <w:szCs w:val="22"/>
              </w:rPr>
              <w:t>实际成本）</w:t>
            </w:r>
            <w:r>
              <w:rPr>
                <w:color w:val="000000"/>
                <w:kern w:val="0"/>
                <w:sz w:val="22"/>
                <w:szCs w:val="22"/>
              </w:rPr>
              <w:t>/</w:t>
            </w:r>
            <w:r>
              <w:rPr>
                <w:rFonts w:hint="eastAsia"/>
                <w:color w:val="000000"/>
                <w:kern w:val="0"/>
                <w:sz w:val="22"/>
                <w:szCs w:val="22"/>
              </w:rPr>
              <w:t>计划成本</w:t>
            </w:r>
            <w:r>
              <w:rPr>
                <w:color w:val="000000"/>
                <w:kern w:val="0"/>
                <w:sz w:val="22"/>
                <w:szCs w:val="22"/>
              </w:rPr>
              <w:t>]×100%</w:t>
            </w:r>
            <w:r>
              <w:rPr>
                <w:rFonts w:hint="eastAsia"/>
                <w:color w:val="000000"/>
                <w:kern w:val="0"/>
                <w:sz w:val="22"/>
                <w:szCs w:val="22"/>
              </w:rPr>
              <w:t>。</w:t>
            </w:r>
            <w:r>
              <w:rPr>
                <w:color w:val="000000"/>
                <w:kern w:val="0"/>
                <w:sz w:val="22"/>
                <w:szCs w:val="22"/>
              </w:rPr>
              <w:br w:type="textWrapping"/>
            </w:r>
            <w:r>
              <w:rPr>
                <w:rFonts w:hint="eastAsia"/>
                <w:color w:val="000000"/>
                <w:kern w:val="0"/>
                <w:sz w:val="22"/>
                <w:szCs w:val="22"/>
              </w:rPr>
              <w:t>实际成本：项目实施单位如期、保质、保量完成既定工作目标实际所耗费的支出。</w:t>
            </w:r>
            <w:r>
              <w:rPr>
                <w:color w:val="000000"/>
                <w:kern w:val="0"/>
                <w:sz w:val="22"/>
                <w:szCs w:val="22"/>
              </w:rPr>
              <w:br w:type="textWrapping"/>
            </w:r>
            <w:r>
              <w:rPr>
                <w:rFonts w:hint="eastAsia"/>
                <w:color w:val="000000"/>
                <w:kern w:val="0"/>
                <w:sz w:val="22"/>
                <w:szCs w:val="22"/>
              </w:rPr>
              <w:t>计划成本：项目实施单位为完成工作目标计划安排的支出，一般以项目预算为参考。</w:t>
            </w:r>
          </w:p>
        </w:tc>
        <w:tc>
          <w:tcPr>
            <w:tcW w:w="155" w:type="pct"/>
            <w:shd w:val="clear" w:color="000000" w:fill="FFFFFF"/>
            <w:vAlign w:val="center"/>
          </w:tcPr>
          <w:p w14:paraId="5A055776">
            <w:pPr>
              <w:widowControl/>
              <w:spacing w:line="240" w:lineRule="atLeast"/>
              <w:jc w:val="center"/>
              <w:rPr>
                <w:b/>
                <w:bCs/>
                <w:color w:val="000000"/>
                <w:kern w:val="0"/>
                <w:sz w:val="22"/>
                <w:szCs w:val="22"/>
              </w:rPr>
            </w:pPr>
            <w:r>
              <w:rPr>
                <w:b/>
                <w:bCs/>
                <w:color w:val="000000"/>
                <w:kern w:val="0"/>
                <w:sz w:val="22"/>
                <w:szCs w:val="22"/>
              </w:rPr>
              <w:t>10</w:t>
            </w:r>
          </w:p>
        </w:tc>
        <w:tc>
          <w:tcPr>
            <w:tcW w:w="354" w:type="pct"/>
            <w:shd w:val="clear" w:color="000000" w:fill="FFFFFF"/>
            <w:vAlign w:val="center"/>
          </w:tcPr>
          <w:p w14:paraId="77998F5A">
            <w:pPr>
              <w:widowControl/>
              <w:spacing w:line="240" w:lineRule="atLeast"/>
              <w:jc w:val="center"/>
              <w:rPr>
                <w:b/>
                <w:bCs/>
                <w:color w:val="000000"/>
                <w:kern w:val="0"/>
                <w:sz w:val="22"/>
                <w:szCs w:val="22"/>
              </w:rPr>
            </w:pPr>
            <w:r>
              <w:rPr>
                <w:b/>
                <w:bCs/>
                <w:color w:val="000000"/>
                <w:kern w:val="0"/>
                <w:sz w:val="22"/>
                <w:szCs w:val="22"/>
              </w:rPr>
              <w:t>10</w:t>
            </w:r>
          </w:p>
        </w:tc>
      </w:tr>
      <w:tr w14:paraId="6DE4EB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298" w:type="pct"/>
            <w:vMerge w:val="restart"/>
            <w:shd w:val="clear" w:color="auto" w:fill="FFFFFF"/>
            <w:vAlign w:val="center"/>
          </w:tcPr>
          <w:p w14:paraId="5B5E3C5C">
            <w:pPr>
              <w:widowControl/>
              <w:spacing w:line="240" w:lineRule="atLeast"/>
              <w:jc w:val="center"/>
              <w:rPr>
                <w:color w:val="000000"/>
                <w:kern w:val="0"/>
                <w:sz w:val="22"/>
                <w:szCs w:val="22"/>
              </w:rPr>
            </w:pPr>
            <w:r>
              <w:rPr>
                <w:rFonts w:hint="eastAsia"/>
                <w:color w:val="000000"/>
                <w:kern w:val="0"/>
                <w:sz w:val="22"/>
                <w:szCs w:val="22"/>
              </w:rPr>
              <w:t>效益　</w:t>
            </w:r>
          </w:p>
        </w:tc>
        <w:tc>
          <w:tcPr>
            <w:tcW w:w="287" w:type="pct"/>
            <w:vMerge w:val="restart"/>
            <w:shd w:val="clear" w:color="auto" w:fill="FFFFFF"/>
            <w:vAlign w:val="center"/>
          </w:tcPr>
          <w:p w14:paraId="24AE6CDC">
            <w:pPr>
              <w:widowControl/>
              <w:spacing w:line="240" w:lineRule="atLeast"/>
              <w:jc w:val="center"/>
              <w:rPr>
                <w:color w:val="000000"/>
                <w:kern w:val="0"/>
                <w:sz w:val="22"/>
                <w:szCs w:val="22"/>
              </w:rPr>
            </w:pPr>
            <w:r>
              <w:rPr>
                <w:rFonts w:hint="eastAsia"/>
                <w:color w:val="000000"/>
                <w:kern w:val="0"/>
                <w:sz w:val="22"/>
                <w:szCs w:val="22"/>
              </w:rPr>
              <w:t>项目效益　</w:t>
            </w:r>
          </w:p>
        </w:tc>
        <w:tc>
          <w:tcPr>
            <w:tcW w:w="298" w:type="pct"/>
            <w:shd w:val="clear" w:color="auto" w:fill="FFFFFF"/>
            <w:vAlign w:val="center"/>
          </w:tcPr>
          <w:p w14:paraId="045966D7">
            <w:pPr>
              <w:widowControl/>
              <w:spacing w:line="240" w:lineRule="atLeast"/>
              <w:jc w:val="center"/>
              <w:rPr>
                <w:color w:val="000000"/>
                <w:kern w:val="0"/>
                <w:sz w:val="22"/>
                <w:szCs w:val="22"/>
              </w:rPr>
            </w:pPr>
            <w:r>
              <w:rPr>
                <w:rFonts w:hint="eastAsia"/>
                <w:color w:val="000000"/>
                <w:kern w:val="0"/>
                <w:sz w:val="22"/>
                <w:szCs w:val="22"/>
              </w:rPr>
              <w:t>实施效益</w:t>
            </w:r>
          </w:p>
        </w:tc>
        <w:tc>
          <w:tcPr>
            <w:tcW w:w="897" w:type="pct"/>
            <w:shd w:val="clear" w:color="auto" w:fill="FFFFFF"/>
            <w:vAlign w:val="center"/>
          </w:tcPr>
          <w:p w14:paraId="076CD8B0">
            <w:pPr>
              <w:widowControl/>
              <w:spacing w:line="240" w:lineRule="atLeast"/>
              <w:jc w:val="left"/>
              <w:rPr>
                <w:color w:val="000000"/>
                <w:kern w:val="0"/>
                <w:sz w:val="22"/>
                <w:szCs w:val="22"/>
              </w:rPr>
            </w:pPr>
            <w:r>
              <w:rPr>
                <w:rFonts w:hint="eastAsia"/>
                <w:color w:val="000000"/>
                <w:kern w:val="0"/>
                <w:sz w:val="22"/>
                <w:szCs w:val="22"/>
              </w:rPr>
              <w:t>项目实施所产生的效益。</w:t>
            </w:r>
          </w:p>
        </w:tc>
        <w:tc>
          <w:tcPr>
            <w:tcW w:w="2712" w:type="pct"/>
            <w:shd w:val="clear" w:color="auto" w:fill="FFFFFF"/>
            <w:vAlign w:val="center"/>
          </w:tcPr>
          <w:p w14:paraId="152F2123">
            <w:pPr>
              <w:widowControl/>
              <w:spacing w:line="240" w:lineRule="atLeast"/>
              <w:rPr>
                <w:color w:val="000000"/>
                <w:kern w:val="0"/>
                <w:sz w:val="22"/>
                <w:szCs w:val="22"/>
              </w:rPr>
            </w:pPr>
            <w:r>
              <w:rPr>
                <w:rFonts w:hint="eastAsia"/>
                <w:color w:val="000000"/>
                <w:kern w:val="0"/>
                <w:sz w:val="22"/>
                <w:szCs w:val="22"/>
              </w:rPr>
              <w:t>项目实施所产生的社会效益、经济效益、生态效益、可持续影响等。可根据项目实际情况有选择地设置和细化。</w:t>
            </w:r>
          </w:p>
        </w:tc>
        <w:tc>
          <w:tcPr>
            <w:tcW w:w="155" w:type="pct"/>
            <w:shd w:val="clear" w:color="auto" w:fill="FFFFFF"/>
            <w:vAlign w:val="center"/>
          </w:tcPr>
          <w:p w14:paraId="0D5A84EC">
            <w:pPr>
              <w:widowControl/>
              <w:spacing w:line="240" w:lineRule="atLeast"/>
              <w:jc w:val="center"/>
              <w:rPr>
                <w:b/>
                <w:bCs/>
                <w:color w:val="000000"/>
                <w:kern w:val="0"/>
                <w:sz w:val="22"/>
                <w:szCs w:val="22"/>
              </w:rPr>
            </w:pPr>
            <w:r>
              <w:rPr>
                <w:b/>
                <w:bCs/>
                <w:color w:val="000000"/>
                <w:kern w:val="0"/>
                <w:sz w:val="22"/>
                <w:szCs w:val="22"/>
              </w:rPr>
              <w:t>10</w:t>
            </w:r>
          </w:p>
        </w:tc>
        <w:tc>
          <w:tcPr>
            <w:tcW w:w="354" w:type="pct"/>
            <w:shd w:val="clear" w:color="auto" w:fill="FFFFFF"/>
            <w:vAlign w:val="center"/>
          </w:tcPr>
          <w:p w14:paraId="4C835F41">
            <w:pPr>
              <w:widowControl/>
              <w:spacing w:line="240" w:lineRule="atLeast"/>
              <w:jc w:val="center"/>
              <w:rPr>
                <w:b/>
                <w:bCs/>
                <w:color w:val="000000"/>
                <w:kern w:val="0"/>
                <w:sz w:val="22"/>
                <w:szCs w:val="22"/>
              </w:rPr>
            </w:pPr>
            <w:r>
              <w:rPr>
                <w:b/>
                <w:bCs/>
                <w:color w:val="000000"/>
                <w:kern w:val="0"/>
                <w:sz w:val="22"/>
                <w:szCs w:val="22"/>
              </w:rPr>
              <w:t>10</w:t>
            </w:r>
          </w:p>
        </w:tc>
      </w:tr>
      <w:tr w14:paraId="4887D9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298" w:type="pct"/>
            <w:vMerge w:val="continue"/>
            <w:shd w:val="clear" w:color="auto" w:fill="FFFFFF"/>
            <w:vAlign w:val="center"/>
          </w:tcPr>
          <w:p w14:paraId="2D1C3E1D">
            <w:pPr>
              <w:widowControl/>
              <w:spacing w:line="240" w:lineRule="atLeast"/>
              <w:jc w:val="center"/>
              <w:rPr>
                <w:color w:val="000000"/>
                <w:kern w:val="0"/>
                <w:sz w:val="22"/>
                <w:szCs w:val="22"/>
              </w:rPr>
            </w:pPr>
          </w:p>
        </w:tc>
        <w:tc>
          <w:tcPr>
            <w:tcW w:w="287" w:type="pct"/>
            <w:vMerge w:val="continue"/>
            <w:shd w:val="clear" w:color="auto" w:fill="FFFFFF"/>
            <w:vAlign w:val="center"/>
          </w:tcPr>
          <w:p w14:paraId="46F8AB03">
            <w:pPr>
              <w:widowControl/>
              <w:spacing w:line="240" w:lineRule="atLeast"/>
              <w:jc w:val="center"/>
              <w:rPr>
                <w:color w:val="000000"/>
                <w:kern w:val="0"/>
                <w:sz w:val="22"/>
                <w:szCs w:val="22"/>
              </w:rPr>
            </w:pPr>
          </w:p>
        </w:tc>
        <w:tc>
          <w:tcPr>
            <w:tcW w:w="298" w:type="pct"/>
            <w:shd w:val="clear" w:color="auto" w:fill="FFFFFF"/>
            <w:vAlign w:val="center"/>
          </w:tcPr>
          <w:p w14:paraId="76589F37">
            <w:pPr>
              <w:widowControl/>
              <w:spacing w:line="240" w:lineRule="atLeast"/>
              <w:jc w:val="center"/>
              <w:rPr>
                <w:color w:val="000000"/>
                <w:kern w:val="0"/>
                <w:sz w:val="22"/>
                <w:szCs w:val="22"/>
              </w:rPr>
            </w:pPr>
            <w:r>
              <w:rPr>
                <w:rFonts w:hint="eastAsia"/>
                <w:color w:val="000000"/>
                <w:kern w:val="0"/>
                <w:sz w:val="22"/>
                <w:szCs w:val="22"/>
              </w:rPr>
              <w:t>满意度</w:t>
            </w:r>
          </w:p>
        </w:tc>
        <w:tc>
          <w:tcPr>
            <w:tcW w:w="897" w:type="pct"/>
            <w:shd w:val="clear" w:color="000000" w:fill="FFFFFF"/>
            <w:vAlign w:val="center"/>
          </w:tcPr>
          <w:p w14:paraId="70FB0060">
            <w:pPr>
              <w:widowControl/>
              <w:spacing w:line="240" w:lineRule="atLeast"/>
              <w:rPr>
                <w:color w:val="000000"/>
                <w:kern w:val="0"/>
                <w:sz w:val="22"/>
                <w:szCs w:val="22"/>
              </w:rPr>
            </w:pPr>
            <w:r>
              <w:rPr>
                <w:rFonts w:hint="eastAsia"/>
                <w:color w:val="000000"/>
                <w:kern w:val="0"/>
                <w:sz w:val="22"/>
                <w:szCs w:val="22"/>
              </w:rPr>
              <w:t>社会公众或服务对象对项目实施效果的满意程度。</w:t>
            </w:r>
          </w:p>
        </w:tc>
        <w:tc>
          <w:tcPr>
            <w:tcW w:w="2712" w:type="pct"/>
            <w:shd w:val="clear" w:color="000000" w:fill="FFFFFF"/>
            <w:vAlign w:val="center"/>
          </w:tcPr>
          <w:p w14:paraId="6F9F291A">
            <w:pPr>
              <w:widowControl/>
              <w:spacing w:line="240" w:lineRule="atLeast"/>
              <w:rPr>
                <w:color w:val="000000"/>
                <w:kern w:val="0"/>
                <w:sz w:val="22"/>
                <w:szCs w:val="22"/>
              </w:rPr>
            </w:pPr>
            <w:r>
              <w:rPr>
                <w:rFonts w:hint="eastAsia"/>
                <w:color w:val="000000"/>
                <w:kern w:val="0"/>
                <w:sz w:val="22"/>
                <w:szCs w:val="22"/>
              </w:rPr>
              <w:t>社会公众或服务对象是指因该项目实施而受到影响的部门（单位）、群体或个人。一般采取社会调查的方式。</w:t>
            </w:r>
          </w:p>
        </w:tc>
        <w:tc>
          <w:tcPr>
            <w:tcW w:w="155" w:type="pct"/>
            <w:shd w:val="clear" w:color="000000" w:fill="FFFFFF"/>
            <w:vAlign w:val="center"/>
          </w:tcPr>
          <w:p w14:paraId="37C06F7E">
            <w:pPr>
              <w:widowControl/>
              <w:spacing w:line="240" w:lineRule="atLeast"/>
              <w:jc w:val="center"/>
              <w:rPr>
                <w:b/>
                <w:bCs/>
                <w:color w:val="000000"/>
                <w:kern w:val="0"/>
                <w:sz w:val="22"/>
                <w:szCs w:val="22"/>
              </w:rPr>
            </w:pPr>
            <w:r>
              <w:rPr>
                <w:b/>
                <w:bCs/>
                <w:color w:val="000000"/>
                <w:kern w:val="0"/>
                <w:sz w:val="22"/>
                <w:szCs w:val="22"/>
              </w:rPr>
              <w:t>10</w:t>
            </w:r>
          </w:p>
        </w:tc>
        <w:tc>
          <w:tcPr>
            <w:tcW w:w="354" w:type="pct"/>
            <w:shd w:val="clear" w:color="000000" w:fill="FFFFFF"/>
            <w:vAlign w:val="center"/>
          </w:tcPr>
          <w:p w14:paraId="0FE17A99">
            <w:pPr>
              <w:widowControl/>
              <w:spacing w:line="240" w:lineRule="atLeast"/>
              <w:jc w:val="center"/>
              <w:rPr>
                <w:b/>
                <w:bCs/>
                <w:color w:val="000000"/>
                <w:kern w:val="0"/>
                <w:sz w:val="22"/>
                <w:szCs w:val="22"/>
              </w:rPr>
            </w:pPr>
            <w:r>
              <w:rPr>
                <w:b/>
                <w:bCs/>
                <w:color w:val="000000"/>
                <w:kern w:val="0"/>
                <w:sz w:val="22"/>
                <w:szCs w:val="22"/>
              </w:rPr>
              <w:t>10</w:t>
            </w:r>
          </w:p>
        </w:tc>
      </w:tr>
    </w:tbl>
    <w:p w14:paraId="49FA70C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微软雅黑"/>
    <w:panose1 w:val="00000000000000000000"/>
    <w:charset w:val="86"/>
    <w:family w:val="auto"/>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CC23CF">
    <w:pPr>
      <w:pStyle w:val="8"/>
      <w:jc w:val="center"/>
    </w:pPr>
    <w:r>
      <w:fldChar w:fldCharType="begin"/>
    </w:r>
    <w:r>
      <w:instrText xml:space="preserve">PAGE   \* MERGEFORMAT</w:instrText>
    </w:r>
    <w:r>
      <w:fldChar w:fldCharType="separate"/>
    </w:r>
    <w:r>
      <w:rPr>
        <w:lang w:val="zh-CN"/>
      </w:rPr>
      <w:t>21</w:t>
    </w:r>
    <w:r>
      <w:rPr>
        <w:lang w:val="zh-CN"/>
      </w:rPr>
      <w:fldChar w:fldCharType="end"/>
    </w:r>
  </w:p>
  <w:p w14:paraId="45E6B2D7">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F60FE1"/>
    <w:multiLevelType w:val="singleLevel"/>
    <w:tmpl w:val="DEF60FE1"/>
    <w:lvl w:ilvl="0" w:tentative="0">
      <w:start w:val="1"/>
      <w:numFmt w:val="decimal"/>
      <w:suff w:val="nothing"/>
      <w:lvlText w:val="（%1）"/>
      <w:lvlJc w:val="left"/>
      <w:rPr>
        <w:rFonts w:cs="Times New Roman"/>
      </w:rPr>
    </w:lvl>
  </w:abstractNum>
  <w:abstractNum w:abstractNumId="1">
    <w:nsid w:val="E83853AE"/>
    <w:multiLevelType w:val="singleLevel"/>
    <w:tmpl w:val="E83853AE"/>
    <w:lvl w:ilvl="0" w:tentative="0">
      <w:start w:val="2"/>
      <w:numFmt w:val="decimal"/>
      <w:suff w:val="nothing"/>
      <w:lvlText w:val="%1、"/>
      <w:lvlJc w:val="left"/>
      <w:rPr>
        <w:rFonts w:cs="Times New Roman"/>
      </w:rPr>
    </w:lvl>
  </w:abstractNum>
  <w:abstractNum w:abstractNumId="2">
    <w:nsid w:val="FF9379A8"/>
    <w:multiLevelType w:val="singleLevel"/>
    <w:tmpl w:val="FF9379A8"/>
    <w:lvl w:ilvl="0" w:tentative="0">
      <w:start w:val="2"/>
      <w:numFmt w:val="chineseCounting"/>
      <w:suff w:val="nothing"/>
      <w:lvlText w:val="（%1）"/>
      <w:lvlJc w:val="left"/>
      <w:rPr>
        <w:rFonts w:hint="eastAsia" w:cs="Times New Roman"/>
      </w:rPr>
    </w:lvl>
  </w:abstractNum>
  <w:abstractNum w:abstractNumId="3">
    <w:nsid w:val="116B29BF"/>
    <w:multiLevelType w:val="singleLevel"/>
    <w:tmpl w:val="116B29BF"/>
    <w:lvl w:ilvl="0" w:tentative="0">
      <w:start w:val="3"/>
      <w:numFmt w:val="chineseCounting"/>
      <w:suff w:val="nothing"/>
      <w:lvlText w:val="%1、"/>
      <w:lvlJc w:val="left"/>
      <w:rPr>
        <w:rFonts w:hint="eastAsia" w:cs="Times New Roman"/>
      </w:rPr>
    </w:lvl>
  </w:abstractNum>
  <w:abstractNum w:abstractNumId="4">
    <w:nsid w:val="27813159"/>
    <w:multiLevelType w:val="singleLevel"/>
    <w:tmpl w:val="27813159"/>
    <w:lvl w:ilvl="0" w:tentative="0">
      <w:start w:val="3"/>
      <w:numFmt w:val="chineseCounting"/>
      <w:suff w:val="nothing"/>
      <w:lvlText w:val="（%1）"/>
      <w:lvlJc w:val="left"/>
      <w:rPr>
        <w:rFonts w:hint="eastAsia" w:cs="Times New Roman"/>
      </w:rPr>
    </w:lvl>
  </w:abstractNum>
  <w:abstractNum w:abstractNumId="5">
    <w:nsid w:val="6FAA0AB1"/>
    <w:multiLevelType w:val="singleLevel"/>
    <w:tmpl w:val="6FAA0AB1"/>
    <w:lvl w:ilvl="0" w:tentative="0">
      <w:start w:val="2"/>
      <w:numFmt w:val="chineseCounting"/>
      <w:suff w:val="nothing"/>
      <w:lvlText w:val="（%1）"/>
      <w:lvlJc w:val="left"/>
      <w:rPr>
        <w:rFonts w:hint="eastAsia" w:cs="Times New Roman"/>
      </w:rPr>
    </w:lvl>
  </w:abstractNum>
  <w:num w:numId="1">
    <w:abstractNumId w:val="1"/>
  </w:num>
  <w:num w:numId="2">
    <w:abstractNumId w:val="0"/>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Dg4ZTk4ZThiOTlhYTkyOGVkOWQ5NDlhNjIwNjNhNzEifQ=="/>
  </w:docVars>
  <w:rsids>
    <w:rsidRoot w:val="FF6C4049"/>
    <w:rsid w:val="00044E1D"/>
    <w:rsid w:val="000C0242"/>
    <w:rsid w:val="001452AA"/>
    <w:rsid w:val="00145451"/>
    <w:rsid w:val="001705B7"/>
    <w:rsid w:val="001712C7"/>
    <w:rsid w:val="00187C3B"/>
    <w:rsid w:val="001A75D9"/>
    <w:rsid w:val="0022021F"/>
    <w:rsid w:val="00253321"/>
    <w:rsid w:val="00270A45"/>
    <w:rsid w:val="00273BC2"/>
    <w:rsid w:val="0028062E"/>
    <w:rsid w:val="002D7CDC"/>
    <w:rsid w:val="0030524F"/>
    <w:rsid w:val="00371B3E"/>
    <w:rsid w:val="00481ED2"/>
    <w:rsid w:val="004B1E3B"/>
    <w:rsid w:val="004B5668"/>
    <w:rsid w:val="004E2FFB"/>
    <w:rsid w:val="004E356D"/>
    <w:rsid w:val="004F3CA9"/>
    <w:rsid w:val="00537A54"/>
    <w:rsid w:val="00567094"/>
    <w:rsid w:val="005D082B"/>
    <w:rsid w:val="006479AF"/>
    <w:rsid w:val="006A260E"/>
    <w:rsid w:val="006F7242"/>
    <w:rsid w:val="007141ED"/>
    <w:rsid w:val="00772750"/>
    <w:rsid w:val="00775AE1"/>
    <w:rsid w:val="007940BA"/>
    <w:rsid w:val="007B168A"/>
    <w:rsid w:val="008003DC"/>
    <w:rsid w:val="008146FF"/>
    <w:rsid w:val="008536C2"/>
    <w:rsid w:val="00867C04"/>
    <w:rsid w:val="00896236"/>
    <w:rsid w:val="008974DF"/>
    <w:rsid w:val="008A5F67"/>
    <w:rsid w:val="008B2CFE"/>
    <w:rsid w:val="008B4312"/>
    <w:rsid w:val="008E2978"/>
    <w:rsid w:val="00926265"/>
    <w:rsid w:val="009A3035"/>
    <w:rsid w:val="009A7280"/>
    <w:rsid w:val="009B02D8"/>
    <w:rsid w:val="009B2065"/>
    <w:rsid w:val="009E30DE"/>
    <w:rsid w:val="00A01E11"/>
    <w:rsid w:val="00A24B84"/>
    <w:rsid w:val="00AE29A4"/>
    <w:rsid w:val="00AE7735"/>
    <w:rsid w:val="00B90782"/>
    <w:rsid w:val="00BE58F0"/>
    <w:rsid w:val="00C053B0"/>
    <w:rsid w:val="00C342B9"/>
    <w:rsid w:val="00C409D2"/>
    <w:rsid w:val="00C6574C"/>
    <w:rsid w:val="00CB72F0"/>
    <w:rsid w:val="00D0610F"/>
    <w:rsid w:val="00D33BB7"/>
    <w:rsid w:val="00D7485F"/>
    <w:rsid w:val="00DF4825"/>
    <w:rsid w:val="00E02AD6"/>
    <w:rsid w:val="00E203A4"/>
    <w:rsid w:val="00E22C7F"/>
    <w:rsid w:val="00E31717"/>
    <w:rsid w:val="00E62B2D"/>
    <w:rsid w:val="00EB6384"/>
    <w:rsid w:val="00F03B69"/>
    <w:rsid w:val="00F26FF6"/>
    <w:rsid w:val="00F93F3F"/>
    <w:rsid w:val="00FC2287"/>
    <w:rsid w:val="07397B77"/>
    <w:rsid w:val="13471461"/>
    <w:rsid w:val="13B90F01"/>
    <w:rsid w:val="181066D2"/>
    <w:rsid w:val="1C671E73"/>
    <w:rsid w:val="38CA40DD"/>
    <w:rsid w:val="38EB20DE"/>
    <w:rsid w:val="395F2B56"/>
    <w:rsid w:val="3BECE841"/>
    <w:rsid w:val="3FF7797D"/>
    <w:rsid w:val="468E3747"/>
    <w:rsid w:val="5BFF6039"/>
    <w:rsid w:val="5D76A616"/>
    <w:rsid w:val="5D7F20B9"/>
    <w:rsid w:val="5DAC7D0E"/>
    <w:rsid w:val="5DB674C0"/>
    <w:rsid w:val="5F98B5AF"/>
    <w:rsid w:val="5FFE8511"/>
    <w:rsid w:val="5FFEACE2"/>
    <w:rsid w:val="643EE26D"/>
    <w:rsid w:val="6F5C41AC"/>
    <w:rsid w:val="6FAF6C78"/>
    <w:rsid w:val="7317C656"/>
    <w:rsid w:val="734ED73F"/>
    <w:rsid w:val="77FD8BE9"/>
    <w:rsid w:val="79A9BD3F"/>
    <w:rsid w:val="7B164183"/>
    <w:rsid w:val="7BFFFDD0"/>
    <w:rsid w:val="7C336E5F"/>
    <w:rsid w:val="7D7A5F86"/>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0" w:name="caption"/>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uiPriority="99" w:name="page number" w:locked="1"/>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0" w:semiHidden="0" w:name="Subtitle"/>
    <w:lsdException w:uiPriority="99" w:name="Salutation" w:locked="1"/>
    <w:lsdException w:uiPriority="99" w:name="Date" w:locked="1"/>
    <w:lsdException w:qFormat="1" w:unhideWhenUsed="0" w:uiPriority="99" w:semiHidden="0" w:name="Body Text First Indent"/>
    <w:lsdException w:qFormat="1" w:unhideWhenUsed="0" w:uiPriority="99" w:semiHidden="0" w:name="Body Text First Indent 2"/>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99" w:semiHidden="0" w:name="Strong"/>
    <w:lsdException w:qFormat="1" w:unhideWhenUsed="0" w:uiPriority="0" w:semiHidden="0" w:name="Emphasis"/>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0" w:semiHidden="0" w:name="Table Grid"/>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link w:val="17"/>
    <w:qFormat/>
    <w:uiPriority w:val="99"/>
    <w:pPr>
      <w:keepNext/>
      <w:widowControl/>
      <w:spacing w:before="240" w:after="60"/>
      <w:jc w:val="left"/>
      <w:outlineLvl w:val="2"/>
    </w:pPr>
    <w:rPr>
      <w:rFonts w:ascii="Calibri Light" w:hAnsi="Calibri Light"/>
      <w:b/>
      <w:bCs/>
      <w:kern w:val="0"/>
      <w:sz w:val="26"/>
      <w:szCs w:val="26"/>
    </w:rPr>
  </w:style>
  <w:style w:type="character" w:default="1" w:styleId="14">
    <w:name w:val="Default Paragraph Font"/>
    <w:semiHidden/>
    <w:qFormat/>
    <w:uiPriority w:val="99"/>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18"/>
    <w:qFormat/>
    <w:uiPriority w:val="99"/>
    <w:pPr>
      <w:widowControl/>
      <w:spacing w:before="240" w:after="60"/>
      <w:jc w:val="center"/>
      <w:outlineLvl w:val="0"/>
    </w:pPr>
    <w:rPr>
      <w:rFonts w:ascii="Calibri Light" w:hAnsi="Calibri Light"/>
      <w:b/>
      <w:bCs/>
      <w:kern w:val="28"/>
      <w:sz w:val="32"/>
      <w:szCs w:val="32"/>
    </w:rPr>
  </w:style>
  <w:style w:type="paragraph" w:styleId="4">
    <w:name w:val="annotation text"/>
    <w:basedOn w:val="1"/>
    <w:link w:val="19"/>
    <w:autoRedefine/>
    <w:qFormat/>
    <w:uiPriority w:val="99"/>
    <w:pPr>
      <w:jc w:val="left"/>
    </w:pPr>
  </w:style>
  <w:style w:type="paragraph" w:styleId="5">
    <w:name w:val="Body Text"/>
    <w:basedOn w:val="1"/>
    <w:link w:val="20"/>
    <w:autoRedefine/>
    <w:qFormat/>
    <w:uiPriority w:val="99"/>
    <w:pPr>
      <w:spacing w:after="120"/>
    </w:pPr>
  </w:style>
  <w:style w:type="paragraph" w:styleId="6">
    <w:name w:val="Body Text Indent"/>
    <w:basedOn w:val="1"/>
    <w:link w:val="21"/>
    <w:autoRedefine/>
    <w:qFormat/>
    <w:uiPriority w:val="99"/>
    <w:pPr>
      <w:spacing w:after="120"/>
      <w:ind w:left="420" w:leftChars="200"/>
    </w:pPr>
    <w:rPr>
      <w:rFonts w:ascii="Calibri" w:hAnsi="Calibri"/>
    </w:rPr>
  </w:style>
  <w:style w:type="paragraph" w:styleId="7">
    <w:name w:val="Balloon Text"/>
    <w:basedOn w:val="1"/>
    <w:link w:val="22"/>
    <w:autoRedefine/>
    <w:qFormat/>
    <w:uiPriority w:val="99"/>
    <w:rPr>
      <w:sz w:val="18"/>
      <w:szCs w:val="18"/>
    </w:rPr>
  </w:style>
  <w:style w:type="paragraph" w:styleId="8">
    <w:name w:val="footer"/>
    <w:basedOn w:val="1"/>
    <w:link w:val="23"/>
    <w:autoRedefine/>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4"/>
    <w:autoRedefine/>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4"/>
    <w:next w:val="4"/>
    <w:link w:val="25"/>
    <w:qFormat/>
    <w:uiPriority w:val="99"/>
    <w:rPr>
      <w:b/>
      <w:bCs/>
    </w:rPr>
  </w:style>
  <w:style w:type="paragraph" w:styleId="11">
    <w:name w:val="Body Text First Indent"/>
    <w:basedOn w:val="5"/>
    <w:link w:val="26"/>
    <w:qFormat/>
    <w:uiPriority w:val="99"/>
    <w:pPr>
      <w:spacing w:after="0"/>
      <w:ind w:firstLine="200" w:firstLineChars="200"/>
    </w:pPr>
  </w:style>
  <w:style w:type="paragraph" w:styleId="12">
    <w:name w:val="Body Text First Indent 2"/>
    <w:basedOn w:val="6"/>
    <w:link w:val="27"/>
    <w:qFormat/>
    <w:uiPriority w:val="99"/>
    <w:pPr>
      <w:ind w:firstLine="420" w:firstLineChars="200"/>
    </w:pPr>
  </w:style>
  <w:style w:type="character" w:styleId="15">
    <w:name w:val="Strong"/>
    <w:basedOn w:val="14"/>
    <w:qFormat/>
    <w:uiPriority w:val="99"/>
    <w:rPr>
      <w:rFonts w:cs="Times New Roman"/>
      <w:b/>
      <w:bCs/>
    </w:rPr>
  </w:style>
  <w:style w:type="character" w:styleId="16">
    <w:name w:val="annotation reference"/>
    <w:basedOn w:val="14"/>
    <w:qFormat/>
    <w:uiPriority w:val="99"/>
    <w:rPr>
      <w:rFonts w:cs="Times New Roman"/>
      <w:sz w:val="21"/>
      <w:szCs w:val="21"/>
    </w:rPr>
  </w:style>
  <w:style w:type="character" w:customStyle="1" w:styleId="17">
    <w:name w:val="Heading 3 Char"/>
    <w:basedOn w:val="14"/>
    <w:link w:val="3"/>
    <w:semiHidden/>
    <w:qFormat/>
    <w:locked/>
    <w:uiPriority w:val="99"/>
    <w:rPr>
      <w:rFonts w:ascii="Times New Roman" w:hAnsi="Times New Roman" w:cs="Times New Roman"/>
      <w:b/>
      <w:bCs/>
      <w:sz w:val="32"/>
      <w:szCs w:val="32"/>
    </w:rPr>
  </w:style>
  <w:style w:type="character" w:customStyle="1" w:styleId="18">
    <w:name w:val="Title Char"/>
    <w:basedOn w:val="14"/>
    <w:link w:val="2"/>
    <w:qFormat/>
    <w:locked/>
    <w:uiPriority w:val="99"/>
    <w:rPr>
      <w:rFonts w:ascii="Cambria" w:hAnsi="Cambria" w:cs="Times New Roman"/>
      <w:b/>
      <w:bCs/>
      <w:sz w:val="32"/>
      <w:szCs w:val="32"/>
    </w:rPr>
  </w:style>
  <w:style w:type="character" w:customStyle="1" w:styleId="19">
    <w:name w:val="Comment Text Char"/>
    <w:basedOn w:val="14"/>
    <w:link w:val="4"/>
    <w:qFormat/>
    <w:locked/>
    <w:uiPriority w:val="99"/>
    <w:rPr>
      <w:rFonts w:ascii="Times New Roman" w:hAnsi="Times New Roman" w:eastAsia="宋体" w:cs="Times New Roman"/>
      <w:kern w:val="2"/>
      <w:sz w:val="24"/>
      <w:szCs w:val="24"/>
    </w:rPr>
  </w:style>
  <w:style w:type="character" w:customStyle="1" w:styleId="20">
    <w:name w:val="Body Text Char"/>
    <w:basedOn w:val="14"/>
    <w:link w:val="5"/>
    <w:semiHidden/>
    <w:qFormat/>
    <w:locked/>
    <w:uiPriority w:val="99"/>
    <w:rPr>
      <w:rFonts w:ascii="Times New Roman" w:hAnsi="Times New Roman" w:cs="Times New Roman"/>
      <w:sz w:val="24"/>
      <w:szCs w:val="24"/>
    </w:rPr>
  </w:style>
  <w:style w:type="character" w:customStyle="1" w:styleId="21">
    <w:name w:val="Body Text Indent Char"/>
    <w:basedOn w:val="14"/>
    <w:link w:val="6"/>
    <w:semiHidden/>
    <w:qFormat/>
    <w:locked/>
    <w:uiPriority w:val="99"/>
    <w:rPr>
      <w:rFonts w:ascii="Times New Roman" w:hAnsi="Times New Roman" w:cs="Times New Roman"/>
      <w:sz w:val="24"/>
      <w:szCs w:val="24"/>
    </w:rPr>
  </w:style>
  <w:style w:type="character" w:customStyle="1" w:styleId="22">
    <w:name w:val="Balloon Text Char"/>
    <w:basedOn w:val="14"/>
    <w:link w:val="7"/>
    <w:qFormat/>
    <w:locked/>
    <w:uiPriority w:val="99"/>
    <w:rPr>
      <w:rFonts w:ascii="Times New Roman" w:hAnsi="Times New Roman" w:eastAsia="宋体" w:cs="Times New Roman"/>
      <w:kern w:val="2"/>
      <w:sz w:val="18"/>
      <w:szCs w:val="18"/>
    </w:rPr>
  </w:style>
  <w:style w:type="character" w:customStyle="1" w:styleId="23">
    <w:name w:val="Footer Char"/>
    <w:basedOn w:val="14"/>
    <w:link w:val="8"/>
    <w:semiHidden/>
    <w:qFormat/>
    <w:locked/>
    <w:uiPriority w:val="99"/>
    <w:rPr>
      <w:rFonts w:ascii="Times New Roman" w:hAnsi="Times New Roman" w:cs="Times New Roman"/>
      <w:sz w:val="18"/>
      <w:szCs w:val="18"/>
    </w:rPr>
  </w:style>
  <w:style w:type="character" w:customStyle="1" w:styleId="24">
    <w:name w:val="Header Char"/>
    <w:basedOn w:val="14"/>
    <w:link w:val="9"/>
    <w:qFormat/>
    <w:locked/>
    <w:uiPriority w:val="99"/>
    <w:rPr>
      <w:rFonts w:ascii="Times New Roman" w:hAnsi="Times New Roman" w:eastAsia="宋体" w:cs="Times New Roman"/>
      <w:kern w:val="2"/>
      <w:sz w:val="18"/>
      <w:szCs w:val="18"/>
    </w:rPr>
  </w:style>
  <w:style w:type="character" w:customStyle="1" w:styleId="25">
    <w:name w:val="Comment Subject Char"/>
    <w:basedOn w:val="19"/>
    <w:link w:val="10"/>
    <w:qFormat/>
    <w:locked/>
    <w:uiPriority w:val="99"/>
    <w:rPr>
      <w:b/>
      <w:bCs/>
    </w:rPr>
  </w:style>
  <w:style w:type="character" w:customStyle="1" w:styleId="26">
    <w:name w:val="Body Text First Indent Char"/>
    <w:basedOn w:val="20"/>
    <w:link w:val="11"/>
    <w:semiHidden/>
    <w:qFormat/>
    <w:locked/>
    <w:uiPriority w:val="99"/>
  </w:style>
  <w:style w:type="character" w:customStyle="1" w:styleId="27">
    <w:name w:val="Body Text First Indent 2 Char"/>
    <w:basedOn w:val="21"/>
    <w:link w:val="12"/>
    <w:semiHidden/>
    <w:qFormat/>
    <w:locked/>
    <w:uiPriority w:val="99"/>
  </w:style>
  <w:style w:type="character" w:customStyle="1" w:styleId="28">
    <w:name w:val="fontstyle01"/>
    <w:qFormat/>
    <w:uiPriority w:val="99"/>
    <w:rPr>
      <w:rFonts w:ascii="仿宋_GB2312" w:hAnsi="仿宋_GB2312" w:eastAsia="仿宋_GB2312"/>
      <w:color w:val="000000"/>
      <w:sz w:val="32"/>
    </w:rPr>
  </w:style>
  <w:style w:type="paragraph" w:customStyle="1" w:styleId="29">
    <w:name w:val="闻政-正文段落文字"/>
    <w:basedOn w:val="1"/>
    <w:qFormat/>
    <w:uiPriority w:val="99"/>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20</Pages>
  <Words>8463</Words>
  <Characters>8717</Characters>
  <Lines>0</Lines>
  <Paragraphs>0</Paragraphs>
  <TotalTime>1</TotalTime>
  <ScaleCrop>false</ScaleCrop>
  <LinksUpToDate>false</LinksUpToDate>
  <CharactersWithSpaces>8749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岁月无痕</cp:lastModifiedBy>
  <cp:lastPrinted>2024-05-20T10:16:00Z</cp:lastPrinted>
  <dcterms:modified xsi:type="dcterms:W3CDTF">2024-08-20T09:25:10Z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DEB37354E36D40D48F20A3DAB18895C3</vt:lpwstr>
  </property>
</Properties>
</file>