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7DC724">
      <w:pPr>
        <w:spacing w:line="540" w:lineRule="exact"/>
        <w:jc w:val="center"/>
        <w:rPr>
          <w:rFonts w:eastAsia="华文中宋"/>
          <w:b/>
          <w:kern w:val="0"/>
          <w:sz w:val="52"/>
          <w:szCs w:val="52"/>
        </w:rPr>
      </w:pPr>
    </w:p>
    <w:p w14:paraId="78F7CC3A">
      <w:pPr>
        <w:spacing w:line="540" w:lineRule="exact"/>
        <w:rPr>
          <w:rFonts w:eastAsia="华文中宋"/>
          <w:b/>
          <w:kern w:val="0"/>
          <w:sz w:val="52"/>
          <w:szCs w:val="52"/>
        </w:rPr>
      </w:pPr>
    </w:p>
    <w:p w14:paraId="15240FFD">
      <w:pPr>
        <w:spacing w:line="540" w:lineRule="exact"/>
        <w:jc w:val="center"/>
        <w:rPr>
          <w:rFonts w:eastAsia="华文中宋"/>
          <w:b/>
          <w:kern w:val="0"/>
          <w:sz w:val="52"/>
          <w:szCs w:val="52"/>
        </w:rPr>
      </w:pPr>
    </w:p>
    <w:p w14:paraId="33D23E3E">
      <w:pPr>
        <w:spacing w:line="540" w:lineRule="exact"/>
        <w:jc w:val="center"/>
        <w:rPr>
          <w:rFonts w:eastAsia="华文中宋"/>
          <w:b/>
          <w:kern w:val="0"/>
          <w:sz w:val="52"/>
          <w:szCs w:val="52"/>
        </w:rPr>
      </w:pPr>
    </w:p>
    <w:p w14:paraId="73B1B8F5">
      <w:pPr>
        <w:spacing w:line="540" w:lineRule="exact"/>
        <w:jc w:val="center"/>
        <w:rPr>
          <w:rFonts w:eastAsia="方正小标宋_GBK"/>
          <w:kern w:val="0"/>
          <w:sz w:val="48"/>
          <w:szCs w:val="48"/>
        </w:rPr>
      </w:pPr>
      <w:r>
        <w:rPr>
          <w:rFonts w:hint="eastAsia" w:eastAsia="方正小标宋_GBK"/>
          <w:kern w:val="0"/>
          <w:sz w:val="48"/>
          <w:szCs w:val="48"/>
          <w:lang w:val="en-US" w:eastAsia="zh-CN"/>
        </w:rPr>
        <w:t>非财政</w:t>
      </w:r>
      <w:r>
        <w:rPr>
          <w:rFonts w:eastAsia="方正小标宋_GBK"/>
          <w:kern w:val="0"/>
          <w:sz w:val="48"/>
          <w:szCs w:val="48"/>
        </w:rPr>
        <w:t>资金项目支出绩效评价</w:t>
      </w:r>
    </w:p>
    <w:p w14:paraId="24881C9A">
      <w:pPr>
        <w:spacing w:line="540" w:lineRule="exact"/>
        <w:jc w:val="center"/>
        <w:rPr>
          <w:rFonts w:eastAsia="方正小标宋_GBK"/>
          <w:kern w:val="0"/>
          <w:sz w:val="48"/>
          <w:szCs w:val="48"/>
        </w:rPr>
      </w:pPr>
      <w:r>
        <w:rPr>
          <w:rFonts w:eastAsia="方正小标宋_GBK"/>
          <w:kern w:val="0"/>
          <w:sz w:val="48"/>
          <w:szCs w:val="48"/>
        </w:rPr>
        <w:t>报告</w:t>
      </w:r>
    </w:p>
    <w:p w14:paraId="6AB4993C">
      <w:pPr>
        <w:spacing w:line="540" w:lineRule="exact"/>
        <w:jc w:val="center"/>
        <w:rPr>
          <w:rFonts w:eastAsia="华文中宋"/>
          <w:b/>
          <w:kern w:val="0"/>
          <w:sz w:val="52"/>
          <w:szCs w:val="52"/>
        </w:rPr>
      </w:pPr>
    </w:p>
    <w:p w14:paraId="7C92ADF2">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14:paraId="6EFF22FD">
      <w:pPr>
        <w:spacing w:line="540" w:lineRule="exact"/>
        <w:jc w:val="center"/>
        <w:rPr>
          <w:rFonts w:eastAsia="仿宋_GB2312"/>
          <w:kern w:val="0"/>
          <w:sz w:val="30"/>
          <w:szCs w:val="30"/>
        </w:rPr>
      </w:pPr>
    </w:p>
    <w:p w14:paraId="6E3B3E1F">
      <w:pPr>
        <w:spacing w:line="540" w:lineRule="exact"/>
        <w:jc w:val="center"/>
        <w:rPr>
          <w:rFonts w:eastAsia="仿宋_GB2312"/>
          <w:kern w:val="0"/>
          <w:sz w:val="30"/>
          <w:szCs w:val="30"/>
        </w:rPr>
      </w:pPr>
    </w:p>
    <w:p w14:paraId="0D6E80C8">
      <w:pPr>
        <w:spacing w:line="540" w:lineRule="exact"/>
        <w:jc w:val="center"/>
        <w:rPr>
          <w:rFonts w:eastAsia="仿宋_GB2312"/>
          <w:kern w:val="0"/>
          <w:sz w:val="30"/>
          <w:szCs w:val="30"/>
        </w:rPr>
      </w:pPr>
    </w:p>
    <w:p w14:paraId="09B14DDB">
      <w:pPr>
        <w:pStyle w:val="9"/>
      </w:pPr>
    </w:p>
    <w:p w14:paraId="2D195947">
      <w:pPr>
        <w:spacing w:line="540" w:lineRule="exact"/>
        <w:jc w:val="center"/>
        <w:rPr>
          <w:rFonts w:eastAsia="仿宋_GB2312"/>
          <w:kern w:val="0"/>
          <w:sz w:val="30"/>
          <w:szCs w:val="30"/>
        </w:rPr>
      </w:pPr>
    </w:p>
    <w:p w14:paraId="42156BED">
      <w:pPr>
        <w:spacing w:line="540" w:lineRule="exact"/>
        <w:rPr>
          <w:rFonts w:eastAsia="仿宋_GB2312"/>
          <w:kern w:val="0"/>
          <w:sz w:val="30"/>
          <w:szCs w:val="30"/>
        </w:rPr>
      </w:pPr>
    </w:p>
    <w:p w14:paraId="166B9DAB">
      <w:pPr>
        <w:spacing w:line="700" w:lineRule="exact"/>
        <w:jc w:val="left"/>
        <w:rPr>
          <w:rFonts w:hint="eastAsia" w:eastAsia="仿宋_GB2312"/>
          <w:kern w:val="0"/>
          <w:sz w:val="36"/>
          <w:szCs w:val="36"/>
        </w:rPr>
      </w:pPr>
      <w:r>
        <w:rPr>
          <w:rFonts w:eastAsia="仿宋_GB2312"/>
          <w:kern w:val="0"/>
          <w:sz w:val="36"/>
          <w:szCs w:val="36"/>
        </w:rPr>
        <w:t>项目名称：</w:t>
      </w:r>
      <w:r>
        <w:rPr>
          <w:rFonts w:hint="eastAsia" w:eastAsia="仿宋_GB2312"/>
          <w:kern w:val="0"/>
          <w:sz w:val="36"/>
          <w:szCs w:val="36"/>
        </w:rPr>
        <w:t>温宿县育肥场固定监测站门前环境</w:t>
      </w:r>
      <w:r>
        <w:rPr>
          <w:rFonts w:hint="eastAsia" w:eastAsia="仿宋_GB2312"/>
          <w:kern w:val="0"/>
          <w:sz w:val="36"/>
          <w:szCs w:val="36"/>
          <w:lang w:val="en-US" w:eastAsia="zh-CN"/>
        </w:rPr>
        <w:t>整治</w:t>
      </w:r>
      <w:r>
        <w:rPr>
          <w:rFonts w:hint="eastAsia" w:eastAsia="仿宋_GB2312"/>
          <w:kern w:val="0"/>
          <w:sz w:val="36"/>
          <w:szCs w:val="36"/>
        </w:rPr>
        <w:t>项目</w:t>
      </w:r>
    </w:p>
    <w:p w14:paraId="68D1CEAF">
      <w:pPr>
        <w:spacing w:line="700" w:lineRule="exact"/>
        <w:jc w:val="left"/>
        <w:rPr>
          <w:rFonts w:hint="eastAsia" w:ascii="仿宋_GB2312" w:hAnsi="仿宋_GB2312" w:eastAsia="仿宋_GB2312" w:cs="仿宋_GB2312"/>
          <w:sz w:val="30"/>
          <w:szCs w:val="30"/>
        </w:rPr>
      </w:pPr>
      <w:r>
        <w:rPr>
          <w:rFonts w:eastAsia="仿宋_GB2312"/>
          <w:kern w:val="0"/>
          <w:sz w:val="36"/>
          <w:szCs w:val="36"/>
        </w:rPr>
        <w:t>实施单位（公章）：</w:t>
      </w:r>
      <w:r>
        <w:rPr>
          <w:rFonts w:hint="eastAsia" w:ascii="仿宋_GB2312" w:hAnsi="仿宋_GB2312" w:eastAsia="仿宋_GB2312" w:cs="仿宋_GB2312"/>
          <w:sz w:val="30"/>
          <w:szCs w:val="30"/>
        </w:rPr>
        <w:t>阿克苏地区无线电管理局</w:t>
      </w:r>
    </w:p>
    <w:p w14:paraId="38AD7026">
      <w:pPr>
        <w:spacing w:line="700" w:lineRule="exact"/>
        <w:jc w:val="left"/>
        <w:rPr>
          <w:rFonts w:hint="eastAsia" w:eastAsia="仿宋_GB2312"/>
          <w:kern w:val="0"/>
          <w:sz w:val="36"/>
          <w:szCs w:val="36"/>
          <w:lang w:val="en-US" w:eastAsia="zh-CN"/>
        </w:rPr>
      </w:pPr>
      <w:r>
        <w:rPr>
          <w:rFonts w:eastAsia="仿宋_GB2312"/>
          <w:kern w:val="0"/>
          <w:sz w:val="36"/>
          <w:szCs w:val="36"/>
        </w:rPr>
        <w:t>主管部门（公章）：</w:t>
      </w:r>
      <w:r>
        <w:rPr>
          <w:rFonts w:hint="eastAsia" w:eastAsia="仿宋_GB2312"/>
          <w:kern w:val="0"/>
          <w:sz w:val="36"/>
          <w:szCs w:val="36"/>
          <w:lang w:val="en-US" w:eastAsia="zh-CN"/>
        </w:rPr>
        <w:t>自治区工业和信息化厅</w:t>
      </w:r>
    </w:p>
    <w:p w14:paraId="2EDFE91F">
      <w:pPr>
        <w:spacing w:line="700" w:lineRule="exact"/>
        <w:jc w:val="left"/>
        <w:rPr>
          <w:rFonts w:hint="eastAsia" w:eastAsia="仿宋_GB2312"/>
          <w:kern w:val="0"/>
          <w:sz w:val="36"/>
          <w:szCs w:val="36"/>
          <w:lang w:val="en-US" w:eastAsia="zh-CN"/>
        </w:rPr>
      </w:pPr>
      <w:r>
        <w:rPr>
          <w:rFonts w:eastAsia="仿宋_GB2312"/>
          <w:kern w:val="0"/>
          <w:sz w:val="36"/>
          <w:szCs w:val="36"/>
        </w:rPr>
        <w:t>项目负责人（签章）：</w:t>
      </w:r>
      <w:r>
        <w:rPr>
          <w:rFonts w:hint="eastAsia" w:eastAsia="仿宋_GB2312"/>
          <w:kern w:val="0"/>
          <w:sz w:val="36"/>
          <w:szCs w:val="36"/>
        </w:rPr>
        <w:t>阿里木·阿地力</w:t>
      </w:r>
    </w:p>
    <w:p w14:paraId="7792BFBD">
      <w:pPr>
        <w:spacing w:line="700" w:lineRule="exact"/>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5</w:t>
      </w:r>
      <w:r>
        <w:rPr>
          <w:rFonts w:eastAsia="仿宋_GB2312"/>
          <w:kern w:val="0"/>
          <w:sz w:val="36"/>
          <w:szCs w:val="36"/>
        </w:rPr>
        <w:t>月</w:t>
      </w:r>
      <w:r>
        <w:rPr>
          <w:rFonts w:hint="eastAsia" w:eastAsia="仿宋_GB2312"/>
          <w:kern w:val="0"/>
          <w:sz w:val="36"/>
          <w:szCs w:val="36"/>
          <w:lang w:val="en-US" w:eastAsia="zh-CN"/>
        </w:rPr>
        <w:t>6</w:t>
      </w:r>
      <w:r>
        <w:rPr>
          <w:rFonts w:eastAsia="仿宋_GB2312"/>
          <w:kern w:val="0"/>
          <w:sz w:val="36"/>
          <w:szCs w:val="36"/>
        </w:rPr>
        <w:t>日</w:t>
      </w:r>
    </w:p>
    <w:p w14:paraId="2B935F0B">
      <w:pPr>
        <w:spacing w:line="540" w:lineRule="exact"/>
        <w:jc w:val="center"/>
        <w:rPr>
          <w:rFonts w:eastAsia="仿宋_GB2312"/>
          <w:kern w:val="0"/>
          <w:sz w:val="30"/>
          <w:szCs w:val="30"/>
        </w:rPr>
      </w:pPr>
    </w:p>
    <w:p w14:paraId="4009493F">
      <w:pPr>
        <w:spacing w:line="540" w:lineRule="exact"/>
        <w:rPr>
          <w:rStyle w:val="15"/>
          <w:rFonts w:eastAsia="黑体"/>
          <w:b w:val="0"/>
          <w:spacing w:val="-4"/>
          <w:sz w:val="32"/>
          <w:szCs w:val="32"/>
        </w:rPr>
      </w:pPr>
    </w:p>
    <w:p w14:paraId="34C2BB28">
      <w:pPr>
        <w:spacing w:line="540" w:lineRule="exact"/>
        <w:ind w:firstLine="640"/>
        <w:rPr>
          <w:rStyle w:val="15"/>
          <w:rFonts w:eastAsia="黑体"/>
          <w:b w:val="0"/>
          <w:spacing w:val="-4"/>
          <w:sz w:val="32"/>
          <w:szCs w:val="32"/>
        </w:rPr>
      </w:pPr>
    </w:p>
    <w:p w14:paraId="77D2D530">
      <w:pPr>
        <w:spacing w:line="540" w:lineRule="exact"/>
        <w:rPr>
          <w:rStyle w:val="15"/>
          <w:rFonts w:eastAsia="黑体"/>
          <w:b w:val="0"/>
          <w:spacing w:val="-4"/>
          <w:sz w:val="32"/>
          <w:szCs w:val="32"/>
        </w:rPr>
      </w:pPr>
    </w:p>
    <w:p w14:paraId="785573D0">
      <w:pPr>
        <w:spacing w:line="560" w:lineRule="exact"/>
        <w:ind w:firstLine="640" w:firstLineChars="200"/>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14:paraId="2B9A8F61">
      <w:pPr>
        <w:spacing w:line="560" w:lineRule="exact"/>
        <w:ind w:firstLine="640" w:firstLineChars="200"/>
        <w:rPr>
          <w:rFonts w:eastAsia="黑体"/>
          <w:bCs/>
          <w:sz w:val="32"/>
          <w:szCs w:val="32"/>
        </w:rPr>
      </w:pPr>
      <w:r>
        <w:rPr>
          <w:rFonts w:eastAsia="黑体"/>
          <w:bCs/>
          <w:sz w:val="32"/>
          <w:szCs w:val="32"/>
        </w:rPr>
        <w:t>一、基本情况</w:t>
      </w:r>
    </w:p>
    <w:p w14:paraId="2C60EAD3">
      <w:pPr>
        <w:spacing w:line="560" w:lineRule="exact"/>
        <w:ind w:firstLine="643" w:firstLineChars="200"/>
        <w:rPr>
          <w:rFonts w:eastAsia="楷体_GB2312"/>
          <w:b/>
          <w:bCs/>
          <w:sz w:val="32"/>
          <w:szCs w:val="32"/>
        </w:rPr>
      </w:pPr>
      <w:r>
        <w:rPr>
          <w:rFonts w:eastAsia="楷体_GB2312"/>
          <w:b/>
          <w:bCs/>
          <w:sz w:val="32"/>
          <w:szCs w:val="32"/>
        </w:rPr>
        <w:t>（一）项目概况</w:t>
      </w:r>
    </w:p>
    <w:p w14:paraId="222430E4">
      <w:pPr>
        <w:spacing w:line="560" w:lineRule="exact"/>
        <w:ind w:firstLine="643" w:firstLineChars="200"/>
        <w:rPr>
          <w:rFonts w:eastAsia="仿宋_GB2312"/>
          <w:b/>
          <w:bCs/>
          <w:sz w:val="32"/>
          <w:szCs w:val="32"/>
        </w:rPr>
      </w:pPr>
      <w:r>
        <w:rPr>
          <w:rFonts w:eastAsia="仿宋_GB2312"/>
          <w:b/>
          <w:bCs/>
          <w:sz w:val="32"/>
          <w:szCs w:val="32"/>
        </w:rPr>
        <w:t>1、项目背景</w:t>
      </w:r>
    </w:p>
    <w:p w14:paraId="5C6F04C5">
      <w:pPr>
        <w:spacing w:line="560" w:lineRule="exact"/>
        <w:ind w:firstLine="640" w:firstLineChars="200"/>
        <w:rPr>
          <w:rFonts w:hint="eastAsia" w:eastAsia="仿宋_GB2312"/>
          <w:sz w:val="32"/>
          <w:szCs w:val="32"/>
        </w:rPr>
      </w:pPr>
      <w:r>
        <w:rPr>
          <w:rFonts w:hint="eastAsia" w:eastAsia="仿宋_GB2312"/>
          <w:sz w:val="32"/>
          <w:szCs w:val="32"/>
        </w:rPr>
        <w:t>总体国家安全观是习近平新时代中国特色社会主义思想的重要组成部分，无线电安全是总体国家安全不可或缺的一部分，事关人民安全、政治安全和国家利益，事关经济发展、国防建设和社会稳定。</w:t>
      </w:r>
    </w:p>
    <w:p w14:paraId="0236BF27">
      <w:pPr>
        <w:spacing w:line="560" w:lineRule="exact"/>
        <w:ind w:firstLine="640" w:firstLineChars="200"/>
        <w:rPr>
          <w:rFonts w:hint="eastAsia" w:eastAsia="仿宋_GB2312"/>
          <w:sz w:val="32"/>
          <w:szCs w:val="32"/>
        </w:rPr>
      </w:pPr>
      <w:r>
        <w:rPr>
          <w:rFonts w:hint="eastAsia" w:eastAsia="仿宋_GB2312"/>
          <w:sz w:val="32"/>
          <w:szCs w:val="32"/>
          <w:lang w:val="en-US" w:eastAsia="zh-CN"/>
        </w:rPr>
        <w:t>为确保无线电管理工作顺利开展，保障无线电基础设施正常运行是基本条件。</w:t>
      </w:r>
      <w:r>
        <w:rPr>
          <w:rFonts w:hint="eastAsia" w:eastAsia="仿宋_GB2312"/>
          <w:sz w:val="32"/>
          <w:szCs w:val="32"/>
        </w:rPr>
        <w:t>按照阿克苏温宿县柯柯牙镇政府对村道路建设的统一规划的有关要求，</w:t>
      </w:r>
      <w:r>
        <w:rPr>
          <w:rFonts w:hint="eastAsia" w:eastAsia="仿宋_GB2312"/>
          <w:sz w:val="32"/>
          <w:szCs w:val="32"/>
          <w:lang w:val="en-US" w:eastAsia="zh-CN"/>
        </w:rPr>
        <w:t>需</w:t>
      </w:r>
      <w:r>
        <w:rPr>
          <w:rFonts w:hint="eastAsia" w:eastAsia="仿宋_GB2312"/>
          <w:sz w:val="32"/>
          <w:szCs w:val="32"/>
        </w:rPr>
        <w:t>做好对温宿县育肥场</w:t>
      </w:r>
      <w:r>
        <w:rPr>
          <w:rFonts w:hint="eastAsia" w:eastAsia="仿宋_GB2312"/>
          <w:sz w:val="32"/>
          <w:szCs w:val="32"/>
          <w:lang w:val="en-US" w:eastAsia="zh-CN"/>
        </w:rPr>
        <w:t>无线电</w:t>
      </w:r>
      <w:r>
        <w:rPr>
          <w:rFonts w:hint="eastAsia" w:eastAsia="仿宋_GB2312"/>
          <w:sz w:val="32"/>
          <w:szCs w:val="32"/>
        </w:rPr>
        <w:t>固定监测站门前环境美化整治工作。</w:t>
      </w:r>
      <w:r>
        <w:rPr>
          <w:rFonts w:hint="eastAsia" w:eastAsia="仿宋_GB2312"/>
          <w:sz w:val="32"/>
          <w:szCs w:val="32"/>
          <w:lang w:val="en-US" w:eastAsia="zh-CN"/>
        </w:rPr>
        <w:t>为此单位充分利用单位非财政拨款资金安排必要的项目支出。</w:t>
      </w:r>
      <w:r>
        <w:rPr>
          <w:rFonts w:hint="eastAsia" w:eastAsia="仿宋_GB2312"/>
          <w:sz w:val="32"/>
          <w:szCs w:val="32"/>
        </w:rPr>
        <w:t>保障项目</w:t>
      </w:r>
      <w:r>
        <w:rPr>
          <w:rFonts w:hint="eastAsia" w:eastAsia="仿宋_GB2312"/>
          <w:sz w:val="32"/>
          <w:szCs w:val="32"/>
          <w:lang w:val="en-US" w:eastAsia="zh-CN"/>
        </w:rPr>
        <w:t>的</w:t>
      </w:r>
      <w:r>
        <w:rPr>
          <w:rFonts w:hint="eastAsia" w:eastAsia="仿宋_GB2312"/>
          <w:sz w:val="32"/>
          <w:szCs w:val="32"/>
        </w:rPr>
        <w:t>质量和效益，助力经济社会发展，维护社会稳定和长治久安。</w:t>
      </w:r>
    </w:p>
    <w:p w14:paraId="1BFEADB7">
      <w:pPr>
        <w:pStyle w:val="9"/>
        <w:numPr>
          <w:ilvl w:val="0"/>
          <w:numId w:val="1"/>
        </w:numPr>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14:paraId="347C9773">
      <w:pPr>
        <w:spacing w:line="560" w:lineRule="exact"/>
        <w:ind w:firstLine="600" w:firstLineChars="200"/>
        <w:rPr>
          <w:rFonts w:hint="eastAsia" w:eastAsia="仿宋_GB2312"/>
          <w:sz w:val="32"/>
          <w:szCs w:val="32"/>
          <w:lang w:val="en-US" w:eastAsia="zh-CN"/>
        </w:rPr>
      </w:pPr>
      <w:r>
        <w:rPr>
          <w:rFonts w:hint="eastAsia" w:ascii="仿宋_GB2312" w:hAnsi="仿宋_GB2312" w:eastAsia="仿宋_GB2312" w:cs="仿宋_GB2312"/>
          <w:sz w:val="30"/>
          <w:szCs w:val="30"/>
          <w:highlight w:val="none"/>
          <w:lang w:val="en-US" w:eastAsia="zh-CN"/>
        </w:rPr>
        <w:t>项目主要内容：</w:t>
      </w:r>
      <w:r>
        <w:rPr>
          <w:rFonts w:hint="eastAsia" w:eastAsia="仿宋_GB2312"/>
          <w:sz w:val="32"/>
          <w:szCs w:val="32"/>
          <w:lang w:val="en-US" w:eastAsia="zh-CN"/>
        </w:rPr>
        <w:t>根据2023年自治区无线电安全保障工作总体要求，结合阿克苏地区无线电管理局工作计划纳入2023年部门预算，用单位非财政资金申报温宿县育肥场固定监测站门前环境整治项目预算5.32万元，用于温宿县育肥场固定监测站土地平整及门前绿化带整治支出、院外围墙基础保护散水支出、院墙内外的水泥路面支出。</w:t>
      </w:r>
    </w:p>
    <w:p w14:paraId="359BFD4B">
      <w:pPr>
        <w:spacing w:line="560" w:lineRule="exact"/>
        <w:ind w:firstLine="640" w:firstLineChars="200"/>
      </w:pPr>
      <w:r>
        <w:rPr>
          <w:rFonts w:eastAsia="仿宋_GB2312"/>
          <w:sz w:val="32"/>
          <w:szCs w:val="32"/>
        </w:rPr>
        <w:t>项目实施情况：</w:t>
      </w:r>
      <w:r>
        <w:rPr>
          <w:rFonts w:hint="eastAsia" w:eastAsia="仿宋_GB2312"/>
          <w:sz w:val="32"/>
          <w:szCs w:val="32"/>
          <w:lang w:val="en-US" w:eastAsia="zh-CN"/>
        </w:rPr>
        <w:t>温宿县育肥场固定监测站门前环境整治</w:t>
      </w:r>
      <w:r>
        <w:rPr>
          <w:rFonts w:eastAsia="仿宋_GB2312"/>
          <w:sz w:val="32"/>
          <w:szCs w:val="32"/>
        </w:rPr>
        <w:t>项目</w:t>
      </w:r>
      <w:r>
        <w:rPr>
          <w:rFonts w:hint="eastAsia" w:eastAsia="仿宋_GB2312"/>
          <w:sz w:val="32"/>
          <w:szCs w:val="32"/>
          <w:lang w:eastAsia="zh-CN"/>
        </w:rPr>
        <w:t>，</w:t>
      </w:r>
      <w:r>
        <w:rPr>
          <w:rFonts w:eastAsia="仿宋_GB2312"/>
          <w:sz w:val="32"/>
          <w:szCs w:val="32"/>
        </w:rPr>
        <w:t>目前已经完成</w:t>
      </w:r>
      <w:r>
        <w:rPr>
          <w:rFonts w:hint="eastAsia" w:eastAsia="仿宋_GB2312"/>
          <w:sz w:val="32"/>
          <w:szCs w:val="32"/>
          <w:lang w:val="en-US" w:eastAsia="zh-CN"/>
        </w:rPr>
        <w:t>了年初实际</w:t>
      </w:r>
      <w:r>
        <w:rPr>
          <w:rFonts w:eastAsia="仿宋_GB2312"/>
          <w:sz w:val="32"/>
          <w:szCs w:val="32"/>
        </w:rPr>
        <w:t>设立的目标，</w:t>
      </w:r>
      <w:r>
        <w:rPr>
          <w:rFonts w:hint="eastAsia" w:eastAsia="仿宋_GB2312"/>
          <w:sz w:val="32"/>
          <w:szCs w:val="32"/>
          <w:lang w:val="en-US" w:eastAsia="zh-CN"/>
        </w:rPr>
        <w:t>此</w:t>
      </w:r>
      <w:r>
        <w:rPr>
          <w:rFonts w:eastAsia="仿宋_GB2312"/>
          <w:sz w:val="32"/>
          <w:szCs w:val="32"/>
        </w:rPr>
        <w:t>项目在实施过程中严格按照目标设立的各阶段任务开展工作，在前期立项过程中严格把质量关，建立安全防护机制，保证项目实施各阶段安全顺利进行。</w:t>
      </w:r>
    </w:p>
    <w:p w14:paraId="77A26E3D">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363B4C02">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14:paraId="716682AF">
      <w:pPr>
        <w:shd w:val="clear"/>
        <w:spacing w:line="600" w:lineRule="exact"/>
        <w:ind w:firstLine="640" w:firstLineChars="200"/>
        <w:outlineLvl w:val="0"/>
        <w:rPr>
          <w:rFonts w:hint="eastAsia" w:ascii="仿宋_GB2312" w:hAnsi="仿宋_GB2312" w:eastAsia="仿宋_GB2312" w:cs="仿宋_GB2312"/>
          <w:sz w:val="30"/>
          <w:szCs w:val="30"/>
          <w:lang w:eastAsia="zh-CN"/>
        </w:rPr>
      </w:pPr>
      <w:r>
        <w:rPr>
          <w:rFonts w:hint="eastAsia" w:ascii="仿宋_GB2312" w:hAnsi="仿宋_GB2312" w:eastAsia="仿宋_GB2312" w:cs="仿宋_GB2312"/>
          <w:color w:val="auto"/>
          <w:sz w:val="32"/>
          <w:szCs w:val="32"/>
          <w:highlight w:val="none"/>
          <w:lang w:val="en-US" w:eastAsia="zh-CN"/>
        </w:rPr>
        <w:t>该项目年初预算数5.32万元，全年预算数5.32万元（无年中追加资金），实际总投入5.32万元，该项目资金已全部落实到位，资金来源为</w:t>
      </w:r>
      <w:r>
        <w:rPr>
          <w:rFonts w:hint="eastAsia" w:ascii="仿宋_GB2312" w:hAnsi="仿宋_GB2312" w:eastAsia="仿宋_GB2312" w:cs="仿宋_GB2312"/>
          <w:color w:val="auto"/>
          <w:sz w:val="30"/>
          <w:szCs w:val="30"/>
          <w:highlight w:val="none"/>
          <w:lang w:eastAsia="zh-CN"/>
        </w:rPr>
        <w:t>单位银行利息收入和历年</w:t>
      </w:r>
      <w:r>
        <w:rPr>
          <w:rFonts w:hint="eastAsia" w:ascii="仿宋_GB2312" w:hAnsi="仿宋_GB2312" w:eastAsia="仿宋_GB2312" w:cs="仿宋_GB2312"/>
          <w:sz w:val="30"/>
          <w:szCs w:val="30"/>
          <w:lang w:eastAsia="zh-CN"/>
        </w:rPr>
        <w:t>事业基金结余部分。</w:t>
      </w:r>
    </w:p>
    <w:p w14:paraId="20C22C1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14:paraId="4402A514">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该项目年初预算数5.32万元，全年预算数5.32万元,（无年中追加资金），全年执行数5.21万元，预算执行率为97.93%，主要用于：</w:t>
      </w:r>
      <w:r>
        <w:rPr>
          <w:rFonts w:hint="eastAsia" w:eastAsia="仿宋_GB2312"/>
          <w:color w:val="auto"/>
          <w:sz w:val="32"/>
          <w:szCs w:val="32"/>
          <w:highlight w:val="none"/>
          <w:lang w:val="en-US" w:eastAsia="zh-CN"/>
        </w:rPr>
        <w:t>温宿县育肥场固定监测站土地平整及门前绿化带整治支出、院外围墙基础保护散水支出、院墙内外的水泥路面支出</w:t>
      </w:r>
      <w:r>
        <w:rPr>
          <w:rFonts w:hint="eastAsia" w:ascii="仿宋_GB2312" w:hAnsi="仿宋_GB2312" w:eastAsia="仿宋_GB2312" w:cs="仿宋_GB2312"/>
          <w:color w:val="auto"/>
          <w:sz w:val="32"/>
          <w:szCs w:val="32"/>
          <w:highlight w:val="none"/>
          <w:lang w:val="en-US" w:eastAsia="zh-CN"/>
        </w:rPr>
        <w:t>。</w:t>
      </w:r>
    </w:p>
    <w:p w14:paraId="6B1F75D5">
      <w:pPr>
        <w:spacing w:line="560" w:lineRule="exact"/>
        <w:ind w:firstLine="643" w:firstLineChars="200"/>
        <w:rPr>
          <w:rFonts w:eastAsia="楷体_GB2312"/>
          <w:b/>
          <w:bCs/>
          <w:sz w:val="32"/>
          <w:szCs w:val="32"/>
        </w:rPr>
      </w:pPr>
      <w:r>
        <w:rPr>
          <w:rFonts w:eastAsia="楷体_GB2312"/>
          <w:b/>
          <w:bCs/>
          <w:sz w:val="32"/>
          <w:szCs w:val="32"/>
        </w:rPr>
        <w:t>（二）项目绩效目标</w:t>
      </w:r>
    </w:p>
    <w:p w14:paraId="731C0298">
      <w:pPr>
        <w:spacing w:line="560" w:lineRule="exact"/>
        <w:ind w:firstLine="640" w:firstLineChars="200"/>
        <w:rPr>
          <w:rFonts w:eastAsia="仿宋_GB2312"/>
          <w:sz w:val="32"/>
          <w:szCs w:val="32"/>
        </w:rPr>
      </w:pPr>
      <w:r>
        <w:rPr>
          <w:rFonts w:eastAsia="仿宋_GB2312"/>
          <w:sz w:val="32"/>
          <w:szCs w:val="32"/>
        </w:rPr>
        <w:t>1、总体目标</w:t>
      </w:r>
    </w:p>
    <w:p w14:paraId="283FB7A1">
      <w:pPr>
        <w:spacing w:line="560" w:lineRule="exact"/>
        <w:ind w:firstLine="640" w:firstLineChars="200"/>
        <w:rPr>
          <w:rFonts w:hint="eastAsia" w:eastAsia="黑体"/>
          <w:b w:val="0"/>
          <w:bCs/>
          <w:lang w:eastAsia="zh-CN"/>
        </w:rPr>
      </w:pPr>
      <w:r>
        <w:rPr>
          <w:rFonts w:hint="eastAsia" w:eastAsia="仿宋_GB2312"/>
          <w:sz w:val="32"/>
          <w:szCs w:val="32"/>
        </w:rPr>
        <w:t>围绕“管频谱资源、管无线电台（站）、管空中电波秩序，服务经济社会发展、服务国防建设、服务党政机关，突出做好重点无线电安全保障工作”的宗旨，为稳步推进无线电设备设施运行维护、重大活动无线电安全保障、航空及铁路无线电频率保护以及无线电干扰查处、无线电频率协调、考试保障等各项无线电专项监管工作的开展</w:t>
      </w:r>
      <w:r>
        <w:rPr>
          <w:rFonts w:hint="eastAsia" w:eastAsia="仿宋_GB2312"/>
          <w:sz w:val="32"/>
          <w:szCs w:val="32"/>
          <w:lang w:eastAsia="zh-CN"/>
        </w:rPr>
        <w:t>。</w:t>
      </w:r>
      <w:r>
        <w:rPr>
          <w:rFonts w:hint="eastAsia" w:eastAsia="仿宋_GB2312"/>
          <w:sz w:val="32"/>
          <w:szCs w:val="32"/>
        </w:rPr>
        <w:t>按照阿克苏温宿县柯柯牙镇政府对村道路建设的统一规划的有关要求，</w:t>
      </w:r>
      <w:r>
        <w:rPr>
          <w:rFonts w:hint="eastAsia" w:eastAsia="仿宋_GB2312"/>
          <w:sz w:val="32"/>
          <w:szCs w:val="32"/>
          <w:lang w:val="en-US" w:eastAsia="zh-CN"/>
        </w:rPr>
        <w:t>需</w:t>
      </w:r>
      <w:r>
        <w:rPr>
          <w:rFonts w:hint="eastAsia" w:eastAsia="仿宋_GB2312"/>
          <w:sz w:val="32"/>
          <w:szCs w:val="32"/>
        </w:rPr>
        <w:t>做好对温宿县育肥场固定监测站门前环境美化整治工作。保障项目质量和效益，助力经济社会发展，维护社会稳定和长治久安。</w:t>
      </w:r>
    </w:p>
    <w:p w14:paraId="2346C80A">
      <w:pPr>
        <w:spacing w:line="560" w:lineRule="exact"/>
        <w:ind w:firstLine="640" w:firstLineChars="200"/>
        <w:rPr>
          <w:rFonts w:hint="eastAsia" w:ascii="仿宋_GB2312" w:hAnsi="仿宋_GB2312" w:eastAsia="仿宋_GB2312" w:cs="仿宋_GB2312"/>
          <w:color w:val="FF0000"/>
          <w:sz w:val="30"/>
          <w:szCs w:val="30"/>
          <w:highlight w:val="none"/>
          <w:lang w:val="en-US" w:eastAsia="zh-CN"/>
        </w:rPr>
      </w:pPr>
      <w:r>
        <w:rPr>
          <w:rFonts w:eastAsia="仿宋_GB2312"/>
          <w:sz w:val="32"/>
          <w:szCs w:val="32"/>
        </w:rPr>
        <w:t>2、阶段性目标</w:t>
      </w:r>
    </w:p>
    <w:p w14:paraId="688366E1">
      <w:pPr>
        <w:spacing w:line="560" w:lineRule="exact"/>
        <w:ind w:firstLine="320" w:firstLineChars="100"/>
        <w:rPr>
          <w:rFonts w:eastAsia="仿宋_GB2312"/>
          <w:sz w:val="32"/>
          <w:szCs w:val="32"/>
        </w:rPr>
      </w:pPr>
      <w:r>
        <w:rPr>
          <w:rFonts w:eastAsia="仿宋_GB2312"/>
          <w:sz w:val="32"/>
          <w:szCs w:val="32"/>
        </w:rPr>
        <w:t>（1）前期准备：</w:t>
      </w:r>
      <w:r>
        <w:rPr>
          <w:rFonts w:hint="eastAsia" w:eastAsia="仿宋_GB2312"/>
          <w:sz w:val="32"/>
          <w:szCs w:val="32"/>
          <w:lang w:val="en-US" w:eastAsia="zh-CN"/>
        </w:rPr>
        <w:t>单位于</w:t>
      </w:r>
      <w:r>
        <w:rPr>
          <w:rFonts w:hint="eastAsia" w:eastAsia="仿宋_GB2312"/>
          <w:sz w:val="32"/>
          <w:szCs w:val="32"/>
          <w:lang w:val="zh-CN"/>
        </w:rPr>
        <w:t>202</w:t>
      </w:r>
      <w:r>
        <w:rPr>
          <w:rFonts w:hint="eastAsia" w:eastAsia="仿宋_GB2312"/>
          <w:sz w:val="32"/>
          <w:szCs w:val="32"/>
          <w:lang w:val="en-US" w:eastAsia="zh-CN"/>
        </w:rPr>
        <w:t>3</w:t>
      </w:r>
      <w:r>
        <w:rPr>
          <w:rFonts w:hint="eastAsia" w:eastAsia="仿宋_GB2312"/>
          <w:sz w:val="32"/>
          <w:szCs w:val="32"/>
          <w:lang w:val="zh-CN"/>
        </w:rPr>
        <w:t xml:space="preserve">年 </w:t>
      </w:r>
      <w:r>
        <w:rPr>
          <w:rFonts w:hint="eastAsia" w:eastAsia="仿宋_GB2312"/>
          <w:sz w:val="32"/>
          <w:szCs w:val="32"/>
          <w:lang w:val="en-US" w:eastAsia="zh-CN"/>
        </w:rPr>
        <w:t>4</w:t>
      </w:r>
      <w:r>
        <w:rPr>
          <w:rFonts w:hint="eastAsia" w:eastAsia="仿宋_GB2312"/>
          <w:sz w:val="32"/>
          <w:szCs w:val="32"/>
        </w:rPr>
        <w:t xml:space="preserve"> 月 </w:t>
      </w:r>
      <w:r>
        <w:rPr>
          <w:rFonts w:hint="eastAsia" w:eastAsia="仿宋_GB2312"/>
          <w:sz w:val="32"/>
          <w:szCs w:val="32"/>
          <w:lang w:val="en-US" w:eastAsia="zh-CN"/>
        </w:rPr>
        <w:t>5</w:t>
      </w:r>
      <w:r>
        <w:rPr>
          <w:rFonts w:hint="eastAsia" w:eastAsia="仿宋_GB2312"/>
          <w:sz w:val="32"/>
          <w:szCs w:val="32"/>
        </w:rPr>
        <w:t xml:space="preserve"> 日</w:t>
      </w:r>
      <w:r>
        <w:rPr>
          <w:rFonts w:hint="eastAsia" w:eastAsia="仿宋_GB2312"/>
          <w:sz w:val="32"/>
          <w:szCs w:val="32"/>
          <w:lang w:val="zh-CN"/>
        </w:rPr>
        <w:t>开始前期准备工作</w:t>
      </w:r>
      <w:r>
        <w:rPr>
          <w:rFonts w:hint="eastAsia" w:eastAsia="仿宋_GB2312"/>
          <w:sz w:val="32"/>
          <w:szCs w:val="32"/>
        </w:rPr>
        <w:t>。</w:t>
      </w:r>
      <w:r>
        <w:rPr>
          <w:rFonts w:hint="eastAsia" w:eastAsia="仿宋_GB2312"/>
          <w:sz w:val="32"/>
          <w:szCs w:val="32"/>
          <w:lang w:val="en-US" w:eastAsia="zh-CN"/>
        </w:rPr>
        <w:t>首先</w:t>
      </w:r>
      <w:r>
        <w:rPr>
          <w:rFonts w:hint="eastAsia" w:eastAsia="仿宋_GB2312"/>
          <w:sz w:val="32"/>
          <w:szCs w:val="32"/>
        </w:rPr>
        <w:t>开展前期调研</w:t>
      </w:r>
      <w:r>
        <w:rPr>
          <w:rFonts w:hint="eastAsia" w:eastAsia="仿宋_GB2312"/>
          <w:sz w:val="32"/>
          <w:szCs w:val="32"/>
          <w:lang w:eastAsia="zh-CN"/>
        </w:rPr>
        <w:t>；</w:t>
      </w:r>
      <w:r>
        <w:rPr>
          <w:rFonts w:hint="eastAsia" w:eastAsia="仿宋_GB2312"/>
          <w:sz w:val="32"/>
          <w:szCs w:val="32"/>
        </w:rPr>
        <w:t>其次明确项目绩效目标，设</w:t>
      </w:r>
      <w:r>
        <w:rPr>
          <w:rFonts w:hint="eastAsia" w:eastAsia="仿宋_GB2312"/>
          <w:sz w:val="32"/>
          <w:szCs w:val="32"/>
          <w:lang w:val="en-US" w:eastAsia="zh-CN"/>
        </w:rPr>
        <w:t>定</w:t>
      </w:r>
      <w:r>
        <w:rPr>
          <w:rFonts w:hint="eastAsia" w:eastAsia="仿宋_GB2312"/>
          <w:sz w:val="32"/>
          <w:szCs w:val="32"/>
        </w:rPr>
        <w:t>绩效评价指标体系并确定绩效评价方法；接着确定现场和非现场评价范围；最后</w:t>
      </w:r>
      <w:r>
        <w:rPr>
          <w:rFonts w:eastAsia="仿宋_GB2312"/>
          <w:sz w:val="32"/>
          <w:szCs w:val="32"/>
        </w:rPr>
        <w:t>通过制定项目实施方案，经项目负责人审核通过后，有序开展后续工作。</w:t>
      </w:r>
    </w:p>
    <w:p w14:paraId="6A3F7A27">
      <w:pPr>
        <w:spacing w:line="560" w:lineRule="exact"/>
        <w:ind w:firstLine="320" w:firstLineChars="100"/>
        <w:rPr>
          <w:rFonts w:hint="eastAsia" w:eastAsia="黑体"/>
          <w:b w:val="0"/>
          <w:bCs/>
          <w:lang w:eastAsia="zh-CN"/>
        </w:rPr>
      </w:pPr>
      <w:r>
        <w:rPr>
          <w:rFonts w:eastAsia="仿宋_GB2312"/>
          <w:sz w:val="32"/>
          <w:szCs w:val="32"/>
        </w:rPr>
        <w:t>（2）组织实施：</w:t>
      </w:r>
      <w:r>
        <w:rPr>
          <w:rFonts w:hint="eastAsia" w:eastAsia="仿宋_GB2312"/>
          <w:sz w:val="32"/>
          <w:szCs w:val="32"/>
          <w:lang w:eastAsia="zh-CN"/>
        </w:rPr>
        <w:t>202</w:t>
      </w:r>
      <w:r>
        <w:rPr>
          <w:rFonts w:hint="eastAsia" w:eastAsia="仿宋_GB2312"/>
          <w:sz w:val="32"/>
          <w:szCs w:val="32"/>
          <w:lang w:val="en-US" w:eastAsia="zh-CN"/>
        </w:rPr>
        <w:t>3</w:t>
      </w:r>
      <w:r>
        <w:rPr>
          <w:rFonts w:hint="eastAsia" w:eastAsia="仿宋_GB2312"/>
          <w:sz w:val="32"/>
          <w:szCs w:val="32"/>
          <w:lang w:eastAsia="zh-CN"/>
        </w:rPr>
        <w:t xml:space="preserve">年 </w:t>
      </w:r>
      <w:r>
        <w:rPr>
          <w:rFonts w:hint="eastAsia" w:eastAsia="仿宋_GB2312"/>
          <w:sz w:val="32"/>
          <w:szCs w:val="32"/>
          <w:lang w:val="en-US" w:eastAsia="zh-CN"/>
        </w:rPr>
        <w:t>7</w:t>
      </w:r>
      <w:r>
        <w:rPr>
          <w:rFonts w:hint="eastAsia" w:eastAsia="仿宋_GB2312"/>
          <w:sz w:val="32"/>
          <w:szCs w:val="32"/>
          <w:lang w:eastAsia="zh-CN"/>
        </w:rPr>
        <w:t xml:space="preserve"> 月 </w:t>
      </w:r>
      <w:r>
        <w:rPr>
          <w:rFonts w:hint="eastAsia" w:eastAsia="仿宋_GB2312"/>
          <w:sz w:val="32"/>
          <w:szCs w:val="32"/>
          <w:lang w:val="en-US" w:eastAsia="zh-CN"/>
        </w:rPr>
        <w:t>10</w:t>
      </w:r>
      <w:r>
        <w:rPr>
          <w:rFonts w:hint="eastAsia" w:eastAsia="仿宋_GB2312"/>
          <w:sz w:val="32"/>
          <w:szCs w:val="32"/>
          <w:lang w:eastAsia="zh-CN"/>
        </w:rPr>
        <w:t xml:space="preserve"> 日</w:t>
      </w:r>
      <w:r>
        <w:rPr>
          <w:rFonts w:hint="eastAsia" w:eastAsia="仿宋_GB2312"/>
          <w:sz w:val="32"/>
          <w:szCs w:val="32"/>
          <w:lang w:val="en-US" w:eastAsia="zh-CN"/>
        </w:rPr>
        <w:t>- 10</w:t>
      </w:r>
      <w:r>
        <w:rPr>
          <w:rFonts w:hint="eastAsia" w:eastAsia="仿宋_GB2312"/>
          <w:sz w:val="32"/>
          <w:szCs w:val="32"/>
          <w:lang w:eastAsia="zh-CN"/>
        </w:rPr>
        <w:t>月</w:t>
      </w:r>
      <w:r>
        <w:rPr>
          <w:rFonts w:hint="eastAsia" w:eastAsia="仿宋_GB2312"/>
          <w:sz w:val="32"/>
          <w:szCs w:val="32"/>
          <w:lang w:val="en-US" w:eastAsia="zh-CN"/>
        </w:rPr>
        <w:t>23</w:t>
      </w:r>
      <w:r>
        <w:rPr>
          <w:rFonts w:hint="eastAsia" w:eastAsia="仿宋_GB2312"/>
          <w:sz w:val="32"/>
          <w:szCs w:val="32"/>
          <w:lang w:eastAsia="zh-CN"/>
        </w:rPr>
        <w:t>日</w:t>
      </w:r>
      <w:r>
        <w:rPr>
          <w:rFonts w:hint="eastAsia" w:eastAsia="仿宋_GB2312"/>
          <w:sz w:val="32"/>
          <w:szCs w:val="32"/>
          <w:lang w:val="en-US" w:eastAsia="zh-CN"/>
        </w:rPr>
        <w:t>期间</w:t>
      </w:r>
      <w:r>
        <w:rPr>
          <w:rFonts w:hint="eastAsia" w:eastAsia="仿宋_GB2312"/>
          <w:sz w:val="32"/>
          <w:szCs w:val="32"/>
          <w:lang w:eastAsia="zh-CN"/>
        </w:rPr>
        <w:t>，安排专人</w:t>
      </w:r>
      <w:r>
        <w:rPr>
          <w:rFonts w:eastAsia="仿宋_GB2312"/>
          <w:sz w:val="32"/>
          <w:szCs w:val="32"/>
        </w:rPr>
        <w:t>根据项目要求</w:t>
      </w:r>
      <w:r>
        <w:rPr>
          <w:rFonts w:hint="eastAsia" w:eastAsia="仿宋_GB2312"/>
          <w:sz w:val="32"/>
          <w:szCs w:val="32"/>
          <w:lang w:eastAsia="zh-CN"/>
        </w:rPr>
        <w:t>组织实施项目前期各种手续，</w:t>
      </w:r>
      <w:r>
        <w:rPr>
          <w:rFonts w:eastAsia="仿宋_GB2312"/>
          <w:sz w:val="32"/>
          <w:szCs w:val="32"/>
        </w:rPr>
        <w:t>项目责任人按照项目实施方案要求逐一进行项目部署安排，</w:t>
      </w:r>
      <w:r>
        <w:rPr>
          <w:rFonts w:hint="eastAsia" w:eastAsia="仿宋_GB2312"/>
          <w:sz w:val="32"/>
          <w:szCs w:val="32"/>
          <w:lang w:eastAsia="zh-CN"/>
        </w:rPr>
        <w:t>制定绩效评价工作方案，具体包括项目概况、评价思路、方法手段、组织实施、进度安排等。收集项目立项依据、相关会议纪要、实施方案、资金分配方案、支付管理情况等，以</w:t>
      </w:r>
      <w:r>
        <w:rPr>
          <w:rFonts w:eastAsia="仿宋_GB2312"/>
          <w:sz w:val="32"/>
          <w:szCs w:val="32"/>
        </w:rPr>
        <w:t>提高项目质量及效率性。</w:t>
      </w:r>
    </w:p>
    <w:p w14:paraId="3299B032">
      <w:pPr>
        <w:spacing w:line="560" w:lineRule="exact"/>
        <w:ind w:firstLine="640" w:firstLineChars="200"/>
        <w:rPr>
          <w:rFonts w:eastAsia="黑体"/>
          <w:sz w:val="32"/>
          <w:szCs w:val="32"/>
        </w:rPr>
      </w:pPr>
      <w:r>
        <w:rPr>
          <w:rFonts w:eastAsia="黑体"/>
          <w:sz w:val="32"/>
          <w:szCs w:val="32"/>
        </w:rPr>
        <w:t>二、绩效评价工作开展情况</w:t>
      </w:r>
    </w:p>
    <w:p w14:paraId="61526E0D">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4367AD30">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14:paraId="116B758B">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0A29C6F0">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2C10C08B">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14:paraId="15599953">
      <w:pPr>
        <w:pStyle w:val="18"/>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1E9C7800">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14:paraId="2622C29B">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温宿县育肥场固定监测站门前环境</w:t>
      </w:r>
      <w:r>
        <w:rPr>
          <w:rFonts w:hint="eastAsia" w:ascii="仿宋_GB2312" w:hAnsi="仿宋_GB2312" w:eastAsia="仿宋_GB2312" w:cs="仿宋_GB2312"/>
          <w:sz w:val="32"/>
          <w:szCs w:val="32"/>
          <w:lang w:val="en-US" w:eastAsia="zh-CN"/>
        </w:rPr>
        <w:t>整治</w:t>
      </w:r>
      <w:r>
        <w:rPr>
          <w:rFonts w:hint="eastAsia" w:ascii="仿宋_GB2312" w:hAnsi="仿宋_GB2312" w:eastAsia="仿宋_GB2312" w:cs="仿宋_GB2312"/>
          <w:sz w:val="32"/>
          <w:szCs w:val="32"/>
        </w:rPr>
        <w:t>项目所包含的全部项目内容。</w:t>
      </w:r>
    </w:p>
    <w:p w14:paraId="613674BD">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14:paraId="5EE485EA">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温宿县育肥场固定监测站门前环境</w:t>
      </w:r>
      <w:r>
        <w:rPr>
          <w:rFonts w:hint="eastAsia" w:ascii="仿宋_GB2312" w:hAnsi="仿宋_GB2312" w:eastAsia="仿宋_GB2312" w:cs="仿宋_GB2312"/>
          <w:sz w:val="32"/>
          <w:szCs w:val="32"/>
          <w:lang w:val="en-US" w:eastAsia="zh-CN"/>
        </w:rPr>
        <w:t>整治</w:t>
      </w:r>
      <w:r>
        <w:rPr>
          <w:rFonts w:hint="eastAsia" w:ascii="仿宋_GB2312" w:hAnsi="仿宋_GB2312" w:eastAsia="仿宋_GB2312" w:cs="仿宋_GB2312"/>
          <w:sz w:val="32"/>
          <w:szCs w:val="32"/>
        </w:rPr>
        <w:t>项目进行评价，评价核心为专项资金的支出完成情况和效果。</w:t>
      </w:r>
    </w:p>
    <w:p w14:paraId="59A1A696">
      <w:pPr>
        <w:spacing w:line="560" w:lineRule="exact"/>
        <w:ind w:firstLine="643" w:firstLineChars="200"/>
      </w:pPr>
      <w:r>
        <w:rPr>
          <w:rFonts w:eastAsia="楷体_GB2312"/>
          <w:b/>
          <w:bCs/>
          <w:sz w:val="32"/>
          <w:szCs w:val="32"/>
        </w:rPr>
        <w:t>（二）绩效评价原则、评价指标体系（详情见表1）、评价方法、评价标准。</w:t>
      </w:r>
    </w:p>
    <w:p w14:paraId="1EC921B5">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14:paraId="346DC3E4">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2850D3E6">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47720511">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560DB3B2">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12DA9207">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6209680F">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14:paraId="0F15B40B">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6D95EA39">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7925AD9A">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195505A2">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33087B5B">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43DA4FE9">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4729EC9C">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051B6D0C">
      <w:pPr>
        <w:pStyle w:val="9"/>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3F41F601">
      <w:pPr>
        <w:pStyle w:val="9"/>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3EC2374D">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51C8DDDE">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7FE75670">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28AA03B8">
      <w:pPr>
        <w:spacing w:line="560" w:lineRule="exact"/>
        <w:ind w:firstLine="708" w:firstLineChars="200"/>
        <w:rPr>
          <w:rFonts w:hint="eastAsia" w:eastAsia="仿宋_GB2312"/>
          <w:color w:val="000000"/>
          <w:spacing w:val="17"/>
          <w:sz w:val="32"/>
          <w:szCs w:val="32"/>
          <w:lang w:eastAsia="zh-CN"/>
        </w:rPr>
      </w:pPr>
      <w:r>
        <w:rPr>
          <w:rFonts w:hint="eastAsia" w:eastAsia="仿宋_GB2312"/>
          <w:color w:val="000000"/>
          <w:spacing w:val="17"/>
          <w:sz w:val="32"/>
          <w:szCs w:val="32"/>
        </w:rPr>
        <w:t>绩效评价方法主要包括成本效益分析法、比较法、因素分析法、最低成本法、公众评判法、标杆管理法等。</w:t>
      </w:r>
      <w:r>
        <w:rPr>
          <w:rFonts w:hint="eastAsia" w:eastAsia="仿宋_GB2312"/>
          <w:color w:val="000000"/>
          <w:spacing w:val="17"/>
          <w:sz w:val="32"/>
          <w:szCs w:val="32"/>
          <w:lang w:val="en-US" w:eastAsia="zh-CN"/>
        </w:rPr>
        <w:t>单位</w:t>
      </w:r>
      <w:r>
        <w:rPr>
          <w:rFonts w:hint="eastAsia" w:eastAsia="仿宋_GB2312"/>
          <w:color w:val="000000"/>
          <w:spacing w:val="17"/>
          <w:sz w:val="32"/>
          <w:szCs w:val="32"/>
        </w:rPr>
        <w:t>针对本项目，在评价过程中主要采用了定量和定性相结合的比较法，本次专项资金绩效评价过程中，评价组将各指标的实际完成值与绩效目标进行对比分析，考察分析绩效目标的完成情况及实现程度和效果，总得分由各分项指标得分汇总而成</w:t>
      </w:r>
      <w:r>
        <w:rPr>
          <w:rFonts w:hint="eastAsia" w:eastAsia="仿宋_GB2312"/>
          <w:color w:val="000000"/>
          <w:spacing w:val="17"/>
          <w:sz w:val="32"/>
          <w:szCs w:val="32"/>
          <w:lang w:eastAsia="zh-CN"/>
        </w:rPr>
        <w:t>。</w:t>
      </w:r>
    </w:p>
    <w:p w14:paraId="3F52670E">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5AE30040">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绩效评价标准通常包括计划标准、行业标准、历史标准等，用于对绩效指标完成情况进行比较、分析、评价。本次评价主要采用了</w:t>
      </w:r>
      <w:r>
        <w:rPr>
          <w:rFonts w:hint="eastAsia" w:eastAsia="仿宋_GB2312"/>
          <w:color w:val="000000"/>
          <w:spacing w:val="17"/>
          <w:sz w:val="32"/>
          <w:szCs w:val="32"/>
          <w:lang w:val="en-US" w:eastAsia="zh-CN"/>
        </w:rPr>
        <w:t>计划</w:t>
      </w:r>
      <w:r>
        <w:rPr>
          <w:rFonts w:hint="eastAsia" w:eastAsia="仿宋_GB2312"/>
          <w:color w:val="auto"/>
          <w:spacing w:val="17"/>
          <w:sz w:val="32"/>
          <w:szCs w:val="32"/>
        </w:rPr>
        <w:t>标准</w:t>
      </w:r>
      <w:r>
        <w:rPr>
          <w:rFonts w:hint="eastAsia" w:eastAsia="仿宋_GB2312"/>
          <w:color w:val="000000"/>
          <w:spacing w:val="17"/>
          <w:sz w:val="32"/>
          <w:szCs w:val="32"/>
        </w:rPr>
        <w:t>。</w:t>
      </w:r>
    </w:p>
    <w:p w14:paraId="366F6E2E">
      <w:pPr>
        <w:spacing w:line="560" w:lineRule="exact"/>
        <w:ind w:firstLine="640"/>
        <w:rPr>
          <w:rFonts w:hint="eastAsia" w:eastAsia="方正仿宋_GBK" w:cs="方正仿宋_GBK"/>
          <w:b/>
          <w:bCs/>
          <w:color w:val="FF0000"/>
          <w:sz w:val="32"/>
          <w:szCs w:val="32"/>
        </w:rPr>
      </w:pPr>
      <w:bookmarkStart w:id="0" w:name="_Toc17882"/>
      <w:bookmarkStart w:id="1" w:name="_Toc31464"/>
      <w:r>
        <w:rPr>
          <w:rFonts w:hint="eastAsia" w:eastAsia="仿宋_GB2312"/>
          <w:color w:val="000000"/>
          <w:spacing w:val="17"/>
          <w:sz w:val="32"/>
          <w:szCs w:val="32"/>
        </w:rPr>
        <w:t>温宿县育肥场固定监测站门前环境项目绩效评价</w:t>
      </w:r>
      <w:r>
        <w:rPr>
          <w:rFonts w:hint="eastAsia" w:eastAsia="仿宋_GB2312"/>
          <w:color w:val="000000"/>
          <w:spacing w:val="17"/>
          <w:sz w:val="32"/>
          <w:szCs w:val="32"/>
          <w:lang w:eastAsia="zh-CN"/>
        </w:rPr>
        <w:t>，</w:t>
      </w:r>
      <w:r>
        <w:rPr>
          <w:rFonts w:hint="eastAsia" w:eastAsia="仿宋_GB2312"/>
          <w:color w:val="000000"/>
          <w:spacing w:val="17"/>
          <w:sz w:val="32"/>
          <w:szCs w:val="32"/>
        </w:rPr>
        <w:t>采用了</w:t>
      </w:r>
      <w:r>
        <w:rPr>
          <w:rFonts w:hint="eastAsia" w:eastAsia="仿宋_GB2312"/>
          <w:color w:val="000000"/>
          <w:spacing w:val="17"/>
          <w:sz w:val="32"/>
          <w:szCs w:val="32"/>
          <w:lang w:val="en-US" w:eastAsia="zh-CN"/>
        </w:rPr>
        <w:t>计划</w:t>
      </w:r>
      <w:r>
        <w:rPr>
          <w:rFonts w:hint="eastAsia" w:eastAsia="仿宋_GB2312"/>
          <w:color w:val="auto"/>
          <w:spacing w:val="17"/>
          <w:sz w:val="32"/>
          <w:szCs w:val="32"/>
        </w:rPr>
        <w:t>标准</w:t>
      </w:r>
      <w:r>
        <w:rPr>
          <w:rFonts w:hint="eastAsia" w:eastAsia="仿宋_GB2312"/>
          <w:color w:val="000000"/>
          <w:spacing w:val="17"/>
          <w:sz w:val="32"/>
          <w:szCs w:val="32"/>
        </w:rPr>
        <w:t>的方法进行自评，按年初预算制定的目标、计划、预算、定额等作为绩效评价的标准。</w:t>
      </w:r>
    </w:p>
    <w:bookmarkEnd w:id="0"/>
    <w:bookmarkEnd w:id="1"/>
    <w:p w14:paraId="6F63B174">
      <w:pPr>
        <w:pStyle w:val="9"/>
        <w:numPr>
          <w:ilvl w:val="0"/>
          <w:numId w:val="3"/>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462404F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1.</w:t>
      </w: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6A86390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02B3A35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3BBEE3EE">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14:paraId="2757F0DA">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564E2593">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0CE147EC">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14:paraId="2454F461">
      <w:pPr>
        <w:pStyle w:val="9"/>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color w:val="auto"/>
          <w:highlight w:val="none"/>
        </w:rPr>
        <w:t xml:space="preserve">总得分为 </w:t>
      </w:r>
      <w:r>
        <w:rPr>
          <w:rFonts w:hint="eastAsia" w:ascii="Times New Roman" w:hAnsi="Times New Roman" w:eastAsia="仿宋_GB2312"/>
          <w:b w:val="0"/>
          <w:bCs w:val="0"/>
          <w:color w:val="auto"/>
          <w:highlight w:val="none"/>
          <w:lang w:val="en-US" w:eastAsia="zh-CN"/>
        </w:rPr>
        <w:t>95.32</w:t>
      </w:r>
      <w:r>
        <w:rPr>
          <w:rFonts w:hint="eastAsia" w:ascii="Times New Roman" w:hAnsi="Times New Roman" w:eastAsia="仿宋_GB2312"/>
          <w:b w:val="0"/>
          <w:bCs w:val="0"/>
          <w:color w:val="auto"/>
          <w:highlight w:val="none"/>
        </w:rPr>
        <w:t xml:space="preserve">分，属于“优”。其中，项目决策类指标权重为20分，得分为 </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%。项目过程类指标权重为20分，得分为</w:t>
      </w:r>
      <w:r>
        <w:rPr>
          <w:rFonts w:hint="eastAsia" w:ascii="Times New Roman" w:hAnsi="Times New Roman" w:eastAsia="仿宋_GB2312"/>
          <w:b w:val="0"/>
          <w:bCs w:val="0"/>
          <w:color w:val="auto"/>
          <w:highlight w:val="none"/>
          <w:lang w:val="en-US" w:eastAsia="zh-CN"/>
        </w:rPr>
        <w:t>19.92</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99.6</w:t>
      </w:r>
      <w:r>
        <w:rPr>
          <w:rFonts w:hint="eastAsia" w:ascii="Times New Roman" w:hAnsi="Times New Roman" w:eastAsia="仿宋_GB2312"/>
          <w:b w:val="0"/>
          <w:bCs w:val="0"/>
          <w:color w:val="auto"/>
          <w:highlight w:val="none"/>
        </w:rPr>
        <w:t>%。项目产出类指标权重为40分，得分为</w:t>
      </w:r>
      <w:r>
        <w:rPr>
          <w:rFonts w:hint="eastAsia" w:ascii="Times New Roman" w:hAnsi="Times New Roman" w:eastAsia="仿宋_GB2312"/>
          <w:b w:val="0"/>
          <w:bCs w:val="0"/>
          <w:color w:val="auto"/>
          <w:highlight w:val="none"/>
          <w:lang w:val="en-US" w:eastAsia="zh-CN"/>
        </w:rPr>
        <w:t>35.40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88.5</w:t>
      </w:r>
      <w:r>
        <w:rPr>
          <w:rFonts w:hint="eastAsia" w:ascii="Times New Roman" w:hAnsi="Times New Roman" w:eastAsia="仿宋_GB2312"/>
          <w:b w:val="0"/>
          <w:bCs w:val="0"/>
          <w:color w:val="auto"/>
          <w:highlight w:val="none"/>
        </w:rPr>
        <w:t>%。项目效益类指标权重为20分，得分为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%。具</w:t>
      </w:r>
      <w:r>
        <w:rPr>
          <w:rFonts w:hint="eastAsia" w:ascii="Times New Roman" w:hAnsi="Times New Roman" w:eastAsia="仿宋_GB2312"/>
          <w:b w:val="0"/>
          <w:bCs w:val="0"/>
        </w:rPr>
        <w:t>体打分情况详见：附件1综合评分表</w:t>
      </w:r>
      <w:r>
        <w:rPr>
          <w:rFonts w:hint="eastAsia" w:ascii="Times New Roman" w:hAnsi="Times New Roman" w:eastAsia="仿宋_GB2312"/>
          <w:b w:val="0"/>
          <w:bCs w:val="0"/>
          <w:lang w:eastAsia="zh-CN"/>
        </w:rPr>
        <w:t>。</w:t>
      </w:r>
    </w:p>
    <w:p w14:paraId="4AE4D6AB">
      <w:pPr>
        <w:pStyle w:val="9"/>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14:paraId="21B9B6A4">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1D5F9F00">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984222C">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3871A84">
            <w:pPr>
              <w:jc w:val="center"/>
              <w:rPr>
                <w:b/>
                <w:bCs/>
                <w:color w:val="000000"/>
                <w:sz w:val="22"/>
              </w:rPr>
            </w:pPr>
            <w:r>
              <w:rPr>
                <w:rFonts w:hint="eastAsia"/>
                <w:b/>
                <w:bCs/>
                <w:color w:val="000000"/>
                <w:sz w:val="22"/>
              </w:rPr>
              <w:t>得分</w:t>
            </w:r>
          </w:p>
        </w:tc>
      </w:tr>
      <w:tr w14:paraId="55261BD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509FCA5">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3355CEAF">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1D3CCAB6">
            <w:pPr>
              <w:jc w:val="center"/>
              <w:rPr>
                <w:rFonts w:hint="default" w:eastAsia="宋体"/>
                <w:color w:val="000000"/>
                <w:sz w:val="22"/>
                <w:lang w:val="en-US" w:eastAsia="zh-CN"/>
              </w:rPr>
            </w:pPr>
            <w:r>
              <w:rPr>
                <w:rFonts w:hint="eastAsia"/>
                <w:color w:val="000000"/>
                <w:sz w:val="22"/>
                <w:lang w:val="en-US" w:eastAsia="zh-CN"/>
              </w:rPr>
              <w:t>20</w:t>
            </w:r>
          </w:p>
        </w:tc>
      </w:tr>
      <w:tr w14:paraId="1EA01EA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E7F77FE">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341355D8">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A173BC4">
            <w:pPr>
              <w:jc w:val="center"/>
              <w:rPr>
                <w:rFonts w:hint="default" w:eastAsia="宋体"/>
                <w:color w:val="000000"/>
                <w:sz w:val="22"/>
                <w:lang w:val="en-US" w:eastAsia="zh-CN"/>
              </w:rPr>
            </w:pPr>
            <w:r>
              <w:rPr>
                <w:rFonts w:hint="eastAsia"/>
                <w:color w:val="000000"/>
                <w:sz w:val="22"/>
                <w:lang w:val="en-US" w:eastAsia="zh-CN"/>
              </w:rPr>
              <w:t>19.92</w:t>
            </w:r>
          </w:p>
        </w:tc>
      </w:tr>
      <w:tr w14:paraId="2370323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3F4636D">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0D6B7A9B">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370AA26D">
            <w:pPr>
              <w:jc w:val="center"/>
              <w:rPr>
                <w:rFonts w:hint="default" w:eastAsia="宋体"/>
                <w:color w:val="000000"/>
                <w:sz w:val="22"/>
                <w:lang w:val="en-US" w:eastAsia="zh-CN"/>
              </w:rPr>
            </w:pPr>
            <w:r>
              <w:rPr>
                <w:rFonts w:hint="eastAsia"/>
                <w:color w:val="000000"/>
                <w:sz w:val="22"/>
                <w:lang w:val="en-US" w:eastAsia="zh-CN"/>
              </w:rPr>
              <w:t>35.40</w:t>
            </w:r>
          </w:p>
        </w:tc>
      </w:tr>
      <w:tr w14:paraId="13B1D96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A4C5207">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033FF9EF">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7F82D3B">
            <w:pPr>
              <w:jc w:val="center"/>
              <w:rPr>
                <w:rFonts w:hint="default" w:eastAsia="宋体"/>
                <w:color w:val="000000"/>
                <w:sz w:val="22"/>
                <w:lang w:val="en-US" w:eastAsia="zh-CN"/>
              </w:rPr>
            </w:pPr>
            <w:r>
              <w:rPr>
                <w:rFonts w:hint="eastAsia"/>
                <w:color w:val="000000"/>
                <w:sz w:val="22"/>
                <w:lang w:val="en-US" w:eastAsia="zh-CN"/>
              </w:rPr>
              <w:t>20</w:t>
            </w:r>
          </w:p>
        </w:tc>
      </w:tr>
      <w:tr w14:paraId="40E342B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BD63C64">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5196A2D7">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79A3C162">
            <w:pPr>
              <w:jc w:val="center"/>
              <w:rPr>
                <w:rFonts w:hint="default" w:eastAsia="宋体"/>
                <w:b/>
                <w:bCs/>
                <w:color w:val="000000"/>
                <w:sz w:val="22"/>
                <w:lang w:val="en-US" w:eastAsia="zh-CN"/>
              </w:rPr>
            </w:pPr>
            <w:r>
              <w:rPr>
                <w:rFonts w:hint="eastAsia"/>
                <w:b/>
                <w:bCs/>
                <w:color w:val="000000"/>
                <w:sz w:val="22"/>
                <w:lang w:val="en-US" w:eastAsia="zh-CN"/>
              </w:rPr>
              <w:t>95.32</w:t>
            </w:r>
          </w:p>
        </w:tc>
      </w:tr>
    </w:tbl>
    <w:p w14:paraId="5D4A31ED">
      <w:pPr>
        <w:spacing w:line="560" w:lineRule="exact"/>
        <w:ind w:firstLine="640" w:firstLineChars="200"/>
        <w:rPr>
          <w:rFonts w:eastAsia="黑体"/>
          <w:sz w:val="32"/>
          <w:szCs w:val="32"/>
        </w:rPr>
      </w:pPr>
      <w:r>
        <w:rPr>
          <w:rFonts w:eastAsia="黑体"/>
          <w:sz w:val="32"/>
          <w:szCs w:val="32"/>
        </w:rPr>
        <w:t>四、绩效评价指标分析</w:t>
      </w:r>
    </w:p>
    <w:p w14:paraId="0B77619D">
      <w:pPr>
        <w:pStyle w:val="9"/>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47068EBF">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14:paraId="747EBC3F">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14:paraId="4DD7590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4A2E72E5">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387B5475">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645ADED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w:t>
      </w:r>
      <w:r>
        <w:rPr>
          <w:rFonts w:hint="eastAsia" w:ascii="仿宋_GB2312" w:hAnsi="仿宋_GB2312" w:eastAsia="仿宋_GB2312" w:cs="仿宋_GB2312"/>
          <w:color w:val="auto"/>
          <w:sz w:val="32"/>
          <w:szCs w:val="32"/>
          <w:lang w:val="en-US" w:eastAsia="zh-CN"/>
        </w:rPr>
        <w:t>风险评估、绩效评估、集体决策</w:t>
      </w:r>
      <w:r>
        <w:rPr>
          <w:rFonts w:hint="eastAsia" w:ascii="仿宋_GB2312" w:hAnsi="仿宋_GB2312" w:eastAsia="仿宋_GB2312" w:cs="仿宋_GB2312"/>
          <w:sz w:val="32"/>
          <w:szCs w:val="32"/>
          <w:lang w:val="en-US" w:eastAsia="zh-CN"/>
        </w:rPr>
        <w:t>，保障了程序的规范性。</w:t>
      </w:r>
    </w:p>
    <w:p w14:paraId="108BE6C9">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1900985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383997FC">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7A2CEBA5">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3149355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738A8049">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7BF43515">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49D9B1A6">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347E2A5C">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309C8D2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6AD0B0E0">
      <w:pPr>
        <w:pStyle w:val="9"/>
        <w:numPr>
          <w:ilvl w:val="0"/>
          <w:numId w:val="5"/>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14:paraId="1C39E822">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color w:val="auto"/>
          <w:sz w:val="32"/>
          <w:szCs w:val="32"/>
          <w:highlight w:val="none"/>
          <w:lang w:val="en-US" w:eastAsia="zh-CN"/>
        </w:rPr>
        <w:t>实际得分19.92分，得分率为99.6%。</w:t>
      </w:r>
    </w:p>
    <w:p w14:paraId="3379B9D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105267D0">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14:paraId="73A3040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1B5422A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color w:val="auto"/>
          <w:sz w:val="32"/>
          <w:szCs w:val="32"/>
          <w:highlight w:val="none"/>
          <w:lang w:val="en-US" w:eastAsia="zh-CN"/>
        </w:rPr>
        <w:t>总投资5.32万元，非财政财政资金及时足额到位，到位率100%，预算</w:t>
      </w:r>
      <w:r>
        <w:rPr>
          <w:rFonts w:hint="eastAsia" w:ascii="仿宋_GB2312" w:hAnsi="仿宋_GB2312" w:eastAsia="仿宋_GB2312" w:cs="仿宋_GB2312"/>
          <w:sz w:val="32"/>
          <w:szCs w:val="32"/>
          <w:lang w:val="en-US" w:eastAsia="zh-CN"/>
        </w:rPr>
        <w:t>资金按计划进度执行。</w:t>
      </w:r>
    </w:p>
    <w:p w14:paraId="5587AEE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14:paraId="4CB2FD1E">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预算资金支出5.21万元，预算执行率为97.93%，项目已完成。</w:t>
      </w:r>
    </w:p>
    <w:p w14:paraId="5ABF25DE">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4C97831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75DF7FAD">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58A3FEBF">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791C8CA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4A17803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3969B9C8">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62873F64">
      <w:pPr>
        <w:pStyle w:val="11"/>
        <w:numPr>
          <w:ilvl w:val="0"/>
          <w:numId w:val="5"/>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lang w:val="en-US" w:eastAsia="zh-CN"/>
        </w:rPr>
        <w:t>情况</w:t>
      </w:r>
    </w:p>
    <w:p w14:paraId="6A90C5AE">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eastAsia="仿宋_GB2312" w:cs="仿宋_GB2312"/>
          <w:color w:val="auto"/>
          <w:sz w:val="32"/>
          <w:szCs w:val="32"/>
          <w:highlight w:val="none"/>
          <w:lang w:val="en-US" w:eastAsia="zh-CN"/>
        </w:rPr>
        <w:t>4个三级指标构成，权重分为40分，实际得分35.40分，得分率为88.5%。</w:t>
      </w:r>
      <w:r>
        <w:rPr>
          <w:rFonts w:hint="eastAsia" w:ascii="仿宋_GB2312" w:hAnsi="仿宋_GB2312" w:eastAsia="仿宋_GB2312" w:cs="仿宋_GB2312"/>
          <w:sz w:val="32"/>
          <w:szCs w:val="32"/>
          <w:lang w:val="en-US" w:eastAsia="zh-CN"/>
        </w:rPr>
        <w:t>具体产出指标完成情况如下：</w:t>
      </w:r>
    </w:p>
    <w:p w14:paraId="25CA2EE6">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58AD2646">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val="en-US" w:eastAsia="zh-CN"/>
        </w:rPr>
        <w:t>土地平整及绿化面积，指标值：大于等于220平米，实际完成值：200平米，</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90.91%，偏差率9.09%，</w:t>
      </w:r>
      <w:r>
        <w:rPr>
          <w:rFonts w:hint="eastAsia" w:ascii="仿宋_GB2312" w:hAnsi="仿宋_GB2312" w:eastAsia="仿宋_GB2312" w:cs="仿宋_GB2312"/>
          <w:sz w:val="32"/>
          <w:szCs w:val="32"/>
          <w:highlight w:val="none"/>
          <w:lang w:eastAsia="zh-CN"/>
        </w:rPr>
        <w:t>偏差原因：因年初设置目标时，对年度指标值测算的不够精确，在施工时按现场实际情况对施工面积做了适当调整，导致执行面积</w:t>
      </w:r>
      <w:r>
        <w:rPr>
          <w:rFonts w:hint="eastAsia" w:ascii="仿宋_GB2312" w:hAnsi="仿宋_GB2312" w:eastAsia="仿宋_GB2312" w:cs="仿宋_GB2312"/>
          <w:sz w:val="32"/>
          <w:szCs w:val="32"/>
          <w:highlight w:val="none"/>
          <w:lang w:val="en-US" w:eastAsia="zh-CN"/>
        </w:rPr>
        <w:t>小</w:t>
      </w:r>
      <w:r>
        <w:rPr>
          <w:rFonts w:hint="eastAsia" w:ascii="仿宋_GB2312" w:hAnsi="仿宋_GB2312" w:eastAsia="仿宋_GB2312" w:cs="仿宋_GB2312"/>
          <w:sz w:val="32"/>
          <w:szCs w:val="32"/>
          <w:highlight w:val="none"/>
          <w:lang w:eastAsia="zh-CN"/>
        </w:rPr>
        <w:t>于预算面积。</w:t>
      </w:r>
    </w:p>
    <w:p w14:paraId="0AAE6F55">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院外围墙基础保护散水面积，指标值：大于等于50平米，实际完成值：120平米，指标完成率240%，偏差率140%，偏差原因：因年初设置目标时，对年度指标值测算的不够精确，在施工时按现场实际情况对施工面积做了适当调整，导致执行面积大于预算面积。</w:t>
      </w:r>
    </w:p>
    <w:p w14:paraId="0270F6D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2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质量指标：</w:t>
      </w:r>
    </w:p>
    <w:p w14:paraId="0E4FCCD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指标1：项目验收合格率，指标值：大于等于95% ，实际完成值： 95% ，指标完成率 100%，偏差率0%。</w:t>
      </w:r>
    </w:p>
    <w:p w14:paraId="5EE05408">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指标2：项目资金支付率，指标值：大于等于95% ，实际完成值：97.93%，指标完成率100%，偏差率0%。</w:t>
      </w:r>
    </w:p>
    <w:p w14:paraId="293EF040">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3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③</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时效指标：</w:t>
      </w:r>
    </w:p>
    <w:p w14:paraId="1427B454">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指标1：项目计划完工时间，指标值：2023年11月份前 ，实际完成值：2023年11月份前 ，指标完成率 100%，偏差率0%。</w:t>
      </w:r>
    </w:p>
    <w:p w14:paraId="3B041BE5">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14:paraId="03196DE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指标1：土地平整及门前绿化带整治支出，指标值：小于等于3.52万元，实际完成值：3.45万元 ，指标完成率 98.01%，偏差率1.99%，偏差原因：因项目已执行完成，节约了成本0.07万元。</w:t>
      </w:r>
    </w:p>
    <w:p w14:paraId="1679A98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指标2：院外围墙基础保护散水支出，指标值：小于等于0.38万元，实际完成值：0.37万元 ，指标完成率 97.37%，偏差率2.63%，偏差原因：因项目已执行完成，节约了成本0.01万元。</w:t>
      </w:r>
    </w:p>
    <w:p w14:paraId="55139C43">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指标3：院墙内外的水泥路面支出，指标值：小于等于1.42万元，实际完成值：1.39万元 ，指标完成率 97.89%，偏差率2.11%，偏差原因：因项目已执行完成，节约了成本0.03万元。</w:t>
      </w:r>
    </w:p>
    <w:p w14:paraId="3CD4B27C">
      <w:pPr>
        <w:pStyle w:val="11"/>
        <w:numPr>
          <w:ilvl w:val="0"/>
          <w:numId w:val="5"/>
        </w:numPr>
        <w:spacing w:line="560" w:lineRule="exact"/>
        <w:ind w:firstLine="643"/>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项目效益情况</w:t>
      </w:r>
    </w:p>
    <w:p w14:paraId="71466D2D">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w:t>
      </w:r>
      <w:r>
        <w:rPr>
          <w:rFonts w:hint="eastAsia" w:ascii="仿宋_GB2312" w:hAnsi="仿宋_GB2312" w:eastAsia="仿宋_GB2312" w:cs="仿宋_GB2312"/>
          <w:sz w:val="32"/>
          <w:szCs w:val="32"/>
          <w:highlight w:val="none"/>
          <w:lang w:val="en-US" w:eastAsia="zh-CN"/>
        </w:rPr>
        <w:t>由2个三级指标构成，权重分为20分，</w:t>
      </w:r>
      <w:r>
        <w:rPr>
          <w:rFonts w:hint="eastAsia" w:ascii="仿宋_GB2312" w:hAnsi="仿宋_GB2312" w:eastAsia="仿宋_GB2312" w:cs="仿宋_GB2312"/>
          <w:color w:val="auto"/>
          <w:sz w:val="32"/>
          <w:szCs w:val="32"/>
          <w:highlight w:val="none"/>
          <w:lang w:val="en-US" w:eastAsia="zh-CN"/>
        </w:rPr>
        <w:t>实际得分20分，得分率为100%。具体效益指标及满意度指标完成情况如下：</w:t>
      </w:r>
    </w:p>
    <w:p w14:paraId="19DDDA11">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1.实施效益</w:t>
      </w:r>
    </w:p>
    <w:p w14:paraId="517E7158">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社会效益指标：</w:t>
      </w:r>
    </w:p>
    <w:p w14:paraId="7696EA0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指标1：正常运转率，指标值：大于等于95%，实际完成值：95%，指标完成率 100%，偏差率0%。</w:t>
      </w:r>
    </w:p>
    <w:p w14:paraId="512A052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指标2：有效服务社会大局稳定和经济持续发展，指标值：长期有效，实际完成值：长期有效 ，指标完成率100%，偏差率0%。</w:t>
      </w:r>
    </w:p>
    <w:p w14:paraId="670725AC">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14:paraId="7B34494B">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满意度指标：受益群体满意度，指标值：大于等于95%，实际完成95%，完成率100%，偏差率0%。</w:t>
      </w:r>
    </w:p>
    <w:p w14:paraId="359F44B9">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14:paraId="45CDD3F1">
      <w:pPr>
        <w:shd w:val="clear"/>
        <w:spacing w:line="600" w:lineRule="exact"/>
        <w:ind w:firstLine="640" w:firstLineChars="200"/>
        <w:outlineLvl w:val="0"/>
        <w:rPr>
          <w:rFonts w:eastAsia="方正仿宋_GBK" w:cs="方正仿宋_GBK"/>
          <w:sz w:val="32"/>
          <w:szCs w:val="32"/>
          <w:highlight w:val="yellow"/>
        </w:rPr>
      </w:pPr>
      <w:r>
        <w:rPr>
          <w:rFonts w:hint="eastAsia" w:ascii="仿宋_GB2312" w:hAnsi="仿宋_GB2312" w:eastAsia="仿宋_GB2312" w:cs="仿宋_GB2312"/>
          <w:sz w:val="32"/>
          <w:szCs w:val="32"/>
          <w:highlight w:val="none"/>
          <w:lang w:val="en-US" w:eastAsia="zh-CN"/>
        </w:rPr>
        <w:t>温宿县育肥场固定监测站门前环境项目年初预算5.32万元，全年预算5.32万元，实际支出5.21万元，预算执行率为97.93%，项目绩效指标总体完成率为92.75%，</w:t>
      </w:r>
      <w:r>
        <w:rPr>
          <w:rFonts w:hint="eastAsia" w:ascii="仿宋_GB2312" w:hAnsi="仿宋_GB2312" w:eastAsia="仿宋_GB2312" w:cs="仿宋_GB2312"/>
          <w:sz w:val="32"/>
          <w:szCs w:val="32"/>
          <w:highlight w:val="none"/>
          <w:lang w:val="en-US" w:eastAsia="zh-Hans"/>
        </w:rPr>
        <w:t>总体</w:t>
      </w:r>
      <w:r>
        <w:rPr>
          <w:rFonts w:hint="eastAsia" w:ascii="仿宋_GB2312" w:hAnsi="仿宋_GB2312" w:eastAsia="仿宋_GB2312" w:cs="仿宋_GB2312"/>
          <w:sz w:val="32"/>
          <w:szCs w:val="32"/>
          <w:highlight w:val="none"/>
          <w:lang w:val="en-US" w:eastAsia="zh-CN"/>
        </w:rPr>
        <w:t>偏差率为7.25%,</w:t>
      </w:r>
      <w:r>
        <w:rPr>
          <w:rFonts w:hint="eastAsia" w:ascii="仿宋_GB2312" w:hAnsi="仿宋_GB2312" w:eastAsia="仿宋_GB2312" w:cs="仿宋_GB2312"/>
          <w:sz w:val="32"/>
          <w:szCs w:val="32"/>
          <w:highlight w:val="none"/>
          <w:lang w:val="en-US" w:eastAsia="zh-Hans"/>
        </w:rPr>
        <w:t>偏差</w:t>
      </w:r>
      <w:r>
        <w:rPr>
          <w:rFonts w:hint="eastAsia" w:ascii="仿宋_GB2312" w:hAnsi="仿宋_GB2312" w:eastAsia="仿宋_GB2312" w:cs="仿宋_GB2312"/>
          <w:sz w:val="32"/>
          <w:szCs w:val="32"/>
          <w:highlight w:val="none"/>
          <w:lang w:val="en-US" w:eastAsia="zh-CN"/>
        </w:rPr>
        <w:t>原因：因年初设置目标时，对年度指标值测算的不够精确，在施工时按现场实际情况对施工面积做了适当调整，导致执行面积大于预算面积。改</w:t>
      </w:r>
      <w:r>
        <w:rPr>
          <w:rFonts w:hint="eastAsia" w:ascii="仿宋_GB2312" w:hAnsi="仿宋_GB2312" w:eastAsia="仿宋_GB2312" w:cs="仿宋_GB2312"/>
          <w:kern w:val="2"/>
          <w:sz w:val="32"/>
          <w:szCs w:val="32"/>
          <w:highlight w:val="none"/>
          <w:lang w:val="en-US" w:eastAsia="zh-Hans" w:bidi="ar-SA"/>
        </w:rPr>
        <w:t>进</w:t>
      </w:r>
      <w:r>
        <w:rPr>
          <w:rFonts w:hint="eastAsia" w:ascii="仿宋_GB2312" w:hAnsi="仿宋_GB2312" w:eastAsia="仿宋_GB2312" w:cs="仿宋_GB2312"/>
          <w:kern w:val="2"/>
          <w:sz w:val="32"/>
          <w:szCs w:val="32"/>
          <w:highlight w:val="none"/>
          <w:lang w:val="en-US" w:eastAsia="zh-CN" w:bidi="ar-SA"/>
        </w:rPr>
        <w:t>措施：今后在设定预算指标时，要全面了解项目实际情况，更加严谨设置年度绩效指标，减小偏差率。</w:t>
      </w:r>
    </w:p>
    <w:p w14:paraId="67A9A9D5">
      <w:pPr>
        <w:spacing w:line="560" w:lineRule="exact"/>
        <w:ind w:firstLine="640" w:firstLineChars="200"/>
        <w:rPr>
          <w:rStyle w:val="17"/>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14:paraId="5CC1D2B7">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095A7FB7">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6EAC481A">
      <w:pPr>
        <w:pStyle w:val="9"/>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407878C2">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2DE9CE5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6D7FD30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2.因预算绩效申报时存在绩效目标设置不科学、不合理，编制的项目自评指标体系不够精细，绩效目标未完全细化，分解工作任务不够具体，部分绩效指标不清晰，存在实际执行指标同年度预设指标值存在偏差。</w:t>
      </w:r>
    </w:p>
    <w:p w14:paraId="7AD1AFCB">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3.为加强年度绩效指标设置的准确，今后在设定预算指标时需全面了解分析项目实际情况，更加严谨设置年度绩效指标。</w:t>
      </w:r>
    </w:p>
    <w:p w14:paraId="4CFFBB23">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14:paraId="20A69D38">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1.多进行有关绩效管理工作方面的培训。积极组织人员开展绩效管理工作培训，进一步夯实业务基础，提高我单位绩效人员水平。</w:t>
      </w:r>
    </w:p>
    <w:p w14:paraId="3DFE4D2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14:paraId="6D11869F">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41E6AA51">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14:paraId="7D6C2D73">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w:t>
      </w:r>
    </w:p>
    <w:p w14:paraId="0CA7E98A">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2" w:name="page8"/>
      <w:bookmarkEnd w:id="2"/>
      <w:r>
        <w:rPr>
          <w:rFonts w:eastAsia="黑体"/>
          <w:sz w:val="32"/>
          <w:szCs w:val="32"/>
        </w:rPr>
        <w:t>明的问题</w:t>
      </w:r>
    </w:p>
    <w:p w14:paraId="0C5BBF1A">
      <w:pPr>
        <w:pStyle w:val="12"/>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14:paraId="0BB59851">
      <w:pPr>
        <w:pStyle w:val="12"/>
        <w:spacing w:after="0" w:line="560" w:lineRule="exact"/>
        <w:ind w:left="0" w:leftChars="0" w:firstLine="640"/>
        <w:rPr>
          <w:rFonts w:ascii="仿宋_GB2312" w:hAnsi="仿宋_GB2312" w:eastAsia="仿宋_GB2312" w:cs="仿宋_GB2312"/>
          <w:sz w:val="32"/>
          <w:szCs w:val="32"/>
        </w:rPr>
      </w:pPr>
    </w:p>
    <w:p w14:paraId="07EB7A9F">
      <w:pPr>
        <w:pStyle w:val="9"/>
        <w:jc w:val="both"/>
        <w:rPr>
          <w:rFonts w:ascii="Times New Roman" w:hAnsi="Times New Roman"/>
        </w:rPr>
        <w:sectPr>
          <w:pgSz w:w="11906" w:h="16838"/>
          <w:pgMar w:top="1440" w:right="1558" w:bottom="1440" w:left="1800" w:header="851" w:footer="992" w:gutter="0"/>
          <w:cols w:space="425" w:num="1"/>
          <w:docGrid w:type="lines" w:linePitch="312" w:charSpace="0"/>
        </w:sectPr>
      </w:pPr>
    </w:p>
    <w:p w14:paraId="29D2E461">
      <w:pPr>
        <w:spacing w:line="600" w:lineRule="exact"/>
        <w:rPr>
          <w:rFonts w:hint="eastAsia" w:ascii="黑体" w:hAnsi="黑体" w:eastAsia="黑体" w:cs="黑体"/>
        </w:rPr>
      </w:pPr>
      <w:r>
        <w:rPr>
          <w:rFonts w:hint="eastAsia" w:ascii="黑体" w:hAnsi="黑体" w:eastAsia="黑体" w:cs="黑体"/>
          <w:bCs/>
          <w:sz w:val="32"/>
          <w:szCs w:val="32"/>
        </w:rPr>
        <w:t>附件1</w:t>
      </w:r>
    </w:p>
    <w:p w14:paraId="49A6971E">
      <w:pPr>
        <w:pStyle w:val="18"/>
        <w:ind w:firstLine="562"/>
        <w:jc w:val="center"/>
        <w:rPr>
          <w:sz w:val="28"/>
          <w:szCs w:val="40"/>
        </w:rPr>
      </w:pPr>
      <w:bookmarkStart w:id="3" w:name="_Toc30064_WPSOffice_Level1"/>
      <w:bookmarkStart w:id="4" w:name="_Toc26499_WPSOffice_Level2"/>
      <w:r>
        <w:rPr>
          <w:rFonts w:hint="eastAsia"/>
          <w:b/>
          <w:bCs/>
          <w:sz w:val="28"/>
          <w:szCs w:val="40"/>
          <w:lang w:val="en-US" w:eastAsia="zh-CN"/>
        </w:rPr>
        <w:t>温宿育肥场固定站门前环境整治项目</w:t>
      </w:r>
      <w:r>
        <w:rPr>
          <w:rFonts w:hint="eastAsia"/>
          <w:b/>
          <w:bCs/>
          <w:sz w:val="28"/>
          <w:szCs w:val="40"/>
        </w:rPr>
        <w:t>绩效评价指标体系及综合评分表</w:t>
      </w:r>
      <w:bookmarkEnd w:id="3"/>
      <w:bookmarkEnd w:id="4"/>
    </w:p>
    <w:tbl>
      <w:tblPr>
        <w:tblStyle w:val="13"/>
        <w:tblW w:w="3643"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28"/>
        <w:gridCol w:w="763"/>
        <w:gridCol w:w="872"/>
        <w:gridCol w:w="5202"/>
        <w:gridCol w:w="1300"/>
        <w:gridCol w:w="1362"/>
      </w:tblGrid>
      <w:tr w14:paraId="095EAE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401" w:type="pct"/>
            <w:shd w:val="clear" w:color="auto" w:fill="FFFFFF"/>
            <w:vAlign w:val="center"/>
          </w:tcPr>
          <w:p w14:paraId="4C932B44">
            <w:pPr>
              <w:widowControl/>
              <w:spacing w:line="0" w:lineRule="atLeast"/>
              <w:jc w:val="center"/>
              <w:rPr>
                <w:b/>
                <w:bCs/>
                <w:color w:val="000000"/>
                <w:kern w:val="0"/>
                <w:sz w:val="22"/>
                <w:szCs w:val="22"/>
              </w:rPr>
            </w:pPr>
            <w:r>
              <w:rPr>
                <w:b/>
                <w:bCs/>
                <w:color w:val="000000"/>
                <w:kern w:val="0"/>
                <w:sz w:val="22"/>
                <w:szCs w:val="22"/>
              </w:rPr>
              <w:t>一级指标</w:t>
            </w:r>
          </w:p>
        </w:tc>
        <w:tc>
          <w:tcPr>
            <w:tcW w:w="369" w:type="pct"/>
            <w:shd w:val="clear" w:color="auto" w:fill="FFFFFF"/>
            <w:vAlign w:val="center"/>
          </w:tcPr>
          <w:p w14:paraId="7EA1E3D6">
            <w:pPr>
              <w:widowControl/>
              <w:spacing w:line="0" w:lineRule="atLeast"/>
              <w:jc w:val="center"/>
              <w:rPr>
                <w:b/>
                <w:bCs/>
                <w:color w:val="000000"/>
                <w:kern w:val="0"/>
                <w:sz w:val="22"/>
                <w:szCs w:val="22"/>
              </w:rPr>
            </w:pPr>
            <w:r>
              <w:rPr>
                <w:b/>
                <w:bCs/>
                <w:color w:val="000000"/>
                <w:kern w:val="0"/>
                <w:sz w:val="22"/>
                <w:szCs w:val="22"/>
              </w:rPr>
              <w:t>二级指标</w:t>
            </w:r>
          </w:p>
        </w:tc>
        <w:tc>
          <w:tcPr>
            <w:tcW w:w="422" w:type="pct"/>
            <w:shd w:val="clear" w:color="auto" w:fill="FFFFFF"/>
            <w:vAlign w:val="center"/>
          </w:tcPr>
          <w:p w14:paraId="6D5EFBD4">
            <w:pPr>
              <w:widowControl/>
              <w:spacing w:line="0" w:lineRule="atLeast"/>
              <w:jc w:val="center"/>
              <w:rPr>
                <w:b/>
                <w:bCs/>
                <w:color w:val="000000"/>
                <w:kern w:val="0"/>
                <w:sz w:val="22"/>
                <w:szCs w:val="22"/>
              </w:rPr>
            </w:pPr>
            <w:r>
              <w:rPr>
                <w:b/>
                <w:bCs/>
                <w:color w:val="000000"/>
                <w:kern w:val="0"/>
                <w:sz w:val="22"/>
                <w:szCs w:val="22"/>
              </w:rPr>
              <w:t>三级指标</w:t>
            </w:r>
          </w:p>
        </w:tc>
        <w:tc>
          <w:tcPr>
            <w:tcW w:w="2517" w:type="pct"/>
            <w:shd w:val="clear" w:color="auto" w:fill="FFFFFF"/>
            <w:vAlign w:val="center"/>
          </w:tcPr>
          <w:p w14:paraId="3AE7B77A">
            <w:pPr>
              <w:widowControl/>
              <w:spacing w:line="0" w:lineRule="atLeast"/>
              <w:jc w:val="center"/>
              <w:rPr>
                <w:b/>
                <w:bCs/>
                <w:color w:val="000000"/>
                <w:kern w:val="0"/>
                <w:sz w:val="22"/>
                <w:szCs w:val="22"/>
              </w:rPr>
            </w:pPr>
            <w:r>
              <w:rPr>
                <w:b/>
                <w:bCs/>
                <w:color w:val="000000"/>
                <w:kern w:val="0"/>
                <w:sz w:val="22"/>
                <w:szCs w:val="22"/>
              </w:rPr>
              <w:t>指标说明</w:t>
            </w:r>
          </w:p>
        </w:tc>
        <w:tc>
          <w:tcPr>
            <w:tcW w:w="629" w:type="pct"/>
            <w:shd w:val="clear" w:color="auto" w:fill="FFFFFF"/>
            <w:vAlign w:val="center"/>
          </w:tcPr>
          <w:p w14:paraId="1D03877E">
            <w:pPr>
              <w:widowControl/>
              <w:spacing w:line="0" w:lineRule="atLeast"/>
              <w:jc w:val="center"/>
              <w:rPr>
                <w:b/>
                <w:bCs/>
                <w:color w:val="000000"/>
                <w:kern w:val="0"/>
                <w:sz w:val="22"/>
                <w:szCs w:val="22"/>
              </w:rPr>
            </w:pPr>
            <w:r>
              <w:rPr>
                <w:b/>
                <w:bCs/>
                <w:color w:val="000000"/>
                <w:kern w:val="0"/>
                <w:sz w:val="22"/>
                <w:szCs w:val="22"/>
              </w:rPr>
              <w:t>权重</w:t>
            </w:r>
          </w:p>
        </w:tc>
        <w:tc>
          <w:tcPr>
            <w:tcW w:w="659" w:type="pct"/>
            <w:shd w:val="clear" w:color="auto" w:fill="FFFFFF"/>
            <w:vAlign w:val="center"/>
          </w:tcPr>
          <w:p w14:paraId="64AC6A5B">
            <w:pPr>
              <w:widowControl/>
              <w:spacing w:line="0" w:lineRule="atLeast"/>
              <w:jc w:val="center"/>
              <w:rPr>
                <w:b/>
                <w:bCs/>
                <w:color w:val="000000"/>
                <w:kern w:val="0"/>
                <w:sz w:val="22"/>
                <w:szCs w:val="22"/>
              </w:rPr>
            </w:pPr>
            <w:r>
              <w:rPr>
                <w:b/>
                <w:bCs/>
                <w:color w:val="000000"/>
                <w:kern w:val="0"/>
                <w:sz w:val="22"/>
                <w:szCs w:val="22"/>
              </w:rPr>
              <w:t>得分</w:t>
            </w:r>
          </w:p>
        </w:tc>
      </w:tr>
      <w:tr w14:paraId="7AF682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401" w:type="pct"/>
            <w:vMerge w:val="restart"/>
            <w:shd w:val="clear" w:color="auto" w:fill="FFFFFF"/>
            <w:vAlign w:val="center"/>
          </w:tcPr>
          <w:p w14:paraId="306E1791">
            <w:pPr>
              <w:widowControl/>
              <w:spacing w:line="0" w:lineRule="atLeast"/>
              <w:jc w:val="center"/>
              <w:rPr>
                <w:color w:val="000000"/>
                <w:kern w:val="0"/>
                <w:sz w:val="22"/>
                <w:szCs w:val="22"/>
                <w:highlight w:val="none"/>
              </w:rPr>
            </w:pPr>
            <w:bookmarkStart w:id="5" w:name="_GoBack"/>
          </w:p>
          <w:p w14:paraId="2D0E754D">
            <w:pPr>
              <w:widowControl/>
              <w:spacing w:line="0" w:lineRule="atLeast"/>
              <w:jc w:val="center"/>
              <w:rPr>
                <w:color w:val="000000"/>
                <w:kern w:val="0"/>
                <w:sz w:val="22"/>
                <w:szCs w:val="22"/>
                <w:highlight w:val="none"/>
              </w:rPr>
            </w:pPr>
          </w:p>
          <w:p w14:paraId="5F6306F3">
            <w:pPr>
              <w:widowControl/>
              <w:spacing w:line="0" w:lineRule="atLeast"/>
              <w:jc w:val="center"/>
              <w:rPr>
                <w:color w:val="000000"/>
                <w:kern w:val="0"/>
                <w:sz w:val="22"/>
                <w:szCs w:val="22"/>
                <w:highlight w:val="none"/>
              </w:rPr>
            </w:pPr>
          </w:p>
          <w:p w14:paraId="3CBEDED1">
            <w:pPr>
              <w:widowControl/>
              <w:spacing w:line="0" w:lineRule="atLeast"/>
              <w:jc w:val="center"/>
              <w:rPr>
                <w:color w:val="000000"/>
                <w:kern w:val="0"/>
                <w:sz w:val="22"/>
                <w:szCs w:val="22"/>
                <w:highlight w:val="none"/>
              </w:rPr>
            </w:pPr>
          </w:p>
          <w:p w14:paraId="0E4BC87E">
            <w:pPr>
              <w:widowControl/>
              <w:spacing w:line="0" w:lineRule="atLeast"/>
              <w:jc w:val="center"/>
              <w:rPr>
                <w:color w:val="000000"/>
                <w:kern w:val="0"/>
                <w:sz w:val="22"/>
                <w:szCs w:val="22"/>
                <w:highlight w:val="none"/>
              </w:rPr>
            </w:pPr>
          </w:p>
          <w:p w14:paraId="5C43F4B7">
            <w:pPr>
              <w:widowControl/>
              <w:spacing w:line="0" w:lineRule="atLeast"/>
              <w:jc w:val="center"/>
              <w:rPr>
                <w:color w:val="000000"/>
                <w:kern w:val="0"/>
                <w:sz w:val="22"/>
                <w:szCs w:val="22"/>
                <w:highlight w:val="none"/>
              </w:rPr>
            </w:pPr>
          </w:p>
          <w:p w14:paraId="498FBBCC">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369" w:type="pct"/>
            <w:vMerge w:val="restart"/>
            <w:shd w:val="clear" w:color="auto" w:fill="FFFFFF"/>
            <w:vAlign w:val="center"/>
          </w:tcPr>
          <w:p w14:paraId="08708DD3">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422" w:type="pct"/>
            <w:shd w:val="clear" w:color="auto" w:fill="FFFFFF"/>
            <w:vAlign w:val="center"/>
          </w:tcPr>
          <w:p w14:paraId="2CDECFD5">
            <w:pPr>
              <w:widowControl/>
              <w:spacing w:line="0" w:lineRule="atLeast"/>
              <w:jc w:val="center"/>
              <w:rPr>
                <w:color w:val="000000"/>
                <w:kern w:val="0"/>
                <w:sz w:val="22"/>
                <w:szCs w:val="22"/>
                <w:highlight w:val="none"/>
              </w:rPr>
            </w:pPr>
            <w:r>
              <w:rPr>
                <w:color w:val="000000"/>
                <w:kern w:val="0"/>
                <w:sz w:val="22"/>
                <w:szCs w:val="22"/>
                <w:highlight w:val="none"/>
              </w:rPr>
              <w:t>立项依据</w:t>
            </w:r>
          </w:p>
          <w:p w14:paraId="69742C3F">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2517" w:type="pct"/>
            <w:shd w:val="clear" w:color="auto" w:fill="FFFFFF"/>
            <w:vAlign w:val="center"/>
          </w:tcPr>
          <w:p w14:paraId="52B5CC4A">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629" w:type="pct"/>
            <w:shd w:val="clear" w:color="auto" w:fill="FFFFFF"/>
            <w:vAlign w:val="center"/>
          </w:tcPr>
          <w:p w14:paraId="79F14B7F">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659" w:type="pct"/>
            <w:shd w:val="clear" w:color="auto" w:fill="FFFFFF"/>
            <w:vAlign w:val="center"/>
          </w:tcPr>
          <w:p w14:paraId="57161A8C">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229A96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401" w:type="pct"/>
            <w:vMerge w:val="continue"/>
            <w:shd w:val="clear" w:color="auto" w:fill="FFFFFF"/>
            <w:vAlign w:val="center"/>
          </w:tcPr>
          <w:p w14:paraId="6A78BCEB">
            <w:pPr>
              <w:spacing w:line="0" w:lineRule="atLeast"/>
              <w:jc w:val="center"/>
              <w:rPr>
                <w:color w:val="000000"/>
                <w:kern w:val="0"/>
                <w:sz w:val="22"/>
                <w:szCs w:val="22"/>
                <w:highlight w:val="none"/>
              </w:rPr>
            </w:pPr>
          </w:p>
        </w:tc>
        <w:tc>
          <w:tcPr>
            <w:tcW w:w="369" w:type="pct"/>
            <w:vMerge w:val="continue"/>
            <w:shd w:val="clear" w:color="auto" w:fill="FFFFFF"/>
            <w:vAlign w:val="center"/>
          </w:tcPr>
          <w:p w14:paraId="602C0AB1">
            <w:pPr>
              <w:widowControl/>
              <w:spacing w:line="0" w:lineRule="atLeast"/>
              <w:jc w:val="center"/>
              <w:rPr>
                <w:color w:val="000000"/>
                <w:kern w:val="0"/>
                <w:sz w:val="22"/>
                <w:szCs w:val="22"/>
                <w:highlight w:val="none"/>
              </w:rPr>
            </w:pPr>
          </w:p>
        </w:tc>
        <w:tc>
          <w:tcPr>
            <w:tcW w:w="422" w:type="pct"/>
            <w:shd w:val="clear" w:color="auto" w:fill="FFFFFF"/>
            <w:vAlign w:val="center"/>
          </w:tcPr>
          <w:p w14:paraId="6F46322E">
            <w:pPr>
              <w:widowControl/>
              <w:spacing w:line="0" w:lineRule="atLeast"/>
              <w:jc w:val="center"/>
              <w:rPr>
                <w:color w:val="000000"/>
                <w:kern w:val="0"/>
                <w:sz w:val="22"/>
                <w:szCs w:val="22"/>
                <w:highlight w:val="none"/>
              </w:rPr>
            </w:pPr>
            <w:r>
              <w:rPr>
                <w:color w:val="000000"/>
                <w:kern w:val="0"/>
                <w:sz w:val="22"/>
                <w:szCs w:val="22"/>
                <w:highlight w:val="none"/>
              </w:rPr>
              <w:t>立项程序</w:t>
            </w:r>
          </w:p>
          <w:p w14:paraId="0DDF72D5">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2517" w:type="pct"/>
            <w:shd w:val="clear" w:color="auto" w:fill="FFFFFF"/>
            <w:vAlign w:val="center"/>
          </w:tcPr>
          <w:p w14:paraId="4E0E4614">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629" w:type="pct"/>
            <w:shd w:val="clear" w:color="auto" w:fill="FFFFFF"/>
            <w:vAlign w:val="center"/>
          </w:tcPr>
          <w:p w14:paraId="7EBCFDED">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659" w:type="pct"/>
            <w:shd w:val="clear" w:color="auto" w:fill="FFFFFF"/>
            <w:vAlign w:val="center"/>
          </w:tcPr>
          <w:p w14:paraId="39E5EFE1">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172C33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401" w:type="pct"/>
            <w:vMerge w:val="continue"/>
            <w:shd w:val="clear" w:color="auto" w:fill="FFFFFF"/>
            <w:vAlign w:val="center"/>
          </w:tcPr>
          <w:p w14:paraId="41C82E5C">
            <w:pPr>
              <w:spacing w:line="0" w:lineRule="atLeast"/>
              <w:jc w:val="center"/>
              <w:rPr>
                <w:color w:val="000000"/>
                <w:kern w:val="0"/>
                <w:sz w:val="22"/>
                <w:szCs w:val="22"/>
                <w:highlight w:val="none"/>
              </w:rPr>
            </w:pPr>
          </w:p>
        </w:tc>
        <w:tc>
          <w:tcPr>
            <w:tcW w:w="369" w:type="pct"/>
            <w:vMerge w:val="restart"/>
            <w:shd w:val="clear" w:color="auto" w:fill="FFFFFF"/>
            <w:vAlign w:val="center"/>
          </w:tcPr>
          <w:p w14:paraId="4CE479DC">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422" w:type="pct"/>
            <w:shd w:val="clear" w:color="auto" w:fill="FFFFFF"/>
            <w:vAlign w:val="center"/>
          </w:tcPr>
          <w:p w14:paraId="65577E10">
            <w:pPr>
              <w:widowControl/>
              <w:spacing w:line="0" w:lineRule="atLeast"/>
              <w:jc w:val="center"/>
              <w:rPr>
                <w:color w:val="000000"/>
                <w:kern w:val="0"/>
                <w:sz w:val="22"/>
                <w:szCs w:val="22"/>
                <w:highlight w:val="none"/>
              </w:rPr>
            </w:pPr>
            <w:r>
              <w:rPr>
                <w:color w:val="000000"/>
                <w:kern w:val="0"/>
                <w:sz w:val="22"/>
                <w:szCs w:val="22"/>
                <w:highlight w:val="none"/>
              </w:rPr>
              <w:t>绩效目标</w:t>
            </w:r>
          </w:p>
          <w:p w14:paraId="0E85A2B4">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517" w:type="pct"/>
            <w:shd w:val="clear" w:color="000000" w:fill="FFFFFF"/>
            <w:vAlign w:val="center"/>
          </w:tcPr>
          <w:p w14:paraId="4151FFF3">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14:paraId="37DC0C79">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629" w:type="pct"/>
            <w:shd w:val="clear" w:color="000000" w:fill="FFFFFF"/>
            <w:vAlign w:val="center"/>
          </w:tcPr>
          <w:p w14:paraId="1D042330">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659" w:type="pct"/>
            <w:shd w:val="clear" w:color="000000" w:fill="FFFFFF"/>
            <w:vAlign w:val="center"/>
          </w:tcPr>
          <w:p w14:paraId="44D9E23C">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2634C9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401" w:type="pct"/>
            <w:vMerge w:val="continue"/>
            <w:shd w:val="clear" w:color="auto" w:fill="FFFFFF"/>
            <w:vAlign w:val="center"/>
          </w:tcPr>
          <w:p w14:paraId="2914F380">
            <w:pPr>
              <w:widowControl/>
              <w:spacing w:line="0" w:lineRule="atLeast"/>
              <w:jc w:val="center"/>
              <w:rPr>
                <w:color w:val="000000"/>
                <w:kern w:val="0"/>
                <w:sz w:val="22"/>
                <w:szCs w:val="22"/>
                <w:highlight w:val="none"/>
              </w:rPr>
            </w:pPr>
          </w:p>
        </w:tc>
        <w:tc>
          <w:tcPr>
            <w:tcW w:w="369" w:type="pct"/>
            <w:vMerge w:val="continue"/>
            <w:shd w:val="clear" w:color="auto" w:fill="FFFFFF"/>
            <w:vAlign w:val="center"/>
          </w:tcPr>
          <w:p w14:paraId="13434872">
            <w:pPr>
              <w:widowControl/>
              <w:spacing w:line="0" w:lineRule="atLeast"/>
              <w:jc w:val="center"/>
              <w:rPr>
                <w:color w:val="000000"/>
                <w:kern w:val="0"/>
                <w:sz w:val="22"/>
                <w:szCs w:val="22"/>
                <w:highlight w:val="none"/>
              </w:rPr>
            </w:pPr>
          </w:p>
        </w:tc>
        <w:tc>
          <w:tcPr>
            <w:tcW w:w="422" w:type="pct"/>
            <w:shd w:val="clear" w:color="auto" w:fill="FFFFFF"/>
            <w:vAlign w:val="center"/>
          </w:tcPr>
          <w:p w14:paraId="0ECE826C">
            <w:pPr>
              <w:widowControl/>
              <w:spacing w:line="0" w:lineRule="atLeast"/>
              <w:jc w:val="center"/>
              <w:rPr>
                <w:color w:val="000000"/>
                <w:kern w:val="0"/>
                <w:sz w:val="22"/>
                <w:szCs w:val="22"/>
                <w:highlight w:val="none"/>
              </w:rPr>
            </w:pPr>
            <w:r>
              <w:rPr>
                <w:color w:val="000000"/>
                <w:kern w:val="0"/>
                <w:sz w:val="22"/>
                <w:szCs w:val="22"/>
                <w:highlight w:val="none"/>
              </w:rPr>
              <w:t>绩效指标</w:t>
            </w:r>
          </w:p>
          <w:p w14:paraId="5FCC7A50">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2517" w:type="pct"/>
            <w:shd w:val="clear" w:color="000000" w:fill="FFFFFF"/>
            <w:vAlign w:val="center"/>
          </w:tcPr>
          <w:p w14:paraId="4E2EF0B8">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629" w:type="pct"/>
            <w:shd w:val="clear" w:color="000000" w:fill="FFFFFF"/>
            <w:vAlign w:val="center"/>
          </w:tcPr>
          <w:p w14:paraId="1D52F89A">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659" w:type="pct"/>
            <w:shd w:val="clear" w:color="000000" w:fill="FFFFFF"/>
            <w:vAlign w:val="center"/>
          </w:tcPr>
          <w:p w14:paraId="63443D71">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0ED6BD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401" w:type="pct"/>
            <w:vMerge w:val="continue"/>
            <w:shd w:val="clear" w:color="auto" w:fill="FFFFFF"/>
            <w:vAlign w:val="center"/>
          </w:tcPr>
          <w:p w14:paraId="54FC0CE4">
            <w:pPr>
              <w:spacing w:line="0" w:lineRule="atLeast"/>
              <w:jc w:val="center"/>
              <w:rPr>
                <w:color w:val="000000"/>
                <w:kern w:val="0"/>
                <w:sz w:val="22"/>
                <w:szCs w:val="22"/>
                <w:highlight w:val="none"/>
              </w:rPr>
            </w:pPr>
          </w:p>
        </w:tc>
        <w:tc>
          <w:tcPr>
            <w:tcW w:w="369" w:type="pct"/>
            <w:vMerge w:val="restart"/>
            <w:shd w:val="clear" w:color="auto" w:fill="FFFFFF"/>
            <w:vAlign w:val="center"/>
          </w:tcPr>
          <w:p w14:paraId="6D08CA08">
            <w:pPr>
              <w:widowControl/>
              <w:spacing w:line="0" w:lineRule="atLeast"/>
              <w:jc w:val="center"/>
              <w:rPr>
                <w:color w:val="000000"/>
                <w:kern w:val="0"/>
                <w:sz w:val="22"/>
                <w:szCs w:val="22"/>
                <w:highlight w:val="none"/>
              </w:rPr>
            </w:pPr>
            <w:r>
              <w:rPr>
                <w:color w:val="000000"/>
                <w:kern w:val="0"/>
                <w:sz w:val="22"/>
                <w:szCs w:val="22"/>
                <w:highlight w:val="none"/>
              </w:rPr>
              <w:t>资金投入</w:t>
            </w:r>
          </w:p>
          <w:p w14:paraId="19468BCE">
            <w:pPr>
              <w:spacing w:line="0" w:lineRule="atLeast"/>
              <w:jc w:val="center"/>
              <w:rPr>
                <w:color w:val="000000"/>
                <w:kern w:val="0"/>
                <w:sz w:val="22"/>
                <w:szCs w:val="22"/>
                <w:highlight w:val="none"/>
              </w:rPr>
            </w:pPr>
            <w:r>
              <w:rPr>
                <w:color w:val="000000"/>
                <w:kern w:val="0"/>
                <w:sz w:val="22"/>
                <w:szCs w:val="22"/>
                <w:highlight w:val="none"/>
              </w:rPr>
              <w:t>　</w:t>
            </w:r>
          </w:p>
        </w:tc>
        <w:tc>
          <w:tcPr>
            <w:tcW w:w="422" w:type="pct"/>
            <w:shd w:val="clear" w:color="auto" w:fill="FFFFFF"/>
            <w:vAlign w:val="center"/>
          </w:tcPr>
          <w:p w14:paraId="644B5A9D">
            <w:pPr>
              <w:widowControl/>
              <w:spacing w:line="0" w:lineRule="atLeast"/>
              <w:jc w:val="center"/>
              <w:rPr>
                <w:color w:val="000000"/>
                <w:kern w:val="0"/>
                <w:sz w:val="22"/>
                <w:szCs w:val="22"/>
                <w:highlight w:val="none"/>
              </w:rPr>
            </w:pPr>
            <w:r>
              <w:rPr>
                <w:color w:val="000000"/>
                <w:kern w:val="0"/>
                <w:sz w:val="22"/>
                <w:szCs w:val="22"/>
                <w:highlight w:val="none"/>
              </w:rPr>
              <w:t>预算编制</w:t>
            </w:r>
          </w:p>
          <w:p w14:paraId="2899610F">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2517" w:type="pct"/>
            <w:shd w:val="clear" w:color="auto" w:fill="FFFFFF"/>
            <w:vAlign w:val="center"/>
          </w:tcPr>
          <w:p w14:paraId="12A684CC">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629" w:type="pct"/>
            <w:shd w:val="clear" w:color="auto" w:fill="FFFFFF"/>
            <w:vAlign w:val="center"/>
          </w:tcPr>
          <w:p w14:paraId="0EFFA14D">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659" w:type="pct"/>
            <w:shd w:val="clear" w:color="auto" w:fill="FFFFFF"/>
            <w:vAlign w:val="center"/>
          </w:tcPr>
          <w:p w14:paraId="2479B00F">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390DAF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401" w:type="pct"/>
            <w:vMerge w:val="continue"/>
            <w:shd w:val="clear" w:color="auto" w:fill="FFFFFF"/>
            <w:vAlign w:val="center"/>
          </w:tcPr>
          <w:p w14:paraId="1ED43A74">
            <w:pPr>
              <w:widowControl/>
              <w:spacing w:line="0" w:lineRule="atLeast"/>
              <w:jc w:val="center"/>
              <w:rPr>
                <w:color w:val="000000"/>
                <w:kern w:val="0"/>
                <w:sz w:val="22"/>
                <w:szCs w:val="22"/>
                <w:highlight w:val="none"/>
              </w:rPr>
            </w:pPr>
          </w:p>
        </w:tc>
        <w:tc>
          <w:tcPr>
            <w:tcW w:w="369" w:type="pct"/>
            <w:vMerge w:val="continue"/>
            <w:shd w:val="clear" w:color="auto" w:fill="FFFFFF"/>
            <w:vAlign w:val="center"/>
          </w:tcPr>
          <w:p w14:paraId="61954DF8">
            <w:pPr>
              <w:widowControl/>
              <w:spacing w:line="0" w:lineRule="atLeast"/>
              <w:jc w:val="center"/>
              <w:rPr>
                <w:color w:val="000000"/>
                <w:kern w:val="0"/>
                <w:sz w:val="22"/>
                <w:szCs w:val="22"/>
                <w:highlight w:val="none"/>
              </w:rPr>
            </w:pPr>
          </w:p>
        </w:tc>
        <w:tc>
          <w:tcPr>
            <w:tcW w:w="422" w:type="pct"/>
            <w:shd w:val="clear" w:color="auto" w:fill="FFFFFF"/>
            <w:vAlign w:val="center"/>
          </w:tcPr>
          <w:p w14:paraId="02B6F2E0">
            <w:pPr>
              <w:widowControl/>
              <w:spacing w:line="0" w:lineRule="atLeast"/>
              <w:jc w:val="center"/>
              <w:rPr>
                <w:color w:val="000000"/>
                <w:kern w:val="0"/>
                <w:sz w:val="22"/>
                <w:szCs w:val="22"/>
                <w:highlight w:val="none"/>
              </w:rPr>
            </w:pPr>
            <w:r>
              <w:rPr>
                <w:color w:val="000000"/>
                <w:kern w:val="0"/>
                <w:sz w:val="22"/>
                <w:szCs w:val="22"/>
                <w:highlight w:val="none"/>
              </w:rPr>
              <w:t>资金分配</w:t>
            </w:r>
          </w:p>
          <w:p w14:paraId="28C1E7BD">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517" w:type="pct"/>
            <w:shd w:val="clear" w:color="auto" w:fill="FFFFFF"/>
            <w:vAlign w:val="center"/>
          </w:tcPr>
          <w:p w14:paraId="6C78DA4A">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629" w:type="pct"/>
            <w:shd w:val="clear" w:color="auto" w:fill="FFFFFF"/>
            <w:vAlign w:val="center"/>
          </w:tcPr>
          <w:p w14:paraId="078E7C40">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659" w:type="pct"/>
            <w:shd w:val="clear" w:color="auto" w:fill="FFFFFF"/>
            <w:vAlign w:val="center"/>
          </w:tcPr>
          <w:p w14:paraId="445509A0">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2D06D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401" w:type="pct"/>
            <w:vMerge w:val="restart"/>
            <w:shd w:val="clear" w:color="auto" w:fill="FFFFFF"/>
            <w:vAlign w:val="center"/>
          </w:tcPr>
          <w:p w14:paraId="180AE438">
            <w:pPr>
              <w:spacing w:line="0" w:lineRule="atLeast"/>
              <w:jc w:val="center"/>
              <w:rPr>
                <w:color w:val="000000"/>
                <w:kern w:val="0"/>
                <w:sz w:val="22"/>
                <w:szCs w:val="22"/>
                <w:highlight w:val="none"/>
              </w:rPr>
            </w:pPr>
          </w:p>
          <w:p w14:paraId="0FA2F0C4">
            <w:pPr>
              <w:spacing w:line="0" w:lineRule="atLeast"/>
              <w:jc w:val="center"/>
              <w:rPr>
                <w:color w:val="000000"/>
                <w:kern w:val="0"/>
                <w:sz w:val="22"/>
                <w:szCs w:val="22"/>
                <w:highlight w:val="none"/>
              </w:rPr>
            </w:pPr>
          </w:p>
          <w:p w14:paraId="74B200EA">
            <w:pPr>
              <w:spacing w:line="0" w:lineRule="atLeast"/>
              <w:jc w:val="center"/>
              <w:rPr>
                <w:color w:val="000000"/>
                <w:kern w:val="0"/>
                <w:sz w:val="22"/>
                <w:szCs w:val="22"/>
                <w:highlight w:val="none"/>
              </w:rPr>
            </w:pPr>
          </w:p>
          <w:p w14:paraId="3D3081EC">
            <w:pPr>
              <w:spacing w:line="0" w:lineRule="atLeast"/>
              <w:jc w:val="center"/>
              <w:rPr>
                <w:color w:val="000000"/>
                <w:kern w:val="0"/>
                <w:sz w:val="22"/>
                <w:szCs w:val="22"/>
                <w:highlight w:val="none"/>
              </w:rPr>
            </w:pPr>
          </w:p>
          <w:p w14:paraId="44FEEDB6">
            <w:pPr>
              <w:spacing w:line="0" w:lineRule="atLeast"/>
              <w:jc w:val="center"/>
              <w:rPr>
                <w:color w:val="000000"/>
                <w:kern w:val="0"/>
                <w:sz w:val="22"/>
                <w:szCs w:val="22"/>
                <w:highlight w:val="none"/>
              </w:rPr>
            </w:pPr>
          </w:p>
          <w:p w14:paraId="442E2F83">
            <w:pPr>
              <w:spacing w:line="0" w:lineRule="atLeast"/>
              <w:jc w:val="center"/>
              <w:rPr>
                <w:color w:val="000000"/>
                <w:kern w:val="0"/>
                <w:sz w:val="22"/>
                <w:szCs w:val="22"/>
                <w:highlight w:val="none"/>
              </w:rPr>
            </w:pPr>
          </w:p>
          <w:p w14:paraId="3D484488">
            <w:pPr>
              <w:spacing w:line="0" w:lineRule="atLeast"/>
              <w:jc w:val="center"/>
              <w:rPr>
                <w:color w:val="000000"/>
                <w:kern w:val="0"/>
                <w:sz w:val="22"/>
                <w:szCs w:val="22"/>
                <w:highlight w:val="none"/>
              </w:rPr>
            </w:pPr>
          </w:p>
          <w:p w14:paraId="29E3CDFF">
            <w:pPr>
              <w:spacing w:line="0" w:lineRule="atLeast"/>
              <w:jc w:val="center"/>
              <w:rPr>
                <w:color w:val="000000"/>
                <w:kern w:val="0"/>
                <w:sz w:val="22"/>
                <w:szCs w:val="22"/>
                <w:highlight w:val="none"/>
              </w:rPr>
            </w:pPr>
          </w:p>
          <w:p w14:paraId="51AB200A">
            <w:pPr>
              <w:spacing w:line="0" w:lineRule="atLeast"/>
              <w:jc w:val="center"/>
              <w:rPr>
                <w:color w:val="000000"/>
                <w:kern w:val="0"/>
                <w:sz w:val="22"/>
                <w:szCs w:val="22"/>
                <w:highlight w:val="none"/>
              </w:rPr>
            </w:pPr>
          </w:p>
          <w:p w14:paraId="4407D105">
            <w:pPr>
              <w:spacing w:line="0" w:lineRule="atLeast"/>
              <w:jc w:val="center"/>
              <w:rPr>
                <w:color w:val="000000"/>
                <w:kern w:val="0"/>
                <w:sz w:val="22"/>
                <w:szCs w:val="22"/>
                <w:highlight w:val="none"/>
              </w:rPr>
            </w:pPr>
          </w:p>
          <w:p w14:paraId="6C2B5EBE">
            <w:pPr>
              <w:spacing w:line="0" w:lineRule="atLeast"/>
              <w:jc w:val="center"/>
              <w:rPr>
                <w:color w:val="000000"/>
                <w:kern w:val="0"/>
                <w:sz w:val="22"/>
                <w:szCs w:val="22"/>
                <w:highlight w:val="none"/>
              </w:rPr>
            </w:pPr>
          </w:p>
          <w:p w14:paraId="7C23359D">
            <w:pPr>
              <w:spacing w:line="0" w:lineRule="atLeast"/>
              <w:jc w:val="center"/>
              <w:rPr>
                <w:color w:val="000000"/>
                <w:kern w:val="0"/>
                <w:sz w:val="22"/>
                <w:szCs w:val="22"/>
                <w:highlight w:val="none"/>
              </w:rPr>
            </w:pPr>
          </w:p>
          <w:p w14:paraId="10FE5B83">
            <w:pPr>
              <w:spacing w:line="0" w:lineRule="atLeast"/>
              <w:jc w:val="center"/>
              <w:rPr>
                <w:color w:val="000000"/>
                <w:kern w:val="0"/>
                <w:sz w:val="22"/>
                <w:szCs w:val="22"/>
                <w:highlight w:val="none"/>
              </w:rPr>
            </w:pPr>
          </w:p>
          <w:p w14:paraId="11714063">
            <w:pPr>
              <w:spacing w:line="0" w:lineRule="atLeast"/>
              <w:jc w:val="center"/>
              <w:rPr>
                <w:color w:val="000000"/>
                <w:kern w:val="0"/>
                <w:sz w:val="22"/>
                <w:szCs w:val="22"/>
                <w:highlight w:val="none"/>
              </w:rPr>
            </w:pPr>
          </w:p>
          <w:p w14:paraId="76E0678D">
            <w:pPr>
              <w:spacing w:line="0" w:lineRule="atLeast"/>
              <w:jc w:val="center"/>
              <w:rPr>
                <w:color w:val="000000"/>
                <w:kern w:val="0"/>
                <w:sz w:val="22"/>
                <w:szCs w:val="22"/>
                <w:highlight w:val="none"/>
              </w:rPr>
            </w:pPr>
          </w:p>
          <w:p w14:paraId="69434BF8">
            <w:pPr>
              <w:spacing w:line="0" w:lineRule="atLeast"/>
              <w:jc w:val="center"/>
              <w:rPr>
                <w:color w:val="000000"/>
                <w:kern w:val="0"/>
                <w:sz w:val="22"/>
                <w:szCs w:val="22"/>
                <w:highlight w:val="none"/>
              </w:rPr>
            </w:pPr>
            <w:r>
              <w:rPr>
                <w:color w:val="000000"/>
                <w:kern w:val="0"/>
                <w:sz w:val="22"/>
                <w:szCs w:val="22"/>
                <w:highlight w:val="none"/>
              </w:rPr>
              <w:t>过程</w:t>
            </w:r>
          </w:p>
          <w:p w14:paraId="3A151ABD">
            <w:pPr>
              <w:widowControl/>
              <w:spacing w:line="0" w:lineRule="atLeast"/>
              <w:jc w:val="center"/>
              <w:rPr>
                <w:color w:val="000000"/>
                <w:kern w:val="0"/>
                <w:sz w:val="22"/>
                <w:szCs w:val="22"/>
                <w:highlight w:val="none"/>
              </w:rPr>
            </w:pPr>
            <w:r>
              <w:rPr>
                <w:color w:val="000000"/>
                <w:kern w:val="0"/>
                <w:sz w:val="22"/>
                <w:szCs w:val="22"/>
                <w:highlight w:val="none"/>
              </w:rPr>
              <w:t>　　</w:t>
            </w:r>
          </w:p>
        </w:tc>
        <w:tc>
          <w:tcPr>
            <w:tcW w:w="369" w:type="pct"/>
            <w:vMerge w:val="restart"/>
            <w:shd w:val="clear" w:color="auto" w:fill="FFFFFF"/>
            <w:vAlign w:val="center"/>
          </w:tcPr>
          <w:p w14:paraId="077AA934">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422" w:type="pct"/>
            <w:shd w:val="clear" w:color="auto" w:fill="FFFFFF"/>
            <w:vAlign w:val="center"/>
          </w:tcPr>
          <w:p w14:paraId="1C36982F">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2517" w:type="pct"/>
            <w:shd w:val="clear" w:color="000000" w:fill="FFFFFF"/>
            <w:vAlign w:val="center"/>
          </w:tcPr>
          <w:p w14:paraId="7055C307">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14:paraId="4C894980">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5C0F515A">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629" w:type="pct"/>
            <w:shd w:val="clear" w:color="000000" w:fill="FFFFFF"/>
            <w:vAlign w:val="center"/>
          </w:tcPr>
          <w:p w14:paraId="017A28A9">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659" w:type="pct"/>
            <w:shd w:val="clear" w:color="000000" w:fill="FFFFFF"/>
            <w:vAlign w:val="center"/>
          </w:tcPr>
          <w:p w14:paraId="60542510">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4AB6CC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401" w:type="pct"/>
            <w:vMerge w:val="continue"/>
            <w:shd w:val="clear" w:color="auto" w:fill="FFFFFF"/>
            <w:vAlign w:val="center"/>
          </w:tcPr>
          <w:p w14:paraId="6067FFB3">
            <w:pPr>
              <w:spacing w:line="0" w:lineRule="atLeast"/>
              <w:jc w:val="center"/>
              <w:rPr>
                <w:color w:val="000000"/>
                <w:kern w:val="0"/>
                <w:sz w:val="22"/>
                <w:szCs w:val="22"/>
                <w:highlight w:val="none"/>
              </w:rPr>
            </w:pPr>
          </w:p>
        </w:tc>
        <w:tc>
          <w:tcPr>
            <w:tcW w:w="369" w:type="pct"/>
            <w:vMerge w:val="continue"/>
            <w:shd w:val="clear" w:color="auto" w:fill="FFFFFF"/>
            <w:vAlign w:val="center"/>
          </w:tcPr>
          <w:p w14:paraId="0EC89301">
            <w:pPr>
              <w:spacing w:line="0" w:lineRule="atLeast"/>
              <w:jc w:val="center"/>
              <w:rPr>
                <w:color w:val="000000"/>
                <w:kern w:val="0"/>
                <w:sz w:val="22"/>
                <w:szCs w:val="22"/>
                <w:highlight w:val="none"/>
              </w:rPr>
            </w:pPr>
          </w:p>
        </w:tc>
        <w:tc>
          <w:tcPr>
            <w:tcW w:w="422" w:type="pct"/>
            <w:shd w:val="clear" w:color="auto" w:fill="FFFFFF"/>
            <w:vAlign w:val="center"/>
          </w:tcPr>
          <w:p w14:paraId="566D65D4">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2517" w:type="pct"/>
            <w:shd w:val="clear" w:color="auto" w:fill="FFFFFF"/>
            <w:vAlign w:val="center"/>
          </w:tcPr>
          <w:p w14:paraId="547F1476">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629" w:type="pct"/>
            <w:shd w:val="clear" w:color="auto" w:fill="FFFFFF"/>
            <w:vAlign w:val="center"/>
          </w:tcPr>
          <w:p w14:paraId="48C12766">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659" w:type="pct"/>
            <w:shd w:val="clear" w:color="auto" w:fill="FFFFFF"/>
            <w:vAlign w:val="center"/>
          </w:tcPr>
          <w:p w14:paraId="68D24488">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3.92</w:t>
            </w:r>
          </w:p>
        </w:tc>
      </w:tr>
      <w:tr w14:paraId="60E099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401" w:type="pct"/>
            <w:vMerge w:val="continue"/>
            <w:shd w:val="clear" w:color="auto" w:fill="FFFFFF"/>
            <w:vAlign w:val="center"/>
          </w:tcPr>
          <w:p w14:paraId="344D69CE">
            <w:pPr>
              <w:spacing w:line="0" w:lineRule="atLeast"/>
              <w:jc w:val="center"/>
              <w:rPr>
                <w:color w:val="000000"/>
                <w:kern w:val="0"/>
                <w:sz w:val="22"/>
                <w:szCs w:val="22"/>
                <w:highlight w:val="none"/>
              </w:rPr>
            </w:pPr>
          </w:p>
        </w:tc>
        <w:tc>
          <w:tcPr>
            <w:tcW w:w="369" w:type="pct"/>
            <w:shd w:val="clear" w:color="auto" w:fill="FFFFFF"/>
            <w:vAlign w:val="center"/>
          </w:tcPr>
          <w:p w14:paraId="75679ADC">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422" w:type="pct"/>
            <w:shd w:val="clear" w:color="auto" w:fill="FFFFFF"/>
            <w:vAlign w:val="center"/>
          </w:tcPr>
          <w:p w14:paraId="460F652B">
            <w:pPr>
              <w:widowControl/>
              <w:spacing w:line="0" w:lineRule="atLeast"/>
              <w:jc w:val="center"/>
              <w:rPr>
                <w:color w:val="000000"/>
                <w:kern w:val="0"/>
                <w:sz w:val="22"/>
                <w:szCs w:val="22"/>
                <w:highlight w:val="none"/>
              </w:rPr>
            </w:pPr>
            <w:r>
              <w:rPr>
                <w:color w:val="000000"/>
                <w:kern w:val="0"/>
                <w:sz w:val="22"/>
                <w:szCs w:val="22"/>
                <w:highlight w:val="none"/>
              </w:rPr>
              <w:t>资金使用</w:t>
            </w:r>
          </w:p>
          <w:p w14:paraId="7FE274A1">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2517" w:type="pct"/>
            <w:shd w:val="clear" w:color="000000" w:fill="FFFFFF"/>
            <w:vAlign w:val="center"/>
          </w:tcPr>
          <w:p w14:paraId="33BB85CD">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629" w:type="pct"/>
            <w:shd w:val="clear" w:color="000000" w:fill="FFFFFF"/>
            <w:vAlign w:val="center"/>
          </w:tcPr>
          <w:p w14:paraId="37E6400E">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659" w:type="pct"/>
            <w:shd w:val="clear" w:color="000000" w:fill="FFFFFF"/>
            <w:vAlign w:val="center"/>
          </w:tcPr>
          <w:p w14:paraId="028ED2AC">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7CA4F0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401" w:type="pct"/>
            <w:vMerge w:val="continue"/>
            <w:shd w:val="clear" w:color="auto" w:fill="FFFFFF"/>
            <w:vAlign w:val="center"/>
          </w:tcPr>
          <w:p w14:paraId="43BBE459">
            <w:pPr>
              <w:spacing w:line="0" w:lineRule="atLeast"/>
              <w:jc w:val="center"/>
              <w:rPr>
                <w:color w:val="000000"/>
                <w:kern w:val="0"/>
                <w:sz w:val="22"/>
                <w:szCs w:val="22"/>
                <w:highlight w:val="none"/>
              </w:rPr>
            </w:pPr>
          </w:p>
        </w:tc>
        <w:tc>
          <w:tcPr>
            <w:tcW w:w="369" w:type="pct"/>
            <w:vMerge w:val="restart"/>
            <w:shd w:val="clear" w:color="auto" w:fill="FFFFFF"/>
            <w:vAlign w:val="center"/>
          </w:tcPr>
          <w:p w14:paraId="44529FB1">
            <w:pPr>
              <w:widowControl/>
              <w:spacing w:line="0" w:lineRule="atLeast"/>
              <w:jc w:val="center"/>
              <w:rPr>
                <w:color w:val="000000"/>
                <w:kern w:val="0"/>
                <w:sz w:val="22"/>
                <w:szCs w:val="22"/>
                <w:highlight w:val="none"/>
              </w:rPr>
            </w:pPr>
            <w:r>
              <w:rPr>
                <w:color w:val="000000"/>
                <w:kern w:val="0"/>
                <w:sz w:val="22"/>
                <w:szCs w:val="22"/>
                <w:highlight w:val="none"/>
              </w:rPr>
              <w:t>组织实施</w:t>
            </w:r>
          </w:p>
          <w:p w14:paraId="0919FE5D">
            <w:pPr>
              <w:spacing w:line="0" w:lineRule="atLeast"/>
              <w:jc w:val="center"/>
              <w:rPr>
                <w:color w:val="000000"/>
                <w:kern w:val="0"/>
                <w:sz w:val="22"/>
                <w:szCs w:val="22"/>
                <w:highlight w:val="none"/>
              </w:rPr>
            </w:pPr>
            <w:r>
              <w:rPr>
                <w:color w:val="000000"/>
                <w:kern w:val="0"/>
                <w:sz w:val="22"/>
                <w:szCs w:val="22"/>
                <w:highlight w:val="none"/>
              </w:rPr>
              <w:t>　</w:t>
            </w:r>
          </w:p>
        </w:tc>
        <w:tc>
          <w:tcPr>
            <w:tcW w:w="422" w:type="pct"/>
            <w:shd w:val="clear" w:color="auto" w:fill="FFFFFF"/>
            <w:vAlign w:val="center"/>
          </w:tcPr>
          <w:p w14:paraId="00E2E230">
            <w:pPr>
              <w:widowControl/>
              <w:spacing w:line="0" w:lineRule="atLeast"/>
              <w:jc w:val="center"/>
              <w:rPr>
                <w:color w:val="000000"/>
                <w:kern w:val="0"/>
                <w:sz w:val="22"/>
                <w:szCs w:val="22"/>
                <w:highlight w:val="none"/>
              </w:rPr>
            </w:pPr>
            <w:r>
              <w:rPr>
                <w:color w:val="000000"/>
                <w:kern w:val="0"/>
                <w:sz w:val="22"/>
                <w:szCs w:val="22"/>
                <w:highlight w:val="none"/>
              </w:rPr>
              <w:t>管理制度</w:t>
            </w:r>
          </w:p>
          <w:p w14:paraId="5F85FF89">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2517" w:type="pct"/>
            <w:shd w:val="clear" w:color="000000" w:fill="FFFFFF"/>
            <w:vAlign w:val="center"/>
          </w:tcPr>
          <w:p w14:paraId="11F20489">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629" w:type="pct"/>
            <w:shd w:val="clear" w:color="000000" w:fill="FFFFFF"/>
            <w:vAlign w:val="center"/>
          </w:tcPr>
          <w:p w14:paraId="7B35360B">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659" w:type="pct"/>
            <w:shd w:val="clear" w:color="000000" w:fill="FFFFFF"/>
            <w:vAlign w:val="center"/>
          </w:tcPr>
          <w:p w14:paraId="1B3F3581">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0D97B6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401" w:type="pct"/>
            <w:vMerge w:val="continue"/>
            <w:shd w:val="clear" w:color="auto" w:fill="FFFFFF"/>
            <w:vAlign w:val="center"/>
          </w:tcPr>
          <w:p w14:paraId="0470135B">
            <w:pPr>
              <w:widowControl/>
              <w:spacing w:line="0" w:lineRule="atLeast"/>
              <w:jc w:val="center"/>
              <w:rPr>
                <w:color w:val="000000"/>
                <w:kern w:val="0"/>
                <w:sz w:val="22"/>
                <w:szCs w:val="22"/>
                <w:highlight w:val="none"/>
              </w:rPr>
            </w:pPr>
          </w:p>
        </w:tc>
        <w:tc>
          <w:tcPr>
            <w:tcW w:w="369" w:type="pct"/>
            <w:vMerge w:val="continue"/>
            <w:shd w:val="clear" w:color="auto" w:fill="FFFFFF"/>
            <w:vAlign w:val="center"/>
          </w:tcPr>
          <w:p w14:paraId="5B0672F6">
            <w:pPr>
              <w:widowControl/>
              <w:spacing w:line="0" w:lineRule="atLeast"/>
              <w:jc w:val="center"/>
              <w:rPr>
                <w:color w:val="000000"/>
                <w:kern w:val="0"/>
                <w:sz w:val="22"/>
                <w:szCs w:val="22"/>
                <w:highlight w:val="none"/>
              </w:rPr>
            </w:pPr>
          </w:p>
        </w:tc>
        <w:tc>
          <w:tcPr>
            <w:tcW w:w="422" w:type="pct"/>
            <w:shd w:val="clear" w:color="auto" w:fill="FFFFFF"/>
            <w:vAlign w:val="center"/>
          </w:tcPr>
          <w:p w14:paraId="45E7898B">
            <w:pPr>
              <w:widowControl/>
              <w:spacing w:line="0" w:lineRule="atLeast"/>
              <w:jc w:val="center"/>
              <w:rPr>
                <w:color w:val="000000"/>
                <w:kern w:val="0"/>
                <w:sz w:val="22"/>
                <w:szCs w:val="22"/>
                <w:highlight w:val="none"/>
              </w:rPr>
            </w:pPr>
            <w:r>
              <w:rPr>
                <w:color w:val="000000"/>
                <w:kern w:val="0"/>
                <w:sz w:val="22"/>
                <w:szCs w:val="22"/>
                <w:highlight w:val="none"/>
              </w:rPr>
              <w:t>制度执行</w:t>
            </w:r>
          </w:p>
          <w:p w14:paraId="5F49EAB3">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2517" w:type="pct"/>
            <w:shd w:val="clear" w:color="000000" w:fill="FFFFFF"/>
            <w:vAlign w:val="center"/>
          </w:tcPr>
          <w:p w14:paraId="61B16BD5">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629" w:type="pct"/>
            <w:shd w:val="clear" w:color="000000" w:fill="FFFFFF"/>
            <w:vAlign w:val="center"/>
          </w:tcPr>
          <w:p w14:paraId="05A2E216">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659" w:type="pct"/>
            <w:shd w:val="clear" w:color="000000" w:fill="FFFFFF"/>
            <w:vAlign w:val="center"/>
          </w:tcPr>
          <w:p w14:paraId="40F1265B">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2A7BF8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401" w:type="pct"/>
            <w:vMerge w:val="restart"/>
            <w:shd w:val="clear" w:color="auto" w:fill="FFFFFF"/>
            <w:vAlign w:val="center"/>
          </w:tcPr>
          <w:p w14:paraId="295496E8">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69" w:type="pct"/>
            <w:shd w:val="clear" w:color="auto" w:fill="FFFFFF"/>
            <w:vAlign w:val="center"/>
          </w:tcPr>
          <w:p w14:paraId="5CBD207B">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422" w:type="pct"/>
            <w:shd w:val="clear" w:color="auto" w:fill="FFFFFF"/>
            <w:vAlign w:val="center"/>
          </w:tcPr>
          <w:p w14:paraId="79C0A8AD">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517" w:type="pct"/>
            <w:shd w:val="clear" w:color="000000" w:fill="FFFFFF"/>
            <w:vAlign w:val="center"/>
          </w:tcPr>
          <w:p w14:paraId="7F884F02">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629" w:type="pct"/>
            <w:shd w:val="clear" w:color="000000" w:fill="FFFFFF"/>
            <w:vAlign w:val="center"/>
          </w:tcPr>
          <w:p w14:paraId="71535560">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659" w:type="pct"/>
            <w:shd w:val="clear" w:color="000000" w:fill="FFFFFF"/>
            <w:vAlign w:val="center"/>
          </w:tcPr>
          <w:p w14:paraId="6A8C88DF">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5.4</w:t>
            </w:r>
          </w:p>
        </w:tc>
      </w:tr>
      <w:tr w14:paraId="1CE21D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401" w:type="pct"/>
            <w:vMerge w:val="continue"/>
            <w:shd w:val="clear" w:color="auto" w:fill="FFFFFF"/>
            <w:vAlign w:val="center"/>
          </w:tcPr>
          <w:p w14:paraId="181E275F">
            <w:pPr>
              <w:widowControl/>
              <w:spacing w:line="0" w:lineRule="atLeast"/>
              <w:jc w:val="center"/>
              <w:rPr>
                <w:color w:val="000000"/>
                <w:kern w:val="0"/>
                <w:sz w:val="22"/>
                <w:szCs w:val="22"/>
                <w:highlight w:val="none"/>
              </w:rPr>
            </w:pPr>
          </w:p>
        </w:tc>
        <w:tc>
          <w:tcPr>
            <w:tcW w:w="369" w:type="pct"/>
            <w:shd w:val="clear" w:color="auto" w:fill="FFFFFF"/>
            <w:vAlign w:val="center"/>
          </w:tcPr>
          <w:p w14:paraId="72670549">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422" w:type="pct"/>
            <w:shd w:val="clear" w:color="auto" w:fill="FFFFFF"/>
            <w:vAlign w:val="center"/>
          </w:tcPr>
          <w:p w14:paraId="43328E78">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517" w:type="pct"/>
            <w:shd w:val="clear" w:color="000000" w:fill="FFFFFF"/>
            <w:vAlign w:val="center"/>
          </w:tcPr>
          <w:p w14:paraId="1E6F8E6B">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14:paraId="22BEA916">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29" w:type="pct"/>
            <w:shd w:val="clear" w:color="000000" w:fill="FFFFFF"/>
            <w:vAlign w:val="center"/>
          </w:tcPr>
          <w:p w14:paraId="711E2D4E">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659" w:type="pct"/>
            <w:shd w:val="clear" w:color="000000" w:fill="FFFFFF"/>
            <w:vAlign w:val="center"/>
          </w:tcPr>
          <w:p w14:paraId="677CC2C3">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1F7A9D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401" w:type="pct"/>
            <w:vMerge w:val="continue"/>
            <w:shd w:val="clear" w:color="auto" w:fill="FFFFFF"/>
            <w:vAlign w:val="center"/>
          </w:tcPr>
          <w:p w14:paraId="7EC94122">
            <w:pPr>
              <w:spacing w:line="0" w:lineRule="atLeast"/>
              <w:jc w:val="center"/>
              <w:rPr>
                <w:color w:val="000000"/>
                <w:kern w:val="0"/>
                <w:sz w:val="22"/>
                <w:szCs w:val="22"/>
                <w:highlight w:val="none"/>
              </w:rPr>
            </w:pPr>
          </w:p>
        </w:tc>
        <w:tc>
          <w:tcPr>
            <w:tcW w:w="369" w:type="pct"/>
            <w:shd w:val="clear" w:color="auto" w:fill="FFFFFF"/>
            <w:vAlign w:val="center"/>
          </w:tcPr>
          <w:p w14:paraId="0F06CF16">
            <w:pPr>
              <w:spacing w:line="0" w:lineRule="atLeast"/>
              <w:jc w:val="center"/>
              <w:rPr>
                <w:color w:val="000000"/>
                <w:kern w:val="0"/>
                <w:sz w:val="22"/>
                <w:szCs w:val="22"/>
                <w:highlight w:val="none"/>
              </w:rPr>
            </w:pPr>
            <w:r>
              <w:rPr>
                <w:color w:val="000000"/>
                <w:kern w:val="0"/>
                <w:sz w:val="22"/>
                <w:szCs w:val="22"/>
                <w:highlight w:val="none"/>
              </w:rPr>
              <w:t>产出时效</w:t>
            </w:r>
          </w:p>
        </w:tc>
        <w:tc>
          <w:tcPr>
            <w:tcW w:w="422" w:type="pct"/>
            <w:shd w:val="clear" w:color="auto" w:fill="FFFFFF"/>
            <w:vAlign w:val="center"/>
          </w:tcPr>
          <w:p w14:paraId="19B9D827">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517" w:type="pct"/>
            <w:shd w:val="clear" w:color="000000" w:fill="FFFFFF"/>
            <w:vAlign w:val="center"/>
          </w:tcPr>
          <w:p w14:paraId="5E42FDDD">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629" w:type="pct"/>
            <w:shd w:val="clear" w:color="000000" w:fill="FFFFFF"/>
            <w:vAlign w:val="center"/>
          </w:tcPr>
          <w:p w14:paraId="324D177F">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659" w:type="pct"/>
            <w:shd w:val="clear" w:color="000000" w:fill="FFFFFF"/>
            <w:vAlign w:val="center"/>
          </w:tcPr>
          <w:p w14:paraId="29FD065B">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64402C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401" w:type="pct"/>
            <w:vMerge w:val="continue"/>
            <w:shd w:val="clear" w:color="auto" w:fill="FFFFFF"/>
            <w:vAlign w:val="center"/>
          </w:tcPr>
          <w:p w14:paraId="7335CA8D">
            <w:pPr>
              <w:widowControl/>
              <w:spacing w:line="0" w:lineRule="atLeast"/>
              <w:jc w:val="center"/>
              <w:rPr>
                <w:color w:val="000000"/>
                <w:kern w:val="0"/>
                <w:sz w:val="22"/>
                <w:szCs w:val="22"/>
                <w:highlight w:val="none"/>
              </w:rPr>
            </w:pPr>
          </w:p>
        </w:tc>
        <w:tc>
          <w:tcPr>
            <w:tcW w:w="369" w:type="pct"/>
            <w:shd w:val="clear" w:color="auto" w:fill="FFFFFF"/>
            <w:vAlign w:val="center"/>
          </w:tcPr>
          <w:p w14:paraId="71C6CDBF">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422" w:type="pct"/>
            <w:shd w:val="clear" w:color="auto" w:fill="FFFFFF"/>
            <w:vAlign w:val="center"/>
          </w:tcPr>
          <w:p w14:paraId="18B1617E">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517" w:type="pct"/>
            <w:shd w:val="clear" w:color="000000" w:fill="FFFFFF"/>
            <w:vAlign w:val="center"/>
          </w:tcPr>
          <w:p w14:paraId="5E195DEE">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629" w:type="pct"/>
            <w:shd w:val="clear" w:color="000000" w:fill="FFFFFF"/>
            <w:vAlign w:val="center"/>
          </w:tcPr>
          <w:p w14:paraId="4B66FDE0">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659" w:type="pct"/>
            <w:shd w:val="clear" w:color="000000" w:fill="FFFFFF"/>
            <w:vAlign w:val="center"/>
          </w:tcPr>
          <w:p w14:paraId="077C886D">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10D68C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401" w:type="pct"/>
            <w:vMerge w:val="restart"/>
            <w:shd w:val="clear" w:color="auto" w:fill="FFFFFF"/>
            <w:vAlign w:val="center"/>
          </w:tcPr>
          <w:p w14:paraId="22D573FF">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369" w:type="pct"/>
            <w:vMerge w:val="restart"/>
            <w:shd w:val="clear" w:color="auto" w:fill="FFFFFF"/>
            <w:vAlign w:val="center"/>
          </w:tcPr>
          <w:p w14:paraId="5938E750">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422" w:type="pct"/>
            <w:shd w:val="clear" w:color="auto" w:fill="FFFFFF"/>
            <w:vAlign w:val="center"/>
          </w:tcPr>
          <w:p w14:paraId="60E64CFA">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517" w:type="pct"/>
            <w:shd w:val="clear" w:color="auto" w:fill="FFFFFF"/>
            <w:vAlign w:val="center"/>
          </w:tcPr>
          <w:p w14:paraId="70F51863">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629" w:type="pct"/>
            <w:shd w:val="clear" w:color="auto" w:fill="FFFFFF"/>
            <w:vAlign w:val="center"/>
          </w:tcPr>
          <w:p w14:paraId="445EF7DE">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659" w:type="pct"/>
            <w:shd w:val="clear" w:color="auto" w:fill="FFFFFF"/>
            <w:vAlign w:val="center"/>
          </w:tcPr>
          <w:p w14:paraId="0A71F4AF">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4D46F0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401" w:type="pct"/>
            <w:vMerge w:val="continue"/>
            <w:shd w:val="clear" w:color="auto" w:fill="FFFFFF"/>
            <w:vAlign w:val="center"/>
          </w:tcPr>
          <w:p w14:paraId="476136DD">
            <w:pPr>
              <w:widowControl/>
              <w:spacing w:line="0" w:lineRule="atLeast"/>
              <w:jc w:val="center"/>
              <w:rPr>
                <w:color w:val="000000"/>
                <w:kern w:val="0"/>
                <w:sz w:val="22"/>
                <w:szCs w:val="22"/>
                <w:highlight w:val="none"/>
              </w:rPr>
            </w:pPr>
          </w:p>
        </w:tc>
        <w:tc>
          <w:tcPr>
            <w:tcW w:w="369" w:type="pct"/>
            <w:vMerge w:val="continue"/>
            <w:shd w:val="clear" w:color="auto" w:fill="FFFFFF"/>
            <w:vAlign w:val="center"/>
          </w:tcPr>
          <w:p w14:paraId="6510B96D">
            <w:pPr>
              <w:widowControl/>
              <w:spacing w:line="0" w:lineRule="atLeast"/>
              <w:jc w:val="center"/>
              <w:rPr>
                <w:color w:val="000000"/>
                <w:kern w:val="0"/>
                <w:sz w:val="22"/>
                <w:szCs w:val="22"/>
                <w:highlight w:val="none"/>
              </w:rPr>
            </w:pPr>
          </w:p>
        </w:tc>
        <w:tc>
          <w:tcPr>
            <w:tcW w:w="422" w:type="pct"/>
            <w:shd w:val="clear" w:color="auto" w:fill="FFFFFF"/>
            <w:vAlign w:val="center"/>
          </w:tcPr>
          <w:p w14:paraId="38288775">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517" w:type="pct"/>
            <w:shd w:val="clear" w:color="000000" w:fill="FFFFFF"/>
            <w:vAlign w:val="center"/>
          </w:tcPr>
          <w:p w14:paraId="7E7FBC18">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629" w:type="pct"/>
            <w:shd w:val="clear" w:color="000000" w:fill="FFFFFF"/>
            <w:vAlign w:val="center"/>
          </w:tcPr>
          <w:p w14:paraId="3B336D9A">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659" w:type="pct"/>
            <w:shd w:val="clear" w:color="000000" w:fill="FFFFFF"/>
            <w:vAlign w:val="center"/>
          </w:tcPr>
          <w:p w14:paraId="7E3D8541">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14:paraId="43FB7A6D">
      <w:pPr>
        <w:rPr>
          <w:highlight w:val="none"/>
        </w:rPr>
      </w:pPr>
    </w:p>
    <w:bookmarkEnd w:id="5"/>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72B6794">
        <w:pPr>
          <w:pStyle w:val="7"/>
          <w:jc w:val="center"/>
        </w:pPr>
        <w:r>
          <w:fldChar w:fldCharType="begin"/>
        </w:r>
        <w:r>
          <w:instrText xml:space="preserve">PAGE   \* MERGEFORMAT</w:instrText>
        </w:r>
        <w:r>
          <w:fldChar w:fldCharType="separate"/>
        </w:r>
        <w:r>
          <w:rPr>
            <w:lang w:val="zh-CN"/>
          </w:rPr>
          <w:t>13</w:t>
        </w:r>
        <w:r>
          <w:fldChar w:fldCharType="end"/>
        </w:r>
      </w:p>
    </w:sdtContent>
  </w:sdt>
  <w:p w14:paraId="162ACFD6">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FF6C4049"/>
    <w:rsid w:val="006F7242"/>
    <w:rsid w:val="007B168A"/>
    <w:rsid w:val="008B2CFE"/>
    <w:rsid w:val="00F26FF6"/>
    <w:rsid w:val="07397B77"/>
    <w:rsid w:val="07BC5296"/>
    <w:rsid w:val="085409E1"/>
    <w:rsid w:val="0BF57DE5"/>
    <w:rsid w:val="0D1F15BD"/>
    <w:rsid w:val="0F7A6F7F"/>
    <w:rsid w:val="11D96D2F"/>
    <w:rsid w:val="13471461"/>
    <w:rsid w:val="13B90F01"/>
    <w:rsid w:val="181066D2"/>
    <w:rsid w:val="1C671E73"/>
    <w:rsid w:val="28D52E4B"/>
    <w:rsid w:val="293E2974"/>
    <w:rsid w:val="2D2307FE"/>
    <w:rsid w:val="381F1BC2"/>
    <w:rsid w:val="38CA40DD"/>
    <w:rsid w:val="395F2B56"/>
    <w:rsid w:val="397A4616"/>
    <w:rsid w:val="3A241712"/>
    <w:rsid w:val="3BECE841"/>
    <w:rsid w:val="3C265C15"/>
    <w:rsid w:val="3DD2077D"/>
    <w:rsid w:val="3FF7797D"/>
    <w:rsid w:val="4290203A"/>
    <w:rsid w:val="43D342B7"/>
    <w:rsid w:val="468E3747"/>
    <w:rsid w:val="48B63E7D"/>
    <w:rsid w:val="4B0B7FE2"/>
    <w:rsid w:val="4D6E4D26"/>
    <w:rsid w:val="52A1794C"/>
    <w:rsid w:val="53202F66"/>
    <w:rsid w:val="564B3E56"/>
    <w:rsid w:val="568D26C1"/>
    <w:rsid w:val="5BFF6039"/>
    <w:rsid w:val="5D76A616"/>
    <w:rsid w:val="5D7F20B9"/>
    <w:rsid w:val="5DAC7D0E"/>
    <w:rsid w:val="5F392F19"/>
    <w:rsid w:val="5F98B5AF"/>
    <w:rsid w:val="5FFE8511"/>
    <w:rsid w:val="5FFEACE2"/>
    <w:rsid w:val="643EE26D"/>
    <w:rsid w:val="6C8D2FC3"/>
    <w:rsid w:val="6F5C41AC"/>
    <w:rsid w:val="6FAF6C78"/>
    <w:rsid w:val="7317C656"/>
    <w:rsid w:val="734ED73F"/>
    <w:rsid w:val="761107C1"/>
    <w:rsid w:val="77FD8BE9"/>
    <w:rsid w:val="780D398B"/>
    <w:rsid w:val="79052133"/>
    <w:rsid w:val="79A9BD3F"/>
    <w:rsid w:val="7AB51557"/>
    <w:rsid w:val="7BFFFDD0"/>
    <w:rsid w:val="7C336E5F"/>
    <w:rsid w:val="7D7A5F86"/>
    <w:rsid w:val="7E6A5BA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21"/>
    <w:autoRedefine/>
    <w:qFormat/>
    <w:uiPriority w:val="0"/>
    <w:pPr>
      <w:jc w:val="left"/>
    </w:pPr>
  </w:style>
  <w:style w:type="paragraph" w:styleId="4">
    <w:name w:val="Body Text"/>
    <w:basedOn w:val="1"/>
    <w:autoRedefine/>
    <w:qFormat/>
    <w:uiPriority w:val="0"/>
    <w:pPr>
      <w:spacing w:after="120"/>
    </w:pPr>
  </w:style>
  <w:style w:type="paragraph" w:styleId="5">
    <w:name w:val="Body Text Indent"/>
    <w:basedOn w:val="1"/>
    <w:autoRedefine/>
    <w:qFormat/>
    <w:uiPriority w:val="0"/>
    <w:pPr>
      <w:spacing w:after="120"/>
      <w:ind w:left="420" w:leftChars="200"/>
    </w:pPr>
    <w:rPr>
      <w:rFonts w:ascii="Calibri" w:hAnsi="Calibri"/>
    </w:rPr>
  </w:style>
  <w:style w:type="paragraph" w:styleId="6">
    <w:name w:val="Balloon Text"/>
    <w:basedOn w:val="1"/>
    <w:link w:val="19"/>
    <w:autoRedefine/>
    <w:qFormat/>
    <w:uiPriority w:val="0"/>
    <w:rPr>
      <w:sz w:val="18"/>
      <w:szCs w:val="18"/>
    </w:rPr>
  </w:style>
  <w:style w:type="paragraph" w:styleId="7">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0"/>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annotation subject"/>
    <w:basedOn w:val="3"/>
    <w:next w:val="3"/>
    <w:link w:val="22"/>
    <w:autoRedefine/>
    <w:qFormat/>
    <w:uiPriority w:val="0"/>
    <w:rPr>
      <w:b/>
      <w:bCs/>
    </w:rPr>
  </w:style>
  <w:style w:type="paragraph" w:styleId="11">
    <w:name w:val="Body Text First Indent"/>
    <w:basedOn w:val="4"/>
    <w:autoRedefine/>
    <w:qFormat/>
    <w:uiPriority w:val="0"/>
    <w:pPr>
      <w:spacing w:after="0"/>
      <w:ind w:firstLine="200" w:firstLineChars="200"/>
    </w:pPr>
  </w:style>
  <w:style w:type="paragraph" w:styleId="12">
    <w:name w:val="Body Text First Indent 2"/>
    <w:basedOn w:val="5"/>
    <w:autoRedefine/>
    <w:qFormat/>
    <w:uiPriority w:val="0"/>
    <w:pPr>
      <w:ind w:firstLine="420" w:firstLineChars="200"/>
    </w:pPr>
  </w:style>
  <w:style w:type="character" w:styleId="15">
    <w:name w:val="Strong"/>
    <w:basedOn w:val="14"/>
    <w:autoRedefine/>
    <w:qFormat/>
    <w:uiPriority w:val="0"/>
    <w:rPr>
      <w:b/>
      <w:bCs/>
    </w:rPr>
  </w:style>
  <w:style w:type="character" w:styleId="16">
    <w:name w:val="annotation reference"/>
    <w:basedOn w:val="14"/>
    <w:autoRedefine/>
    <w:qFormat/>
    <w:uiPriority w:val="0"/>
    <w:rPr>
      <w:sz w:val="21"/>
      <w:szCs w:val="21"/>
    </w:rPr>
  </w:style>
  <w:style w:type="character" w:customStyle="1" w:styleId="17">
    <w:name w:val="fontstyle01"/>
    <w:autoRedefine/>
    <w:qFormat/>
    <w:uiPriority w:val="0"/>
    <w:rPr>
      <w:rFonts w:ascii="仿宋_GB2312" w:hAnsi="仿宋_GB2312" w:eastAsia="仿宋_GB2312" w:cs="仿宋_GB2312"/>
      <w:color w:val="000000"/>
      <w:sz w:val="32"/>
      <w:szCs w:val="32"/>
    </w:rPr>
  </w:style>
  <w:style w:type="paragraph" w:customStyle="1" w:styleId="18">
    <w:name w:val="闻政-正文段落文字"/>
    <w:basedOn w:val="1"/>
    <w:autoRedefine/>
    <w:qFormat/>
    <w:uiPriority w:val="3"/>
    <w:pPr>
      <w:spacing w:line="500" w:lineRule="exact"/>
      <w:ind w:firstLine="200"/>
    </w:pPr>
    <w:rPr>
      <w:kern w:val="0"/>
      <w:szCs w:val="28"/>
    </w:rPr>
  </w:style>
  <w:style w:type="character" w:customStyle="1" w:styleId="19">
    <w:name w:val="批注框文本 字符"/>
    <w:basedOn w:val="14"/>
    <w:link w:val="6"/>
    <w:autoRedefine/>
    <w:qFormat/>
    <w:uiPriority w:val="0"/>
    <w:rPr>
      <w:rFonts w:ascii="Times New Roman" w:hAnsi="Times New Roman" w:eastAsia="宋体" w:cs="Times New Roman"/>
      <w:kern w:val="2"/>
      <w:sz w:val="18"/>
      <w:szCs w:val="18"/>
    </w:rPr>
  </w:style>
  <w:style w:type="character" w:customStyle="1" w:styleId="20">
    <w:name w:val="页眉 字符"/>
    <w:basedOn w:val="14"/>
    <w:link w:val="8"/>
    <w:autoRedefine/>
    <w:qFormat/>
    <w:uiPriority w:val="0"/>
    <w:rPr>
      <w:rFonts w:ascii="Times New Roman" w:hAnsi="Times New Roman" w:eastAsia="宋体" w:cs="Times New Roman"/>
      <w:kern w:val="2"/>
      <w:sz w:val="18"/>
      <w:szCs w:val="18"/>
    </w:rPr>
  </w:style>
  <w:style w:type="character" w:customStyle="1" w:styleId="21">
    <w:name w:val="批注文字 字符"/>
    <w:basedOn w:val="14"/>
    <w:link w:val="3"/>
    <w:autoRedefine/>
    <w:qFormat/>
    <w:uiPriority w:val="0"/>
    <w:rPr>
      <w:rFonts w:ascii="Times New Roman" w:hAnsi="Times New Roman" w:eastAsia="宋体" w:cs="Times New Roman"/>
      <w:kern w:val="2"/>
      <w:sz w:val="21"/>
      <w:szCs w:val="24"/>
    </w:rPr>
  </w:style>
  <w:style w:type="character" w:customStyle="1" w:styleId="22">
    <w:name w:val="批注主题 字符"/>
    <w:basedOn w:val="21"/>
    <w:link w:val="10"/>
    <w:autoRedefine/>
    <w:qFormat/>
    <w:uiPriority w:val="0"/>
    <w:rPr>
      <w:rFonts w:ascii="Times New Roman" w:hAnsi="Times New Roman" w:eastAsia="宋体" w:cs="Times New Roman"/>
      <w:b/>
      <w:bCs/>
      <w:kern w:val="2"/>
      <w:sz w:val="21"/>
      <w:szCs w:val="24"/>
    </w:rPr>
  </w:style>
  <w:style w:type="paragraph" w:customStyle="1" w:styleId="23">
    <w:name w:val="List Paragraph"/>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10091</Words>
  <Characters>10578</Characters>
  <Lines>58</Lines>
  <Paragraphs>16</Paragraphs>
  <TotalTime>67</TotalTime>
  <ScaleCrop>false</ScaleCrop>
  <LinksUpToDate>false</LinksUpToDate>
  <CharactersWithSpaces>10623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岁月无痕</cp:lastModifiedBy>
  <cp:lastPrinted>2024-05-07T04:31:00Z</cp:lastPrinted>
  <dcterms:modified xsi:type="dcterms:W3CDTF">2024-08-20T09:46:02Z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DEB37354E36D40D48F20A3DAB18895C3</vt:lpwstr>
  </property>
</Properties>
</file>