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C4CD3">
      <w:pPr>
        <w:spacing w:line="540" w:lineRule="exact"/>
        <w:jc w:val="center"/>
        <w:rPr>
          <w:rFonts w:eastAsia="华文中宋"/>
          <w:b/>
          <w:kern w:val="0"/>
          <w:sz w:val="52"/>
          <w:szCs w:val="52"/>
        </w:rPr>
      </w:pPr>
    </w:p>
    <w:p w14:paraId="5C4A2CE3">
      <w:pPr>
        <w:spacing w:line="540" w:lineRule="exact"/>
        <w:rPr>
          <w:rFonts w:eastAsia="华文中宋"/>
          <w:b/>
          <w:kern w:val="0"/>
          <w:sz w:val="52"/>
          <w:szCs w:val="52"/>
        </w:rPr>
      </w:pPr>
    </w:p>
    <w:p w14:paraId="0929035C">
      <w:pPr>
        <w:spacing w:line="540" w:lineRule="exact"/>
        <w:jc w:val="center"/>
        <w:rPr>
          <w:rFonts w:eastAsia="华文中宋"/>
          <w:b/>
          <w:kern w:val="0"/>
          <w:sz w:val="52"/>
          <w:szCs w:val="52"/>
        </w:rPr>
      </w:pPr>
    </w:p>
    <w:p w14:paraId="59072808">
      <w:pPr>
        <w:spacing w:line="540" w:lineRule="exact"/>
        <w:jc w:val="center"/>
        <w:rPr>
          <w:rFonts w:eastAsia="华文中宋"/>
          <w:b/>
          <w:kern w:val="0"/>
          <w:sz w:val="52"/>
          <w:szCs w:val="52"/>
        </w:rPr>
      </w:pPr>
    </w:p>
    <w:p w14:paraId="57D81F32">
      <w:pPr>
        <w:spacing w:line="540" w:lineRule="exact"/>
        <w:jc w:val="center"/>
        <w:rPr>
          <w:rFonts w:eastAsia="方正小标宋_GBK"/>
          <w:kern w:val="0"/>
          <w:sz w:val="48"/>
          <w:szCs w:val="48"/>
        </w:rPr>
      </w:pPr>
      <w:r>
        <w:rPr>
          <w:rFonts w:hint="eastAsia" w:eastAsia="方正小标宋_GBK"/>
          <w:kern w:val="0"/>
          <w:sz w:val="48"/>
          <w:szCs w:val="48"/>
        </w:rPr>
        <w:t>喀什经济开发区固定站基础装修</w:t>
      </w:r>
    </w:p>
    <w:p w14:paraId="7895E2C5">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3865C3DD">
      <w:pPr>
        <w:spacing w:line="540" w:lineRule="exact"/>
        <w:jc w:val="center"/>
        <w:rPr>
          <w:rFonts w:eastAsia="华文中宋"/>
          <w:b/>
          <w:kern w:val="0"/>
          <w:sz w:val="52"/>
          <w:szCs w:val="52"/>
        </w:rPr>
      </w:pPr>
    </w:p>
    <w:p w14:paraId="267FA1D8">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3BDAC307">
      <w:pPr>
        <w:spacing w:line="540" w:lineRule="exact"/>
        <w:jc w:val="center"/>
        <w:rPr>
          <w:rFonts w:eastAsia="仿宋_GB2312"/>
          <w:kern w:val="0"/>
          <w:sz w:val="30"/>
          <w:szCs w:val="30"/>
        </w:rPr>
      </w:pPr>
    </w:p>
    <w:p w14:paraId="0C23A54D">
      <w:pPr>
        <w:spacing w:line="540" w:lineRule="exact"/>
        <w:jc w:val="center"/>
        <w:rPr>
          <w:rFonts w:eastAsia="仿宋_GB2312"/>
          <w:kern w:val="0"/>
          <w:sz w:val="30"/>
          <w:szCs w:val="30"/>
        </w:rPr>
      </w:pPr>
    </w:p>
    <w:p w14:paraId="681675F5">
      <w:pPr>
        <w:spacing w:line="540" w:lineRule="exact"/>
        <w:jc w:val="center"/>
        <w:rPr>
          <w:rFonts w:eastAsia="仿宋_GB2312"/>
          <w:kern w:val="0"/>
          <w:sz w:val="30"/>
          <w:szCs w:val="30"/>
        </w:rPr>
      </w:pPr>
    </w:p>
    <w:p w14:paraId="608D848F">
      <w:pPr>
        <w:pStyle w:val="2"/>
      </w:pPr>
    </w:p>
    <w:p w14:paraId="2611CC7F">
      <w:pPr>
        <w:spacing w:line="540" w:lineRule="exact"/>
        <w:jc w:val="center"/>
        <w:rPr>
          <w:rFonts w:eastAsia="仿宋_GB2312"/>
          <w:kern w:val="0"/>
          <w:sz w:val="30"/>
          <w:szCs w:val="30"/>
        </w:rPr>
      </w:pPr>
    </w:p>
    <w:p w14:paraId="243E17C6">
      <w:pPr>
        <w:spacing w:line="540" w:lineRule="exact"/>
        <w:rPr>
          <w:rFonts w:eastAsia="仿宋_GB2312"/>
          <w:kern w:val="0"/>
          <w:sz w:val="30"/>
          <w:szCs w:val="30"/>
        </w:rPr>
      </w:pPr>
    </w:p>
    <w:p w14:paraId="791BE79F">
      <w:pPr>
        <w:spacing w:line="700" w:lineRule="exact"/>
        <w:ind w:firstLine="565" w:firstLineChars="157"/>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喀什经济开发区固定站基础装修</w:t>
      </w:r>
    </w:p>
    <w:p w14:paraId="42507E2E">
      <w:pPr>
        <w:spacing w:line="700" w:lineRule="exact"/>
        <w:ind w:firstLine="565" w:firstLineChars="157"/>
        <w:jc w:val="left"/>
        <w:rPr>
          <w:rFonts w:hint="default" w:eastAsia="仿宋_GB2312"/>
          <w:kern w:val="0"/>
          <w:sz w:val="36"/>
          <w:szCs w:val="36"/>
          <w:lang w:val="en-US" w:eastAsia="zh-CN"/>
        </w:rPr>
      </w:pPr>
      <w:r>
        <w:rPr>
          <w:rFonts w:eastAsia="仿宋_GB2312"/>
          <w:kern w:val="0"/>
          <w:sz w:val="36"/>
          <w:szCs w:val="36"/>
        </w:rPr>
        <w:t>实施单位（公章）：</w:t>
      </w:r>
      <w:r>
        <w:rPr>
          <w:rFonts w:hint="eastAsia" w:ascii="仿宋_GB2312" w:hAnsi="宋体" w:cs="宋体"/>
          <w:kern w:val="0"/>
          <w:sz w:val="32"/>
          <w:szCs w:val="32"/>
          <w:lang w:val="en-US" w:eastAsia="zh-CN"/>
        </w:rPr>
        <w:t>喀什地区无线电管理局</w:t>
      </w:r>
    </w:p>
    <w:p w14:paraId="4A80CF2E">
      <w:pPr>
        <w:spacing w:line="700" w:lineRule="exact"/>
        <w:ind w:firstLine="565" w:firstLineChars="157"/>
        <w:jc w:val="left"/>
        <w:rPr>
          <w:rFonts w:eastAsia="仿宋_GB2312"/>
          <w:kern w:val="0"/>
          <w:sz w:val="36"/>
          <w:szCs w:val="36"/>
        </w:rPr>
      </w:pPr>
      <w:r>
        <w:rPr>
          <w:rFonts w:eastAsia="仿宋_GB2312"/>
          <w:kern w:val="0"/>
          <w:sz w:val="36"/>
          <w:szCs w:val="36"/>
        </w:rPr>
        <w:t>主管部门（公章）：</w:t>
      </w:r>
      <w:r>
        <w:rPr>
          <w:rFonts w:hint="eastAsia" w:ascii="仿宋_GB2312" w:hAnsi="宋体" w:eastAsia="仿宋_GB2312" w:cs="宋体"/>
          <w:kern w:val="0"/>
          <w:sz w:val="32"/>
          <w:szCs w:val="32"/>
        </w:rPr>
        <w:t>新疆维吾尔自治区工业和信息化厅</w:t>
      </w:r>
    </w:p>
    <w:p w14:paraId="4476679B">
      <w:pPr>
        <w:spacing w:line="700" w:lineRule="exact"/>
        <w:ind w:firstLine="565" w:firstLineChars="157"/>
        <w:jc w:val="left"/>
        <w:rPr>
          <w:rFonts w:hint="eastAsia" w:eastAsia="仿宋_GB2312"/>
          <w:kern w:val="0"/>
          <w:sz w:val="36"/>
          <w:szCs w:val="36"/>
          <w:lang w:eastAsia="zh-CN"/>
        </w:rPr>
      </w:pPr>
      <w:r>
        <w:rPr>
          <w:rFonts w:eastAsia="仿宋_GB2312"/>
          <w:kern w:val="0"/>
          <w:sz w:val="36"/>
          <w:szCs w:val="36"/>
        </w:rPr>
        <w:t>项目负责人（签章）：</w:t>
      </w:r>
      <w:r>
        <w:rPr>
          <w:rFonts w:hint="eastAsia" w:ascii="仿宋_GB2312" w:hAnsi="宋体" w:cs="宋体"/>
          <w:kern w:val="0"/>
          <w:sz w:val="32"/>
          <w:szCs w:val="32"/>
          <w:lang w:val="en-US" w:eastAsia="zh-CN"/>
        </w:rPr>
        <w:t>朱树理</w:t>
      </w:r>
    </w:p>
    <w:p w14:paraId="56E8840C">
      <w:pPr>
        <w:spacing w:line="700" w:lineRule="exact"/>
        <w:ind w:firstLine="565" w:firstLineChars="157"/>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2024</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8</w:t>
      </w:r>
      <w:r>
        <w:rPr>
          <w:rFonts w:eastAsia="仿宋_GB2312"/>
          <w:kern w:val="0"/>
          <w:sz w:val="36"/>
          <w:szCs w:val="36"/>
        </w:rPr>
        <w:t>日</w:t>
      </w:r>
    </w:p>
    <w:p w14:paraId="7D1CD2AF">
      <w:pPr>
        <w:spacing w:line="540" w:lineRule="exact"/>
        <w:jc w:val="center"/>
        <w:rPr>
          <w:rFonts w:eastAsia="仿宋_GB2312"/>
          <w:kern w:val="0"/>
          <w:sz w:val="30"/>
          <w:szCs w:val="30"/>
        </w:rPr>
      </w:pPr>
    </w:p>
    <w:p w14:paraId="2D72666F">
      <w:pPr>
        <w:spacing w:line="540" w:lineRule="exact"/>
        <w:rPr>
          <w:rStyle w:val="6"/>
          <w:rFonts w:eastAsia="黑体"/>
          <w:b w:val="0"/>
          <w:spacing w:val="-4"/>
          <w:sz w:val="32"/>
          <w:szCs w:val="32"/>
        </w:rPr>
      </w:pPr>
    </w:p>
    <w:p w14:paraId="6591C41C">
      <w:pPr>
        <w:spacing w:line="540" w:lineRule="exact"/>
        <w:ind w:firstLine="640"/>
        <w:rPr>
          <w:rStyle w:val="6"/>
          <w:rFonts w:eastAsia="黑体"/>
          <w:b w:val="0"/>
          <w:spacing w:val="-4"/>
          <w:sz w:val="32"/>
          <w:szCs w:val="32"/>
        </w:rPr>
      </w:pPr>
    </w:p>
    <w:p w14:paraId="789D2A57">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434D9BA6">
      <w:pPr>
        <w:jc w:val="both"/>
        <w:rPr>
          <w:rFonts w:ascii="仿宋_GB2312"/>
          <w:szCs w:val="30"/>
        </w:rPr>
      </w:pPr>
    </w:p>
    <w:p w14:paraId="195713C6">
      <w:pPr>
        <w:spacing w:line="600" w:lineRule="exact"/>
        <w:ind w:firstLine="600" w:firstLineChars="200"/>
        <w:rPr>
          <w:rFonts w:ascii="黑体" w:hAnsi="黑体" w:eastAsia="黑体"/>
        </w:rPr>
      </w:pPr>
      <w:r>
        <w:rPr>
          <w:rFonts w:hint="eastAsia" w:ascii="黑体" w:hAnsi="黑体" w:eastAsia="黑体"/>
        </w:rPr>
        <w:t>一、基本情况</w:t>
      </w:r>
    </w:p>
    <w:p w14:paraId="281E4132">
      <w:pPr>
        <w:spacing w:line="600" w:lineRule="exact"/>
        <w:ind w:firstLine="600" w:firstLineChars="200"/>
        <w:outlineLvl w:val="0"/>
        <w:rPr>
          <w:rFonts w:hint="eastAsia" w:ascii="仿宋_GB2312"/>
          <w:color w:val="auto"/>
        </w:rPr>
      </w:pPr>
      <w:r>
        <w:rPr>
          <w:rFonts w:hint="eastAsia" w:ascii="仿宋_GB2312"/>
          <w:color w:val="auto"/>
        </w:rPr>
        <w:t>（一）项目概况。</w:t>
      </w:r>
    </w:p>
    <w:p w14:paraId="164CFDEE">
      <w:pPr>
        <w:spacing w:line="600" w:lineRule="exact"/>
        <w:ind w:firstLine="602" w:firstLineChars="200"/>
        <w:outlineLvl w:val="0"/>
        <w:rPr>
          <w:rFonts w:hint="eastAsia" w:ascii="仿宋_GB2312" w:hAnsi="仿宋_GB2312" w:eastAsia="仿宋_GB2312" w:cs="仿宋_GB2312"/>
          <w:b w:val="0"/>
          <w:bCs w:val="0"/>
          <w:color w:val="000000"/>
          <w:sz w:val="32"/>
          <w:szCs w:val="32"/>
          <w:highlight w:val="none"/>
          <w:lang w:val="zh-CN" w:eastAsia="zh-CN"/>
        </w:rPr>
      </w:pPr>
      <w:r>
        <w:rPr>
          <w:rFonts w:hint="eastAsia" w:ascii="仿宋_GB2312"/>
          <w:b/>
          <w:bCs/>
          <w:lang w:val="en-US" w:eastAsia="zh-CN"/>
        </w:rPr>
        <w:t>1.</w:t>
      </w:r>
      <w:r>
        <w:rPr>
          <w:rFonts w:hint="eastAsia" w:ascii="仿宋_GB2312"/>
          <w:b/>
          <w:bCs/>
        </w:rPr>
        <w:t>项目背景</w:t>
      </w:r>
      <w:r>
        <w:rPr>
          <w:rFonts w:hint="eastAsia" w:ascii="仿宋_GB2312"/>
          <w:b/>
          <w:bCs/>
          <w:lang w:eastAsia="zh-CN"/>
        </w:rPr>
        <w:t>：</w:t>
      </w:r>
      <w:r>
        <w:rPr>
          <w:rFonts w:hint="eastAsia" w:ascii="仿宋_GB2312" w:hAnsi="仿宋_GB2312" w:eastAsia="仿宋_GB2312" w:cs="仿宋_GB2312"/>
          <w:b w:val="0"/>
          <w:bCs w:val="0"/>
          <w:color w:val="000000"/>
          <w:sz w:val="32"/>
          <w:szCs w:val="32"/>
          <w:highlight w:val="none"/>
          <w:lang w:val="zh-CN" w:eastAsia="zh-CN"/>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按照喀什地区固定站基础建设的统一规划，利用单位挂帐无付款事项的自有资金，完成机房</w:t>
      </w:r>
      <w:r>
        <w:rPr>
          <w:rFonts w:hint="eastAsia" w:ascii="仿宋_GB2312" w:hAnsi="仿宋_GB2312" w:cs="仿宋_GB2312"/>
          <w:b w:val="0"/>
          <w:bCs w:val="0"/>
          <w:color w:val="000000"/>
          <w:sz w:val="32"/>
          <w:szCs w:val="32"/>
          <w:highlight w:val="none"/>
          <w:lang w:val="zh-CN" w:eastAsia="zh-CN"/>
        </w:rPr>
        <w:t>修缮</w:t>
      </w:r>
      <w:r>
        <w:rPr>
          <w:rFonts w:hint="eastAsia" w:ascii="仿宋_GB2312" w:hAnsi="仿宋_GB2312" w:eastAsia="仿宋_GB2312" w:cs="仿宋_GB2312"/>
          <w:b w:val="0"/>
          <w:bCs w:val="0"/>
          <w:color w:val="000000"/>
          <w:sz w:val="32"/>
          <w:szCs w:val="32"/>
          <w:highlight w:val="none"/>
          <w:lang w:val="zh-CN" w:eastAsia="zh-CN"/>
        </w:rPr>
        <w:t>，使其达到预定可使用状态；同时，对视频会议室己破损且提请报废的桌椅进行更换购置，为喀什地区的全疆重大经济运行和无线电管理等重要视频会议保障提供基本保证。确保项目顺利执行，为喀什地区十四五无线电监测规划实际做好基础硬件设施的配套支撑</w:t>
      </w:r>
      <w:r>
        <w:rPr>
          <w:rFonts w:hint="eastAsia" w:ascii="仿宋_GB2312" w:hAnsi="仿宋_GB2312" w:cs="仿宋_GB2312"/>
          <w:b w:val="0"/>
          <w:bCs w:val="0"/>
          <w:color w:val="000000"/>
          <w:sz w:val="32"/>
          <w:szCs w:val="32"/>
          <w:highlight w:val="none"/>
          <w:lang w:val="zh-CN" w:eastAsia="zh-CN"/>
        </w:rPr>
        <w:t>，</w:t>
      </w:r>
      <w:r>
        <w:rPr>
          <w:rFonts w:hint="eastAsia" w:ascii="仿宋_GB2312" w:hAnsi="仿宋_GB2312" w:eastAsia="仿宋_GB2312" w:cs="仿宋_GB2312"/>
          <w:b w:val="0"/>
          <w:bCs w:val="0"/>
          <w:color w:val="000000"/>
          <w:sz w:val="32"/>
          <w:szCs w:val="32"/>
          <w:highlight w:val="none"/>
          <w:lang w:val="zh-CN" w:eastAsia="zh-CN"/>
        </w:rPr>
        <w:t>且与原有喀什市区内17个网格化监测节点有效衔接，保证无线电监测业务常期稳妥进行，切实为喀什社会稳定和经济发展服务。</w:t>
      </w:r>
    </w:p>
    <w:p w14:paraId="43967C83">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outlineLvl w:val="0"/>
        <w:rPr>
          <w:rFonts w:hint="eastAsia" w:ascii="仿宋_GB2312"/>
          <w:b w:val="0"/>
          <w:bCs w:val="0"/>
          <w:lang w:eastAsia="zh-CN"/>
        </w:rPr>
      </w:pPr>
      <w:r>
        <w:rPr>
          <w:rFonts w:hint="eastAsia" w:ascii="仿宋_GB2312"/>
          <w:b/>
          <w:bCs/>
          <w:lang w:val="en-US" w:eastAsia="zh-CN"/>
        </w:rPr>
        <w:t>2.主要内容：</w:t>
      </w:r>
      <w:r>
        <w:rPr>
          <w:rFonts w:hint="eastAsia" w:ascii="仿宋_GB2312" w:hAnsi="仿宋_GB2312" w:eastAsia="仿宋_GB2312" w:cs="仿宋_GB2312"/>
          <w:b w:val="0"/>
          <w:bCs w:val="0"/>
          <w:color w:val="000000"/>
          <w:sz w:val="32"/>
          <w:szCs w:val="32"/>
          <w:highlight w:val="none"/>
          <w:lang w:val="zh-CN"/>
        </w:rPr>
        <w:t>根据202</w:t>
      </w:r>
      <w:r>
        <w:rPr>
          <w:rFonts w:hint="eastAsia" w:ascii="仿宋_GB2312" w:hAnsi="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val="zh-CN"/>
        </w:rPr>
        <w:t>年自治区无线电安全保障工作总体要求，结合喀什地区无线电管理局工作计划，纳入202</w:t>
      </w:r>
      <w:r>
        <w:rPr>
          <w:rFonts w:hint="eastAsia" w:ascii="仿宋_GB2312" w:hAnsi="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2"/>
          <w:szCs w:val="32"/>
          <w:highlight w:val="none"/>
          <w:lang w:val="zh-CN"/>
        </w:rPr>
        <w:t>年部门预算，申报喀什固定站基础装修</w:t>
      </w:r>
      <w:r>
        <w:rPr>
          <w:rFonts w:hint="eastAsia" w:ascii="仿宋_GB2312" w:hAnsi="仿宋_GB2312" w:eastAsia="仿宋_GB2312" w:cs="仿宋_GB2312"/>
          <w:b w:val="0"/>
          <w:bCs w:val="0"/>
          <w:color w:val="000000"/>
          <w:sz w:val="32"/>
          <w:szCs w:val="32"/>
          <w:highlight w:val="none"/>
          <w:lang w:val="zh-CN" w:eastAsia="zh-CN"/>
        </w:rPr>
        <w:t>，</w:t>
      </w:r>
      <w:r>
        <w:rPr>
          <w:rFonts w:hint="eastAsia" w:ascii="仿宋_GB2312" w:hAnsi="仿宋_GB2312" w:eastAsia="仿宋_GB2312" w:cs="仿宋_GB2312"/>
          <w:b w:val="0"/>
          <w:bCs w:val="0"/>
          <w:color w:val="000000"/>
          <w:sz w:val="32"/>
          <w:szCs w:val="32"/>
          <w:highlight w:val="none"/>
          <w:lang w:val="zh-CN"/>
        </w:rPr>
        <w:t>预算</w:t>
      </w:r>
      <w:r>
        <w:rPr>
          <w:rFonts w:hint="eastAsia" w:ascii="仿宋_GB2312" w:hAnsi="仿宋_GB2312" w:cs="仿宋_GB2312"/>
          <w:b w:val="0"/>
          <w:bCs w:val="0"/>
          <w:color w:val="000000"/>
          <w:sz w:val="32"/>
          <w:szCs w:val="32"/>
          <w:highlight w:val="none"/>
          <w:lang w:val="en-US" w:eastAsia="zh-CN"/>
        </w:rPr>
        <w:t>12.31</w:t>
      </w:r>
      <w:r>
        <w:rPr>
          <w:rFonts w:hint="eastAsia" w:ascii="仿宋_GB2312" w:hAnsi="仿宋_GB2312" w:eastAsia="仿宋_GB2312" w:cs="仿宋_GB2312"/>
          <w:b w:val="0"/>
          <w:bCs w:val="0"/>
          <w:color w:val="000000"/>
          <w:sz w:val="32"/>
          <w:szCs w:val="32"/>
          <w:highlight w:val="none"/>
          <w:lang w:val="zh-CN"/>
        </w:rPr>
        <w:t>万元，</w:t>
      </w:r>
      <w:r>
        <w:rPr>
          <w:rFonts w:hint="eastAsia" w:ascii="仿宋_GB2312"/>
          <w:b w:val="0"/>
          <w:bCs w:val="0"/>
          <w:lang w:eastAsia="zh-CN"/>
        </w:rPr>
        <w:t>为喀什地区的全疆重大经济运行和无线电管理等重要视频会议保障提供基本保证，对视频会议室己破损且提请报废的桌椅进行更换购置；促进盲区监测能力提升，且与原有喀什市区内17个网格化监测节点有效衔接，保证无线电监测业务常期稳妥进行，切实为喀什社会稳定和经济发展服务。</w:t>
      </w:r>
    </w:p>
    <w:p w14:paraId="1BB420CF">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outlineLvl w:val="0"/>
        <w:rPr>
          <w:rFonts w:hint="eastAsia" w:ascii="仿宋_GB2312" w:hAnsi="仿宋_GB2312" w:eastAsia="仿宋_GB2312" w:cs="仿宋_GB2312"/>
          <w:b w:val="0"/>
          <w:bCs w:val="0"/>
          <w:color w:val="000000"/>
          <w:sz w:val="32"/>
          <w:szCs w:val="32"/>
          <w:highlight w:val="none"/>
          <w:lang w:val="zh-CN"/>
        </w:rPr>
      </w:pPr>
      <w:r>
        <w:rPr>
          <w:rFonts w:hint="eastAsia" w:ascii="仿宋_GB2312" w:hAnsi="Times New Roman" w:cs="Times New Roman"/>
          <w:b/>
          <w:bCs/>
          <w:lang w:val="en-US" w:eastAsia="zh-CN"/>
        </w:rPr>
        <w:t>3.实施情况：</w:t>
      </w:r>
      <w:r>
        <w:rPr>
          <w:rFonts w:hint="eastAsia" w:ascii="仿宋_GB2312" w:hAnsi="仿宋_GB2312" w:eastAsia="仿宋_GB2312" w:cs="仿宋_GB2312"/>
          <w:b w:val="0"/>
          <w:bCs w:val="0"/>
          <w:color w:val="000000"/>
          <w:sz w:val="32"/>
          <w:szCs w:val="32"/>
          <w:highlight w:val="none"/>
          <w:lang w:val="zh-CN"/>
        </w:rPr>
        <w:t>项目目前已经完成实际设立的目标，</w:t>
      </w:r>
      <w:r>
        <w:rPr>
          <w:rFonts w:hint="eastAsia" w:ascii="仿宋_GB2312" w:hAnsi="仿宋_GB2312" w:cs="仿宋_GB2312"/>
          <w:b w:val="0"/>
          <w:bCs w:val="0"/>
          <w:color w:val="000000"/>
          <w:sz w:val="32"/>
          <w:szCs w:val="32"/>
          <w:highlight w:val="none"/>
          <w:lang w:val="zh-CN"/>
        </w:rPr>
        <w:t>且在</w:t>
      </w:r>
      <w:r>
        <w:rPr>
          <w:rFonts w:hint="eastAsia" w:ascii="仿宋_GB2312" w:hAnsi="仿宋_GB2312" w:eastAsia="仿宋_GB2312" w:cs="仿宋_GB2312"/>
          <w:b w:val="0"/>
          <w:bCs w:val="0"/>
          <w:color w:val="000000"/>
          <w:sz w:val="32"/>
          <w:szCs w:val="32"/>
          <w:highlight w:val="none"/>
          <w:lang w:val="zh-CN"/>
        </w:rPr>
        <w:t>实施过程中严格按照目标设立的各阶段任务展开工作，在前期立项过程中严格把质量关，建立安全防护机制，保证项目实施各阶段安全顺利进行。</w:t>
      </w:r>
    </w:p>
    <w:p w14:paraId="3C50129B">
      <w:pPr>
        <w:pStyle w:val="3"/>
        <w:keepLines w:val="0"/>
        <w:pageBreakBefore w:val="0"/>
        <w:kinsoku/>
        <w:wordWrap/>
        <w:overflowPunct/>
        <w:topLinePunct w:val="0"/>
        <w:autoSpaceDE/>
        <w:autoSpaceDN/>
        <w:bidi w:val="0"/>
        <w:adjustRightInd/>
        <w:snapToGrid/>
        <w:spacing w:before="0" w:after="0" w:line="600" w:lineRule="exact"/>
        <w:ind w:firstLine="602" w:firstLineChars="200"/>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Fonts w:hint="eastAsia" w:ascii="仿宋_GB2312" w:hAnsi="Times New Roman" w:eastAsia="仿宋_GB2312" w:cs="Times New Roman"/>
          <w:b/>
          <w:bCs/>
          <w:kern w:val="2"/>
          <w:sz w:val="30"/>
          <w:szCs w:val="24"/>
          <w:lang w:val="en-US" w:eastAsia="zh-CN" w:bidi="ar-SA"/>
        </w:rPr>
        <w:t>4.资金投入和使用情况：</w:t>
      </w:r>
      <w:r>
        <w:rPr>
          <w:rFonts w:hint="eastAsia" w:ascii="仿宋_GB2312" w:hAnsi="仿宋_GB2312" w:eastAsia="仿宋_GB2312" w:cs="仿宋_GB2312"/>
          <w:b w:val="0"/>
          <w:bCs w:val="0"/>
          <w:color w:val="000000"/>
          <w:sz w:val="32"/>
          <w:szCs w:val="32"/>
          <w:highlight w:val="none"/>
          <w:lang w:val="zh-CN"/>
        </w:rPr>
        <w:t>本</w:t>
      </w:r>
      <w:r>
        <w:rPr>
          <w:rFonts w:hint="eastAsia" w:ascii="仿宋_GB2312" w:hAnsi="仿宋_GB2312" w:eastAsia="仿宋_GB2312" w:cs="仿宋_GB2312"/>
          <w:b w:val="0"/>
          <w:bCs w:val="0"/>
          <w:color w:val="000000"/>
          <w:kern w:val="2"/>
          <w:sz w:val="32"/>
          <w:szCs w:val="32"/>
          <w:highlight w:val="none"/>
          <w:lang w:val="zh-CN" w:eastAsia="zh-CN" w:bidi="ar-SA"/>
        </w:rPr>
        <w:t>项目总投资</w:t>
      </w:r>
      <w:r>
        <w:rPr>
          <w:rFonts w:hint="eastAsia" w:ascii="仿宋_GB2312" w:hAnsi="仿宋_GB2312" w:eastAsia="仿宋_GB2312" w:cs="仿宋_GB2312"/>
          <w:b w:val="0"/>
          <w:bCs w:val="0"/>
          <w:color w:val="000000"/>
          <w:kern w:val="2"/>
          <w:sz w:val="32"/>
          <w:szCs w:val="32"/>
          <w:highlight w:val="none"/>
          <w:lang w:val="en-US" w:eastAsia="zh-CN" w:bidi="ar-SA"/>
        </w:rPr>
        <w:t>12.31</w:t>
      </w:r>
      <w:r>
        <w:rPr>
          <w:rFonts w:hint="eastAsia" w:ascii="仿宋_GB2312" w:hAnsi="仿宋_GB2312" w:eastAsia="仿宋_GB2312" w:cs="仿宋_GB2312"/>
          <w:b w:val="0"/>
          <w:bCs w:val="0"/>
          <w:color w:val="000000"/>
          <w:kern w:val="2"/>
          <w:sz w:val="32"/>
          <w:szCs w:val="32"/>
          <w:highlight w:val="none"/>
          <w:lang w:val="zh-CN" w:eastAsia="zh-CN" w:bidi="ar-SA"/>
        </w:rPr>
        <w:t>万元，其中：财政本级资金</w:t>
      </w:r>
      <w:r>
        <w:rPr>
          <w:rFonts w:hint="eastAsia" w:ascii="仿宋_GB2312" w:hAnsi="仿宋_GB2312" w:eastAsia="仿宋_GB2312" w:cs="仿宋_GB2312"/>
          <w:b w:val="0"/>
          <w:bCs w:val="0"/>
          <w:color w:val="000000"/>
          <w:kern w:val="2"/>
          <w:sz w:val="32"/>
          <w:szCs w:val="32"/>
          <w:highlight w:val="none"/>
          <w:lang w:val="en-US" w:eastAsia="zh-CN" w:bidi="ar-SA"/>
        </w:rPr>
        <w:t>0</w:t>
      </w:r>
      <w:r>
        <w:rPr>
          <w:rFonts w:hint="eastAsia" w:ascii="仿宋_GB2312" w:hAnsi="仿宋_GB2312" w:eastAsia="仿宋_GB2312" w:cs="仿宋_GB2312"/>
          <w:b w:val="0"/>
          <w:bCs w:val="0"/>
          <w:color w:val="000000"/>
          <w:kern w:val="2"/>
          <w:sz w:val="32"/>
          <w:szCs w:val="32"/>
          <w:highlight w:val="none"/>
          <w:lang w:val="zh-CN" w:eastAsia="zh-CN" w:bidi="ar-SA"/>
        </w:rPr>
        <w:t>万元，</w:t>
      </w:r>
      <w:r>
        <w:rPr>
          <w:rFonts w:hint="eastAsia" w:ascii="仿宋_GB2312" w:hAnsi="仿宋_GB2312" w:eastAsia="仿宋_GB2312" w:cs="仿宋_GB2312"/>
          <w:b w:val="0"/>
          <w:bCs w:val="0"/>
          <w:color w:val="000000"/>
          <w:kern w:val="2"/>
          <w:sz w:val="32"/>
          <w:szCs w:val="32"/>
          <w:highlight w:val="none"/>
          <w:lang w:val="en-US" w:eastAsia="zh-CN" w:bidi="ar-SA"/>
        </w:rPr>
        <w:t>其他资金12.31万元</w:t>
      </w:r>
      <w:r>
        <w:rPr>
          <w:rFonts w:hint="eastAsia" w:ascii="仿宋_GB2312" w:hAnsi="仿宋_GB2312" w:eastAsia="仿宋_GB2312" w:cs="仿宋_GB2312"/>
          <w:b w:val="0"/>
          <w:bCs w:val="0"/>
          <w:color w:val="000000"/>
          <w:kern w:val="2"/>
          <w:sz w:val="32"/>
          <w:szCs w:val="32"/>
          <w:highlight w:val="none"/>
          <w:lang w:val="zh-CN" w:eastAsia="zh-CN" w:bidi="ar-SA"/>
        </w:rPr>
        <w:t>。项目实际支出</w:t>
      </w:r>
      <w:r>
        <w:rPr>
          <w:rFonts w:hint="eastAsia" w:ascii="仿宋_GB2312" w:hAnsi="仿宋_GB2312" w:eastAsia="仿宋_GB2312" w:cs="仿宋_GB2312"/>
          <w:b w:val="0"/>
          <w:bCs w:val="0"/>
          <w:color w:val="000000"/>
          <w:kern w:val="2"/>
          <w:sz w:val="32"/>
          <w:szCs w:val="32"/>
          <w:highlight w:val="none"/>
          <w:lang w:val="en-US" w:eastAsia="zh-CN" w:bidi="ar-SA"/>
        </w:rPr>
        <w:t>12.31</w:t>
      </w:r>
      <w:r>
        <w:rPr>
          <w:rFonts w:hint="eastAsia" w:ascii="仿宋_GB2312" w:hAnsi="仿宋_GB2312" w:eastAsia="仿宋_GB2312" w:cs="仿宋_GB2312"/>
          <w:b w:val="0"/>
          <w:bCs w:val="0"/>
          <w:color w:val="000000"/>
          <w:kern w:val="2"/>
          <w:sz w:val="32"/>
          <w:szCs w:val="32"/>
          <w:highlight w:val="none"/>
          <w:lang w:val="zh-CN" w:eastAsia="zh-CN" w:bidi="ar-SA"/>
        </w:rPr>
        <w:t>万元，支出率为</w:t>
      </w:r>
      <w:r>
        <w:rPr>
          <w:rFonts w:hint="eastAsia" w:ascii="仿宋_GB2312" w:hAnsi="仿宋_GB2312" w:eastAsia="仿宋_GB2312" w:cs="仿宋_GB2312"/>
          <w:b w:val="0"/>
          <w:bCs w:val="0"/>
          <w:color w:val="000000"/>
          <w:kern w:val="2"/>
          <w:sz w:val="32"/>
          <w:szCs w:val="32"/>
          <w:highlight w:val="none"/>
          <w:lang w:val="en-US" w:eastAsia="zh-CN" w:bidi="ar-SA"/>
        </w:rPr>
        <w:t>10</w:t>
      </w:r>
      <w:r>
        <w:rPr>
          <w:rFonts w:hint="eastAsia" w:ascii="仿宋_GB2312" w:hAnsi="仿宋_GB2312" w:eastAsia="仿宋_GB2312" w:cs="仿宋_GB2312"/>
          <w:b w:val="0"/>
          <w:bCs w:val="0"/>
          <w:color w:val="000000"/>
          <w:kern w:val="2"/>
          <w:sz w:val="32"/>
          <w:szCs w:val="32"/>
          <w:highlight w:val="none"/>
          <w:lang w:val="zh-CN" w:eastAsia="zh-CN" w:bidi="ar-SA"/>
        </w:rPr>
        <w:t>0%，完成绩效目标任务且正常投入使用。</w:t>
      </w:r>
    </w:p>
    <w:p w14:paraId="0622E149">
      <w:pPr>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color w:val="auto"/>
        </w:rPr>
      </w:pPr>
      <w:r>
        <w:rPr>
          <w:rFonts w:hint="eastAsia" w:ascii="仿宋_GB2312"/>
          <w:color w:val="auto"/>
        </w:rPr>
        <w:t>（二）项目绩效目标。</w:t>
      </w:r>
    </w:p>
    <w:p w14:paraId="38E8B6EB">
      <w:pPr>
        <w:pStyle w:val="3"/>
        <w:keepLines w:val="0"/>
        <w:pageBreakBefore w:val="0"/>
        <w:kinsoku/>
        <w:wordWrap/>
        <w:overflowPunct/>
        <w:topLinePunct w:val="0"/>
        <w:autoSpaceDE/>
        <w:autoSpaceDN/>
        <w:bidi w:val="0"/>
        <w:adjustRightInd/>
        <w:snapToGrid/>
        <w:spacing w:before="0" w:after="0" w:line="600" w:lineRule="exact"/>
        <w:ind w:firstLine="602" w:firstLineChars="200"/>
        <w:textAlignment w:val="auto"/>
        <w:rPr>
          <w:rFonts w:hint="eastAsia" w:ascii="仿宋_GB2312" w:hAnsi="仿宋_GB2312" w:eastAsia="仿宋_GB2312" w:cs="仿宋_GB2312"/>
          <w:b w:val="0"/>
          <w:bCs w:val="0"/>
          <w:color w:val="000000"/>
          <w:kern w:val="2"/>
          <w:sz w:val="32"/>
          <w:szCs w:val="32"/>
          <w:highlight w:val="none"/>
          <w:lang w:val="zh-CN" w:eastAsia="zh-CN" w:bidi="ar-SA"/>
        </w:rPr>
      </w:pPr>
      <w:r>
        <w:rPr>
          <w:rFonts w:hint="eastAsia" w:ascii="仿宋_GB2312" w:hAnsi="Times New Roman" w:eastAsia="仿宋_GB2312" w:cs="Times New Roman"/>
          <w:b/>
          <w:bCs/>
          <w:kern w:val="2"/>
          <w:sz w:val="30"/>
          <w:szCs w:val="24"/>
          <w:lang w:val="en-US" w:eastAsia="zh-CN" w:bidi="ar-SA"/>
        </w:rPr>
        <w:t>1.总体目标：</w:t>
      </w:r>
      <w:r>
        <w:rPr>
          <w:rFonts w:hint="eastAsia" w:ascii="仿宋_GB2312" w:hAnsi="仿宋_GB2312" w:eastAsia="仿宋_GB2312" w:cs="仿宋_GB2312"/>
          <w:b w:val="0"/>
          <w:bCs w:val="0"/>
          <w:color w:val="000000"/>
          <w:kern w:val="2"/>
          <w:sz w:val="32"/>
          <w:szCs w:val="32"/>
          <w:highlight w:val="none"/>
          <w:lang w:val="zh-CN" w:eastAsia="zh-CN" w:bidi="ar-SA"/>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按照喀什地区固定站基础建设的统一规划，利用单位挂帐无付款事项的自有资金，完成喀什经济固定站机房修缮，使其达到预定可使用状态；同时，对视频会议室己破损且提请报废的桌椅进行更换购置，为喀什地区的全疆重大经济运行和无线电管理等重要视频会议保障提供基本保证。确保项目顺利执行，为喀什地区十四五无线电监测规划实际做好基础硬件设施的配套支撑。提升</w:t>
      </w:r>
      <w:r>
        <w:rPr>
          <w:rFonts w:hint="eastAsia" w:ascii="仿宋_GB2312" w:hAnsi="仿宋_GB2312" w:eastAsia="仿宋_GB2312" w:cs="仿宋_GB2312"/>
          <w:b w:val="0"/>
          <w:bCs w:val="0"/>
          <w:color w:val="000000"/>
          <w:kern w:val="2"/>
          <w:sz w:val="32"/>
          <w:szCs w:val="32"/>
          <w:highlight w:val="none"/>
          <w:lang w:val="en-US" w:eastAsia="zh-CN" w:bidi="ar-SA"/>
        </w:rPr>
        <w:t>无</w:t>
      </w:r>
      <w:r>
        <w:rPr>
          <w:rFonts w:hint="eastAsia" w:ascii="仿宋_GB2312" w:hAnsi="仿宋_GB2312" w:eastAsia="仿宋_GB2312" w:cs="仿宋_GB2312"/>
          <w:b w:val="0"/>
          <w:bCs w:val="0"/>
          <w:color w:val="000000"/>
          <w:kern w:val="2"/>
          <w:sz w:val="32"/>
          <w:szCs w:val="32"/>
          <w:highlight w:val="none"/>
          <w:lang w:val="zh-CN" w:eastAsia="zh-CN" w:bidi="ar-SA"/>
        </w:rPr>
        <w:t>盲区监测保障能力，且与原有喀什市区内17个网格化监测节点有效衔接，保证无线电监测业务常期稳妥进行，切实为喀什社会稳定和经济发展服务。</w:t>
      </w:r>
    </w:p>
    <w:p w14:paraId="69C9FC8B">
      <w:pPr>
        <w:keepLines w:val="0"/>
        <w:pageBreakBefore w:val="0"/>
        <w:kinsoku/>
        <w:wordWrap/>
        <w:overflowPunct/>
        <w:topLinePunct w:val="0"/>
        <w:autoSpaceDE/>
        <w:autoSpaceDN/>
        <w:bidi w:val="0"/>
        <w:adjustRightInd/>
        <w:snapToGrid/>
        <w:spacing w:line="600" w:lineRule="exact"/>
        <w:ind w:firstLine="602" w:firstLineChars="200"/>
        <w:textAlignment w:val="auto"/>
        <w:rPr>
          <w:rFonts w:hint="eastAsia" w:ascii="仿宋_GB2312" w:hAnsi="Times New Roman" w:cs="Times New Roman"/>
          <w:b/>
          <w:bCs/>
          <w:kern w:val="2"/>
          <w:sz w:val="30"/>
          <w:szCs w:val="24"/>
          <w:lang w:val="en-US" w:eastAsia="zh-CN" w:bidi="ar-SA"/>
        </w:rPr>
      </w:pPr>
      <w:r>
        <w:rPr>
          <w:rFonts w:hint="eastAsia" w:ascii="仿宋_GB2312" w:hAnsi="Times New Roman" w:eastAsia="仿宋_GB2312" w:cs="Times New Roman"/>
          <w:b/>
          <w:bCs/>
          <w:kern w:val="2"/>
          <w:sz w:val="30"/>
          <w:szCs w:val="24"/>
          <w:lang w:val="en-US" w:eastAsia="zh-CN" w:bidi="ar-SA"/>
        </w:rPr>
        <w:t>2.阶段性目标</w:t>
      </w:r>
      <w:r>
        <w:rPr>
          <w:rFonts w:hint="eastAsia" w:ascii="仿宋_GB2312" w:hAnsi="Times New Roman" w:cs="Times New Roman"/>
          <w:b/>
          <w:bCs/>
          <w:kern w:val="2"/>
          <w:sz w:val="30"/>
          <w:szCs w:val="24"/>
          <w:lang w:val="en-US" w:eastAsia="zh-CN" w:bidi="ar-SA"/>
        </w:rPr>
        <w:t>：</w:t>
      </w:r>
    </w:p>
    <w:p w14:paraId="66860F66">
      <w:pPr>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09F69BF0">
      <w:pPr>
        <w:pStyle w:val="3"/>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lang w:val="en-US" w:eastAsia="zh-CN"/>
        </w:rPr>
      </w:pPr>
      <w:r>
        <w:rPr>
          <w:rFonts w:eastAsia="仿宋_GB2312"/>
          <w:sz w:val="32"/>
          <w:szCs w:val="32"/>
          <w:highlight w:val="none"/>
        </w:rPr>
        <w:t>（</w:t>
      </w:r>
      <w:r>
        <w:rPr>
          <w:rFonts w:ascii="Times New Roman" w:hAnsi="Times New Roman" w:eastAsia="仿宋_GB2312" w:cs="Times New Roman"/>
          <w:b w:val="0"/>
          <w:bCs w:val="0"/>
          <w:kern w:val="2"/>
          <w:sz w:val="32"/>
          <w:szCs w:val="32"/>
          <w:highlight w:val="none"/>
          <w:lang w:val="en-US" w:eastAsia="zh-CN" w:bidi="ar-SA"/>
        </w:rPr>
        <w:t>2）组织实施：资金</w:t>
      </w:r>
      <w:r>
        <w:rPr>
          <w:rFonts w:hint="eastAsia" w:ascii="Times New Roman" w:hAnsi="Times New Roman" w:eastAsia="仿宋_GB2312" w:cs="Times New Roman"/>
          <w:b w:val="0"/>
          <w:bCs w:val="0"/>
          <w:kern w:val="2"/>
          <w:sz w:val="32"/>
          <w:szCs w:val="32"/>
          <w:highlight w:val="none"/>
          <w:lang w:val="en-US" w:eastAsia="zh-CN" w:bidi="ar-SA"/>
        </w:rPr>
        <w:t>按预算进度调整</w:t>
      </w:r>
      <w:r>
        <w:rPr>
          <w:rFonts w:ascii="Times New Roman" w:hAnsi="Times New Roman" w:eastAsia="仿宋_GB2312" w:cs="Times New Roman"/>
          <w:b w:val="0"/>
          <w:bCs w:val="0"/>
          <w:kern w:val="2"/>
          <w:sz w:val="32"/>
          <w:szCs w:val="32"/>
          <w:highlight w:val="none"/>
          <w:lang w:val="en-US" w:eastAsia="zh-CN" w:bidi="ar-SA"/>
        </w:rPr>
        <w:t>到位</w:t>
      </w:r>
      <w:r>
        <w:rPr>
          <w:rFonts w:hint="eastAsia" w:ascii="Times New Roman" w:hAnsi="Times New Roman" w:eastAsia="仿宋_GB2312" w:cs="Times New Roman"/>
          <w:b w:val="0"/>
          <w:bCs w:val="0"/>
          <w:kern w:val="2"/>
          <w:sz w:val="32"/>
          <w:szCs w:val="32"/>
          <w:highlight w:val="none"/>
          <w:lang w:val="en-US" w:eastAsia="zh-CN" w:bidi="ar-SA"/>
        </w:rPr>
        <w:t>后</w:t>
      </w:r>
      <w:r>
        <w:rPr>
          <w:rFonts w:ascii="Times New Roman" w:hAnsi="Times New Roman" w:eastAsia="仿宋_GB2312" w:cs="Times New Roman"/>
          <w:b w:val="0"/>
          <w:bCs w:val="0"/>
          <w:kern w:val="2"/>
          <w:sz w:val="32"/>
          <w:szCs w:val="32"/>
          <w:highlight w:val="none"/>
          <w:lang w:val="en-US" w:eastAsia="zh-CN" w:bidi="ar-SA"/>
        </w:rPr>
        <w:t>，立即根据项目要求</w:t>
      </w:r>
      <w:r>
        <w:rPr>
          <w:rFonts w:hint="eastAsia" w:ascii="Times New Roman" w:hAnsi="Times New Roman" w:eastAsia="仿宋_GB2312" w:cs="Times New Roman"/>
          <w:b w:val="0"/>
          <w:bCs w:val="0"/>
          <w:kern w:val="2"/>
          <w:sz w:val="32"/>
          <w:szCs w:val="32"/>
          <w:highlight w:val="none"/>
          <w:lang w:val="en-US" w:eastAsia="zh-CN" w:bidi="ar-SA"/>
        </w:rPr>
        <w:t>展开</w:t>
      </w:r>
      <w:r>
        <w:rPr>
          <w:rFonts w:ascii="Times New Roman" w:hAnsi="Times New Roman" w:eastAsia="仿宋_GB2312" w:cs="Times New Roman"/>
          <w:b w:val="0"/>
          <w:bCs w:val="0"/>
          <w:kern w:val="2"/>
          <w:sz w:val="32"/>
          <w:szCs w:val="32"/>
          <w:highlight w:val="none"/>
          <w:lang w:val="en-US" w:eastAsia="zh-CN" w:bidi="ar-SA"/>
        </w:rPr>
        <w:t>实施。项目责任人按照项目实施方案要求逐一进行项目部署安排，提高项目质量及效率性。</w:t>
      </w:r>
    </w:p>
    <w:p w14:paraId="63A8346A">
      <w:pPr>
        <w:spacing w:line="600" w:lineRule="exact"/>
        <w:ind w:firstLine="600" w:firstLineChars="200"/>
        <w:rPr>
          <w:rFonts w:ascii="黑体" w:hAnsi="黑体" w:eastAsia="黑体"/>
        </w:rPr>
      </w:pPr>
      <w:r>
        <w:rPr>
          <w:rFonts w:hint="eastAsia" w:ascii="黑体" w:hAnsi="黑体" w:eastAsia="黑体"/>
        </w:rPr>
        <w:t>二、绩效评价工作开展情况</w:t>
      </w:r>
    </w:p>
    <w:p w14:paraId="2FAC9B6C">
      <w:pPr>
        <w:spacing w:line="600" w:lineRule="exact"/>
        <w:ind w:firstLine="600" w:firstLineChars="200"/>
        <w:rPr>
          <w:rFonts w:hint="eastAsia" w:ascii="仿宋_GB2312"/>
          <w:color w:val="auto"/>
        </w:rPr>
      </w:pPr>
      <w:r>
        <w:rPr>
          <w:rFonts w:hint="eastAsia" w:ascii="仿宋_GB2312"/>
          <w:color w:val="auto"/>
        </w:rPr>
        <w:t>（一）绩效评价目的、对象和范围。</w:t>
      </w:r>
    </w:p>
    <w:p w14:paraId="53CEB90B">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1D4D60C8">
      <w:pP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9C93C39">
      <w:pPr>
        <w:numPr>
          <w:ilvl w:val="0"/>
          <w:numId w:val="1"/>
        </w:numPr>
        <w:spacing w:line="60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34078A41">
      <w:pPr>
        <w:spacing w:line="60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14:paraId="72F0ECE1">
      <w:pPr>
        <w:spacing w:line="60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综合来看，通过开展有效的财政支出绩效评价管理，达到改进预算管理、控制节约成本，提高预算资金使用效益的目的。</w:t>
      </w:r>
    </w:p>
    <w:p w14:paraId="62CD8AAA">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23642BC5">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cs="仿宋_GB2312"/>
          <w:b w:val="0"/>
          <w:bCs w:val="0"/>
          <w:color w:val="000000"/>
          <w:sz w:val="32"/>
          <w:szCs w:val="32"/>
          <w:highlight w:val="none"/>
          <w:lang w:val="zh-CN"/>
        </w:rPr>
        <w:t>实施</w:t>
      </w:r>
      <w:r>
        <w:rPr>
          <w:rFonts w:hint="eastAsia" w:ascii="仿宋_GB2312" w:hAnsi="仿宋_GB2312" w:eastAsia="仿宋_GB2312" w:cs="仿宋_GB2312"/>
          <w:sz w:val="32"/>
          <w:szCs w:val="32"/>
          <w:highlight w:val="none"/>
        </w:rPr>
        <w:t>项目所包含的全部项目内容。</w:t>
      </w:r>
    </w:p>
    <w:p w14:paraId="535F413C">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2FD3DF64">
      <w:pPr>
        <w:spacing w:line="576" w:lineRule="exact"/>
        <w:ind w:firstLine="640" w:firstLineChars="200"/>
      </w:pPr>
      <w:r>
        <w:rPr>
          <w:rFonts w:hint="eastAsia" w:ascii="仿宋_GB2312" w:hAnsi="仿宋_GB2312" w:cs="仿宋_GB2312"/>
          <w:b w:val="0"/>
          <w:bCs w:val="0"/>
          <w:color w:val="000000"/>
          <w:sz w:val="32"/>
          <w:szCs w:val="32"/>
          <w:highlight w:val="none"/>
          <w:lang w:val="zh-CN"/>
        </w:rPr>
        <w:t>实施</w:t>
      </w:r>
      <w:r>
        <w:rPr>
          <w:rFonts w:hint="eastAsia" w:ascii="仿宋_GB2312" w:hAnsi="仿宋_GB2312" w:eastAsia="仿宋_GB2312" w:cs="仿宋_GB2312"/>
          <w:sz w:val="32"/>
          <w:szCs w:val="32"/>
          <w:highlight w:val="none"/>
        </w:rPr>
        <w:t>项目的决策、过程、产出、效益等。</w:t>
      </w:r>
    </w:p>
    <w:p w14:paraId="7C40C683">
      <w:pPr>
        <w:numPr>
          <w:ilvl w:val="0"/>
          <w:numId w:val="2"/>
        </w:numPr>
        <w:spacing w:line="600" w:lineRule="exact"/>
        <w:ind w:firstLine="600" w:firstLineChars="200"/>
        <w:rPr>
          <w:rFonts w:hint="eastAsia" w:ascii="仿宋_GB2312"/>
          <w:color w:val="auto"/>
        </w:rPr>
      </w:pPr>
      <w:r>
        <w:rPr>
          <w:rFonts w:hint="eastAsia" w:ascii="仿宋_GB2312"/>
          <w:color w:val="auto"/>
        </w:rPr>
        <w:t>绩效评价原则、评价指标体系（附表说明）、评价方法、评价标准等。</w:t>
      </w:r>
    </w:p>
    <w:p w14:paraId="7BE55036">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7F1DC05F">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563EDCB4">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323B5454">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174A2804">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214534BC">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285BA65E">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53336424">
      <w:pP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7FFF6157">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32782FEC">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3A1D004">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29800BCA">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确定各个指标相对于项目总体绩效的权重分值。在绩效评价指标体系中，项目决策权重为5分，项目过程权重为5分，项目产出权重为50分，项目效益权重为40分。</w:t>
      </w:r>
    </w:p>
    <w:p w14:paraId="36A08656">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21102D7C">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D36F013">
      <w:pPr>
        <w:pStyle w:val="2"/>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10019E4">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70D9019D">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6DDADC6B">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00E5FC52">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D9926F9">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0A06D161">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564EE64C">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044CD164">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503F889A">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4A917194">
      <w:pPr>
        <w:spacing w:line="600" w:lineRule="exact"/>
        <w:ind w:firstLine="708" w:firstLineChars="200"/>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14:paraId="2D58FA75">
      <w:pPr>
        <w:numPr>
          <w:ilvl w:val="0"/>
          <w:numId w:val="2"/>
        </w:numPr>
        <w:spacing w:line="600" w:lineRule="exact"/>
        <w:ind w:left="0" w:leftChars="0" w:firstLine="600" w:firstLineChars="200"/>
        <w:rPr>
          <w:rFonts w:hint="eastAsia" w:ascii="仿宋_GB2312"/>
          <w:color w:val="auto"/>
        </w:rPr>
      </w:pPr>
      <w:r>
        <w:rPr>
          <w:rFonts w:hint="eastAsia" w:ascii="仿宋_GB2312"/>
          <w:color w:val="auto"/>
        </w:rPr>
        <w:t>绩效评价工作过程。</w:t>
      </w:r>
    </w:p>
    <w:p w14:paraId="7A6C98E1">
      <w:pPr>
        <w:numPr>
          <w:ilvl w:val="0"/>
          <w:numId w:val="3"/>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3A3E4A6D">
      <w:pPr>
        <w:numPr>
          <w:ilvl w:val="0"/>
          <w:numId w:val="3"/>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3B9FED28">
      <w:pPr>
        <w:numPr>
          <w:ilvl w:val="0"/>
          <w:numId w:val="3"/>
        </w:numPr>
        <w:spacing w:line="600" w:lineRule="exact"/>
        <w:ind w:firstLine="640" w:firstLineChars="200"/>
        <w:rPr>
          <w:rFonts w:hint="eastAsia" w:ascii="Times New Roman" w:hAnsi="Times New Roman" w:eastAsia="仿宋_GB2312" w:cs="Times New Roman"/>
          <w:bCs/>
          <w:sz w:val="32"/>
          <w:szCs w:val="32"/>
          <w:highlight w:val="none"/>
        </w:rPr>
      </w:pPr>
      <w:r>
        <w:rPr>
          <w:rFonts w:hint="eastAsia" w:ascii="Times New Roman" w:hAnsi="Times New Roman" w:eastAsia="仿宋_GB2312" w:cs="Times New Roman"/>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20602E44">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14:paraId="1FCBE156">
      <w:pPr>
        <w:numPr>
          <w:ilvl w:val="0"/>
          <w:numId w:val="0"/>
        </w:numPr>
        <w:spacing w:line="600" w:lineRule="exact"/>
        <w:ind w:firstLine="640" w:firstLineChars="200"/>
        <w:rPr>
          <w:rFonts w:hint="eastAsia" w:ascii="Times New Roman" w:hAnsi="Times New Roman" w:eastAsia="仿宋_GB2312" w:cs="Times New Roman"/>
          <w:bCs/>
          <w:sz w:val="32"/>
          <w:szCs w:val="32"/>
          <w:highlight w:val="none"/>
        </w:rPr>
      </w:pPr>
      <w:r>
        <w:rPr>
          <w:rFonts w:hint="eastAsia" w:ascii="Times New Roman" w:hAnsi="Times New Roman" w:eastAsia="仿宋_GB2312" w:cs="Times New Roman"/>
          <w:bCs/>
          <w:sz w:val="32"/>
          <w:szCs w:val="32"/>
          <w:highlight w:val="none"/>
        </w:rPr>
        <w:t xml:space="preserve">对喀什固定站基础装修项目进行客观评价，最终评分结果：总得分为 </w:t>
      </w:r>
      <w:r>
        <w:rPr>
          <w:rFonts w:hint="eastAsia" w:ascii="Times New Roman" w:hAnsi="Times New Roman" w:cs="Times New Roman"/>
          <w:bCs/>
          <w:sz w:val="32"/>
          <w:szCs w:val="32"/>
          <w:highlight w:val="none"/>
          <w:lang w:val="en-US" w:eastAsia="zh-CN"/>
        </w:rPr>
        <w:t>99</w:t>
      </w:r>
      <w:r>
        <w:rPr>
          <w:rFonts w:hint="eastAsia" w:ascii="Times New Roman" w:hAnsi="Times New Roman" w:eastAsia="仿宋_GB2312" w:cs="Times New Roman"/>
          <w:bCs/>
          <w:sz w:val="32"/>
          <w:szCs w:val="32"/>
          <w:highlight w:val="none"/>
        </w:rPr>
        <w:t>分，属于“</w:t>
      </w:r>
      <w:r>
        <w:rPr>
          <w:rFonts w:ascii="Times New Roman" w:hAnsi="Times New Roman" w:eastAsia="仿宋_GB2312"/>
          <w:b w:val="0"/>
          <w:bCs w:val="0"/>
          <w:color w:val="000000"/>
          <w:spacing w:val="17"/>
          <w:kern w:val="2"/>
          <w:highlight w:val="none"/>
        </w:rPr>
        <w:t>优</w:t>
      </w:r>
      <w:r>
        <w:rPr>
          <w:rFonts w:hint="eastAsia" w:ascii="Times New Roman" w:hAnsi="Times New Roman" w:eastAsia="仿宋_GB2312" w:cs="Times New Roman"/>
          <w:bCs/>
          <w:sz w:val="32"/>
          <w:szCs w:val="32"/>
          <w:highlight w:val="none"/>
        </w:rPr>
        <w:t xml:space="preserve">”。其中，项目决策类指标权重为20分，得分为 </w:t>
      </w:r>
      <w:r>
        <w:rPr>
          <w:rFonts w:hint="eastAsia" w:ascii="Times New Roman" w:hAnsi="Times New Roman" w:eastAsia="仿宋_GB2312" w:cs="Times New Roman"/>
          <w:bCs/>
          <w:sz w:val="32"/>
          <w:szCs w:val="32"/>
          <w:highlight w:val="none"/>
          <w:lang w:val="en-US" w:eastAsia="zh-CN"/>
        </w:rPr>
        <w:t>20</w:t>
      </w:r>
      <w:r>
        <w:rPr>
          <w:rFonts w:hint="eastAsia" w:ascii="Times New Roman" w:hAnsi="Times New Roman" w:eastAsia="仿宋_GB2312" w:cs="Times New Roman"/>
          <w:bCs/>
          <w:sz w:val="32"/>
          <w:szCs w:val="32"/>
          <w:highlight w:val="none"/>
        </w:rPr>
        <w:t>分，得分率为</w:t>
      </w:r>
      <w:r>
        <w:rPr>
          <w:rFonts w:hint="eastAsia" w:ascii="Times New Roman" w:hAnsi="Times New Roman" w:eastAsia="仿宋_GB2312" w:cs="Times New Roman"/>
          <w:bCs/>
          <w:sz w:val="32"/>
          <w:szCs w:val="32"/>
          <w:highlight w:val="none"/>
          <w:lang w:val="en-US" w:eastAsia="zh-CN"/>
        </w:rPr>
        <w:t>100</w:t>
      </w:r>
      <w:r>
        <w:rPr>
          <w:rFonts w:hint="eastAsia" w:ascii="Times New Roman" w:hAnsi="Times New Roman" w:eastAsia="仿宋_GB2312" w:cs="Times New Roman"/>
          <w:bCs/>
          <w:sz w:val="32"/>
          <w:szCs w:val="32"/>
          <w:highlight w:val="none"/>
        </w:rPr>
        <w:t>%。项目过程类指标权重为20分，得分为</w:t>
      </w:r>
      <w:r>
        <w:rPr>
          <w:rFonts w:hint="eastAsia" w:ascii="Times New Roman" w:hAnsi="Times New Roman" w:cs="Times New Roman"/>
          <w:bCs/>
          <w:sz w:val="32"/>
          <w:szCs w:val="32"/>
          <w:highlight w:val="none"/>
          <w:lang w:val="en-US" w:eastAsia="zh-CN"/>
        </w:rPr>
        <w:t>20</w:t>
      </w:r>
      <w:r>
        <w:rPr>
          <w:rFonts w:hint="eastAsia" w:ascii="Times New Roman" w:hAnsi="Times New Roman" w:eastAsia="仿宋_GB2312" w:cs="Times New Roman"/>
          <w:bCs/>
          <w:sz w:val="32"/>
          <w:szCs w:val="32"/>
          <w:highlight w:val="none"/>
        </w:rPr>
        <w:t xml:space="preserve">分，得分率为 </w:t>
      </w:r>
      <w:r>
        <w:rPr>
          <w:rFonts w:hint="eastAsia" w:ascii="Times New Roman" w:hAnsi="Times New Roman" w:cs="Times New Roman"/>
          <w:bCs/>
          <w:sz w:val="32"/>
          <w:szCs w:val="32"/>
          <w:highlight w:val="none"/>
          <w:lang w:val="en-US" w:eastAsia="zh-CN"/>
        </w:rPr>
        <w:t>10</w:t>
      </w:r>
      <w:r>
        <w:rPr>
          <w:rFonts w:hint="eastAsia" w:ascii="Times New Roman" w:hAnsi="Times New Roman" w:eastAsia="仿宋_GB2312" w:cs="Times New Roman"/>
          <w:bCs/>
          <w:sz w:val="32"/>
          <w:szCs w:val="32"/>
          <w:highlight w:val="none"/>
          <w:lang w:val="en-US" w:eastAsia="zh-CN"/>
        </w:rPr>
        <w:t>0</w:t>
      </w:r>
      <w:r>
        <w:rPr>
          <w:rFonts w:hint="eastAsia" w:ascii="Times New Roman" w:hAnsi="Times New Roman" w:eastAsia="仿宋_GB2312" w:cs="Times New Roman"/>
          <w:bCs/>
          <w:sz w:val="32"/>
          <w:szCs w:val="32"/>
          <w:highlight w:val="none"/>
        </w:rPr>
        <w:t>%。项目产出类指标权重为40分，得分为</w:t>
      </w:r>
      <w:r>
        <w:rPr>
          <w:rFonts w:hint="eastAsia" w:ascii="Times New Roman" w:hAnsi="Times New Roman" w:cs="Times New Roman"/>
          <w:bCs/>
          <w:sz w:val="32"/>
          <w:szCs w:val="32"/>
          <w:highlight w:val="none"/>
          <w:lang w:val="en-US" w:eastAsia="zh-CN"/>
        </w:rPr>
        <w:t>40</w:t>
      </w:r>
      <w:r>
        <w:rPr>
          <w:rFonts w:hint="eastAsia" w:ascii="Times New Roman" w:hAnsi="Times New Roman" w:eastAsia="仿宋_GB2312" w:cs="Times New Roman"/>
          <w:bCs/>
          <w:sz w:val="32"/>
          <w:szCs w:val="32"/>
          <w:highlight w:val="none"/>
        </w:rPr>
        <w:t xml:space="preserve">分，得分率为 </w:t>
      </w:r>
      <w:r>
        <w:rPr>
          <w:rFonts w:hint="eastAsia" w:ascii="Times New Roman" w:hAnsi="Times New Roman" w:cs="Times New Roman"/>
          <w:bCs/>
          <w:sz w:val="32"/>
          <w:szCs w:val="32"/>
          <w:highlight w:val="none"/>
          <w:lang w:val="en-US" w:eastAsia="zh-CN"/>
        </w:rPr>
        <w:t>100</w:t>
      </w:r>
      <w:r>
        <w:rPr>
          <w:rFonts w:hint="eastAsia" w:ascii="Times New Roman" w:hAnsi="Times New Roman" w:eastAsia="仿宋_GB2312" w:cs="Times New Roman"/>
          <w:bCs/>
          <w:sz w:val="32"/>
          <w:szCs w:val="32"/>
          <w:highlight w:val="none"/>
        </w:rPr>
        <w:t>%。项目效益类指标权重为20分，得分为</w:t>
      </w:r>
      <w:r>
        <w:rPr>
          <w:rFonts w:hint="eastAsia" w:ascii="Times New Roman" w:hAnsi="Times New Roman" w:cs="Times New Roman"/>
          <w:bCs/>
          <w:sz w:val="32"/>
          <w:szCs w:val="32"/>
          <w:highlight w:val="none"/>
          <w:lang w:val="en-US" w:eastAsia="zh-CN"/>
        </w:rPr>
        <w:t>19</w:t>
      </w:r>
      <w:r>
        <w:rPr>
          <w:rFonts w:hint="eastAsia" w:ascii="Times New Roman" w:hAnsi="Times New Roman" w:eastAsia="仿宋_GB2312" w:cs="Times New Roman"/>
          <w:bCs/>
          <w:sz w:val="32"/>
          <w:szCs w:val="32"/>
          <w:highlight w:val="none"/>
        </w:rPr>
        <w:t>分，得分率为</w:t>
      </w:r>
      <w:r>
        <w:rPr>
          <w:rFonts w:hint="eastAsia" w:ascii="Times New Roman" w:hAnsi="Times New Roman" w:cs="Times New Roman"/>
          <w:bCs/>
          <w:sz w:val="32"/>
          <w:szCs w:val="32"/>
          <w:highlight w:val="none"/>
          <w:lang w:val="en-US" w:eastAsia="zh-CN"/>
        </w:rPr>
        <w:t>95</w:t>
      </w:r>
      <w:r>
        <w:rPr>
          <w:rFonts w:hint="eastAsia" w:ascii="Times New Roman" w:hAnsi="Times New Roman" w:eastAsia="仿宋_GB2312" w:cs="Times New Roman"/>
          <w:bCs/>
          <w:sz w:val="32"/>
          <w:szCs w:val="32"/>
          <w:highlight w:val="none"/>
        </w:rPr>
        <w:t>%。</w:t>
      </w:r>
    </w:p>
    <w:p w14:paraId="56FBB212">
      <w:pPr>
        <w:spacing w:line="600" w:lineRule="exact"/>
        <w:ind w:firstLine="600" w:firstLineChars="200"/>
        <w:rPr>
          <w:rFonts w:ascii="黑体" w:hAnsi="黑体" w:eastAsia="黑体"/>
        </w:rPr>
      </w:pPr>
      <w:r>
        <w:rPr>
          <w:rFonts w:hint="eastAsia" w:ascii="黑体" w:hAnsi="黑体" w:eastAsia="黑体"/>
        </w:rPr>
        <w:t>四、绩效评价指标分析</w:t>
      </w:r>
    </w:p>
    <w:p w14:paraId="41E7421D">
      <w:pPr>
        <w:spacing w:line="600" w:lineRule="exact"/>
        <w:ind w:firstLine="602" w:firstLineChars="200"/>
        <w:outlineLvl w:val="0"/>
        <w:rPr>
          <w:rFonts w:hint="eastAsia" w:ascii="仿宋_GB2312"/>
          <w:b/>
          <w:bCs/>
        </w:rPr>
      </w:pPr>
      <w:r>
        <w:rPr>
          <w:rFonts w:hint="eastAsia" w:ascii="仿宋_GB2312"/>
          <w:b/>
          <w:bCs/>
        </w:rPr>
        <w:t>（一）项目决策情况。</w:t>
      </w:r>
    </w:p>
    <w:p w14:paraId="4A0A64FC">
      <w:pPr>
        <w:spacing w:line="600" w:lineRule="exact"/>
        <w:ind w:firstLine="640" w:firstLineChars="200"/>
        <w:outlineLvl w:val="0"/>
      </w:pPr>
      <w:r>
        <w:rPr>
          <w:rFonts w:hint="eastAsia" w:ascii="仿宋_GB2312" w:hAnsi="仿宋_GB2312" w:eastAsia="仿宋_GB2312" w:cs="仿宋_GB2312"/>
          <w:sz w:val="32"/>
          <w:szCs w:val="32"/>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4A2CBCA2">
      <w:pPr>
        <w:numPr>
          <w:ilvl w:val="0"/>
          <w:numId w:val="5"/>
        </w:numPr>
        <w:spacing w:line="600" w:lineRule="exact"/>
        <w:ind w:firstLine="602" w:firstLineChars="200"/>
        <w:outlineLvl w:val="0"/>
        <w:rPr>
          <w:rFonts w:hint="eastAsia" w:ascii="仿宋_GB2312"/>
          <w:b/>
          <w:bCs/>
        </w:rPr>
      </w:pPr>
      <w:r>
        <w:rPr>
          <w:rFonts w:hint="eastAsia" w:ascii="仿宋_GB2312"/>
          <w:b/>
          <w:bCs/>
        </w:rPr>
        <w:t>项目过程情况。</w:t>
      </w:r>
    </w:p>
    <w:p w14:paraId="213003AF">
      <w:pPr>
        <w:spacing w:line="600" w:lineRule="exact"/>
        <w:ind w:firstLine="640" w:firstLineChars="200"/>
        <w:outlineLvl w:val="0"/>
      </w:pPr>
      <w:r>
        <w:rPr>
          <w:rFonts w:hint="eastAsia" w:ascii="仿宋_GB2312" w:hAnsi="仿宋_GB2312" w:eastAsia="仿宋_GB2312" w:cs="仿宋_GB2312"/>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19A4B05">
      <w:pPr>
        <w:keepLines w:val="0"/>
        <w:pageBreakBefore w:val="0"/>
        <w:numPr>
          <w:ilvl w:val="0"/>
          <w:numId w:val="5"/>
        </w:numPr>
        <w:kinsoku/>
        <w:wordWrap/>
        <w:overflowPunct/>
        <w:topLinePunct w:val="0"/>
        <w:autoSpaceDE/>
        <w:autoSpaceDN/>
        <w:bidi w:val="0"/>
        <w:adjustRightInd/>
        <w:snapToGrid/>
        <w:spacing w:line="600" w:lineRule="exact"/>
        <w:ind w:left="0" w:leftChars="0" w:firstLine="602" w:firstLineChars="200"/>
        <w:textAlignment w:val="auto"/>
        <w:outlineLvl w:val="0"/>
        <w:rPr>
          <w:rFonts w:hint="eastAsia"/>
        </w:rPr>
      </w:pPr>
      <w:r>
        <w:rPr>
          <w:rFonts w:hint="eastAsia" w:ascii="仿宋_GB2312"/>
          <w:b/>
          <w:bCs/>
        </w:rPr>
        <w:t>项目产出情况。</w:t>
      </w:r>
    </w:p>
    <w:p w14:paraId="62FFD1F5">
      <w:pPr>
        <w:pStyle w:val="3"/>
        <w:keepNext/>
        <w:keepLines w:val="0"/>
        <w:pageBreakBefore w:val="0"/>
        <w:widowControl/>
        <w:numPr>
          <w:ilvl w:val="0"/>
          <w:numId w:val="0"/>
        </w:numPr>
        <w:kinsoku/>
        <w:wordWrap/>
        <w:overflowPunct/>
        <w:topLinePunct w:val="0"/>
        <w:autoSpaceDE/>
        <w:autoSpaceDN/>
        <w:bidi w:val="0"/>
        <w:adjustRightInd/>
        <w:snapToGrid/>
        <w:spacing w:before="0" w:after="0" w:line="800" w:lineRule="exact"/>
        <w:ind w:firstLine="643" w:firstLineChars="200"/>
        <w:textAlignment w:val="auto"/>
        <w:rPr>
          <w:rFonts w:hint="eastAsia" w:ascii="仿宋_GB2312" w:hAnsi="仿宋_GB2312" w:eastAsia="仿宋_GB2312" w:cs="仿宋_GB2312"/>
          <w:b/>
          <w:bCs/>
          <w:kern w:val="2"/>
          <w:sz w:val="32"/>
          <w:szCs w:val="32"/>
          <w:highlight w:val="none"/>
          <w:lang w:val="en-US" w:eastAsia="zh-CN" w:bidi="ar-SA"/>
        </w:rPr>
      </w:pPr>
      <w:bookmarkStart w:id="0" w:name="_GoBack"/>
      <w:bookmarkEnd w:id="0"/>
      <w:r>
        <w:rPr>
          <w:rFonts w:hint="eastAsia" w:ascii="仿宋_GB2312" w:hAnsi="仿宋_GB2312" w:eastAsia="仿宋_GB2312" w:cs="仿宋_GB2312"/>
          <w:b/>
          <w:bCs/>
          <w:kern w:val="2"/>
          <w:sz w:val="32"/>
          <w:szCs w:val="32"/>
          <w:highlight w:val="none"/>
          <w:lang w:val="en-US" w:eastAsia="zh-CN" w:bidi="ar-SA"/>
        </w:rPr>
        <w:t>1.数量指标方面：</w:t>
      </w:r>
    </w:p>
    <w:p w14:paraId="73D9ECEE">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（1）基础装修面积指标，指标值为≧100㎡，实际完成率100%，无偏差。</w:t>
      </w:r>
    </w:p>
    <w:p w14:paraId="5767A10D">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Style w:val="6"/>
          <w:rFonts w:hint="eastAsia" w:eastAsia="仿宋" w:asciiTheme="minorHAnsi" w:hAnsiTheme="minorHAnsi" w:cstheme="minorBidi"/>
          <w:b w:val="0"/>
          <w:bCs/>
          <w:spacing w:val="-4"/>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（2）</w:t>
      </w:r>
      <w:r>
        <w:rPr>
          <w:rFonts w:hint="default" w:ascii="仿宋_GB2312" w:hAnsi="仿宋_GB2312" w:eastAsia="仿宋_GB2312" w:cs="仿宋_GB2312"/>
          <w:b w:val="0"/>
          <w:bCs w:val="0"/>
          <w:kern w:val="2"/>
          <w:sz w:val="32"/>
          <w:szCs w:val="32"/>
          <w:highlight w:val="none"/>
          <w:lang w:val="en-US" w:eastAsia="zh-CN" w:bidi="ar-SA"/>
        </w:rPr>
        <w:t>购置会议桌</w:t>
      </w:r>
      <w:r>
        <w:rPr>
          <w:rFonts w:hint="eastAsia" w:ascii="仿宋_GB2312" w:hAnsi="仿宋_GB2312" w:eastAsia="仿宋_GB2312" w:cs="仿宋_GB2312"/>
          <w:b w:val="0"/>
          <w:bCs w:val="0"/>
          <w:kern w:val="2"/>
          <w:sz w:val="32"/>
          <w:szCs w:val="32"/>
          <w:highlight w:val="none"/>
          <w:lang w:val="en-US" w:eastAsia="zh-CN" w:bidi="ar-SA"/>
        </w:rPr>
        <w:t>、椅指标，指标值为16张、36把，实际完成率100%，无偏差</w:t>
      </w:r>
      <w:r>
        <w:rPr>
          <w:rStyle w:val="6"/>
          <w:rFonts w:hint="eastAsia" w:eastAsia="仿宋" w:asciiTheme="minorHAnsi" w:hAnsiTheme="minorHAnsi" w:cstheme="minorBidi"/>
          <w:b w:val="0"/>
          <w:bCs/>
          <w:spacing w:val="-4"/>
          <w:sz w:val="32"/>
          <w:szCs w:val="32"/>
          <w:highlight w:val="none"/>
          <w:lang w:val="en-US" w:eastAsia="zh-CN"/>
        </w:rPr>
        <w:t>。</w:t>
      </w:r>
    </w:p>
    <w:p w14:paraId="62599DA2">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2.质量指标方面：</w:t>
      </w:r>
    </w:p>
    <w:p w14:paraId="7089BE3E">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（1）项目竣工验收合格率指标，指标值为≧95%，实际完成率100%，无偏差。</w:t>
      </w:r>
    </w:p>
    <w:p w14:paraId="6B7932B0">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（2）项目资金支付率指标，指标值为≧95%，实际完成率100%，无偏差。</w:t>
      </w:r>
    </w:p>
    <w:p w14:paraId="33FFB7D1">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3.时效指标方面：</w:t>
      </w:r>
    </w:p>
    <w:p w14:paraId="425ECB59">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（1）项目计划完成时间指标，指标值为2023年11月前，实际完成率100%，无偏差。</w:t>
      </w:r>
    </w:p>
    <w:p w14:paraId="1617F0D4">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4.经济成本指标方面：</w:t>
      </w:r>
    </w:p>
    <w:p w14:paraId="4FA18457">
      <w:pPr>
        <w:pStyle w:val="3"/>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（1）项目预算控制率指标，指标值为≦100%，实际完成率100%，无偏差。</w:t>
      </w:r>
    </w:p>
    <w:p w14:paraId="20EA0A71">
      <w:pPr>
        <w:pStyle w:val="3"/>
        <w:keepLines w:val="0"/>
        <w:pageBreakBefore w:val="0"/>
        <w:kinsoku/>
        <w:wordWrap/>
        <w:overflowPunct/>
        <w:topLinePunct w:val="0"/>
        <w:autoSpaceDE/>
        <w:autoSpaceDN/>
        <w:bidi w:val="0"/>
        <w:adjustRightInd/>
        <w:snapToGrid/>
        <w:spacing w:before="0" w:after="0" w:line="600" w:lineRule="exact"/>
        <w:ind w:firstLine="602" w:firstLineChars="200"/>
        <w:textAlignment w:val="auto"/>
        <w:rPr>
          <w:rFonts w:hint="eastAsia" w:ascii="Times New Roman" w:hAnsi="Times New Roman" w:eastAsia="仿宋_GB2312" w:cs="Times New Roman"/>
          <w:b/>
          <w:bCs/>
          <w:kern w:val="2"/>
          <w:sz w:val="30"/>
          <w:szCs w:val="24"/>
          <w:lang w:val="en-US" w:eastAsia="zh-CN" w:bidi="ar-SA"/>
        </w:rPr>
      </w:pPr>
      <w:r>
        <w:rPr>
          <w:rFonts w:hint="eastAsia" w:ascii="Times New Roman" w:hAnsi="Times New Roman" w:eastAsia="仿宋_GB2312" w:cs="Times New Roman"/>
          <w:b/>
          <w:bCs/>
          <w:kern w:val="2"/>
          <w:sz w:val="30"/>
          <w:szCs w:val="24"/>
          <w:lang w:val="en-US" w:eastAsia="zh-CN" w:bidi="ar-SA"/>
        </w:rPr>
        <w:t>（四）项目效益情况。</w:t>
      </w:r>
    </w:p>
    <w:p w14:paraId="25B66B51">
      <w:pPr>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Style w:val="7"/>
          <w:rFonts w:ascii="Times New Roman" w:hAnsi="Times New Roman" w:cs="Times New Roman"/>
          <w:b/>
          <w:bCs/>
          <w:color w:val="auto"/>
          <w:highlight w:val="none"/>
        </w:rPr>
        <w:t>经济效益指标方面：</w:t>
      </w:r>
      <w:r>
        <w:rPr>
          <w:rFonts w:hint="eastAsia" w:ascii="仿宋_GB2312" w:hAnsi="仿宋_GB2312" w:eastAsia="仿宋_GB2312" w:cs="仿宋_GB2312"/>
          <w:b w:val="0"/>
          <w:bCs w:val="0"/>
          <w:kern w:val="2"/>
          <w:sz w:val="32"/>
          <w:szCs w:val="32"/>
          <w:highlight w:val="none"/>
          <w:lang w:val="en-US" w:eastAsia="zh-CN" w:bidi="ar-SA"/>
        </w:rPr>
        <w:t>服务社会大局稳定和经济持续发展指标，指标值为有效提升，实际完成100%，完成率100%，无偏差。</w:t>
      </w:r>
    </w:p>
    <w:p w14:paraId="51771549">
      <w:pPr>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lang w:val="en-US" w:eastAsia="zh-CN"/>
        </w:rPr>
      </w:pPr>
      <w:r>
        <w:rPr>
          <w:rStyle w:val="7"/>
          <w:rFonts w:ascii="Times New Roman" w:hAnsi="Times New Roman" w:cs="Times New Roman"/>
          <w:b/>
          <w:bCs/>
          <w:color w:val="auto"/>
          <w:highlight w:val="none"/>
        </w:rPr>
        <w:t>满意度指标方面：</w:t>
      </w:r>
      <w:r>
        <w:rPr>
          <w:rFonts w:hint="eastAsia" w:ascii="仿宋_GB2312" w:hAnsi="仿宋_GB2312" w:eastAsia="仿宋_GB2312" w:cs="仿宋_GB2312"/>
          <w:b w:val="0"/>
          <w:bCs w:val="0"/>
          <w:kern w:val="2"/>
          <w:sz w:val="32"/>
          <w:szCs w:val="32"/>
          <w:highlight w:val="none"/>
          <w:lang w:val="en-US" w:eastAsia="zh-CN" w:bidi="ar-SA"/>
        </w:rPr>
        <w:t>受益群体满意度指标，指标值为95%，实际完成100%，无偏差。</w:t>
      </w:r>
    </w:p>
    <w:p w14:paraId="12DD4607">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14:paraId="31AB3A71">
      <w:pP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5B8D587">
      <w:pPr>
        <w:pStyle w:val="2"/>
        <w:spacing w:before="0" w:after="0" w:line="600" w:lineRule="exact"/>
        <w:ind w:firstLine="640" w:firstLineChars="200"/>
        <w:jc w:val="both"/>
      </w:pPr>
      <w:r>
        <w:rPr>
          <w:rFonts w:ascii="Times New Roman" w:hAnsi="Times New Roman" w:eastAsia="仿宋_GB2312"/>
          <w:b w:val="0"/>
          <w:bCs w:val="0"/>
          <w:kern w:val="2"/>
          <w:highlight w:val="none"/>
        </w:rPr>
        <w:t>严格坚持</w:t>
      </w:r>
      <w:r>
        <w:rPr>
          <w:rFonts w:hint="eastAsia" w:ascii="Times New Roman" w:hAnsi="Times New Roman" w:eastAsia="仿宋_GB2312"/>
          <w:b w:val="0"/>
          <w:bCs w:val="0"/>
          <w:kern w:val="2"/>
          <w:highlight w:val="none"/>
          <w:lang w:eastAsia="zh-CN"/>
        </w:rPr>
        <w:t>项目有执行有落实</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落实有</w:t>
      </w:r>
      <w:r>
        <w:rPr>
          <w:rFonts w:ascii="Times New Roman" w:hAnsi="Times New Roman" w:eastAsia="仿宋_GB2312"/>
          <w:b w:val="0"/>
          <w:bCs w:val="0"/>
          <w:kern w:val="2"/>
          <w:highlight w:val="none"/>
        </w:rPr>
        <w:t>验收、</w:t>
      </w:r>
      <w:r>
        <w:rPr>
          <w:rFonts w:hint="eastAsia" w:ascii="Times New Roman" w:hAnsi="Times New Roman" w:eastAsia="仿宋_GB2312"/>
          <w:b w:val="0"/>
          <w:bCs w:val="0"/>
          <w:kern w:val="2"/>
          <w:highlight w:val="none"/>
          <w:lang w:eastAsia="zh-CN"/>
        </w:rPr>
        <w:t>验收有审批</w:t>
      </w:r>
      <w:r>
        <w:rPr>
          <w:rFonts w:ascii="Times New Roman" w:hAnsi="Times New Roman" w:eastAsia="仿宋_GB2312"/>
          <w:b w:val="0"/>
          <w:bCs w:val="0"/>
          <w:kern w:val="2"/>
          <w:highlight w:val="none"/>
        </w:rPr>
        <w:t>付</w:t>
      </w:r>
      <w:r>
        <w:rPr>
          <w:rFonts w:hint="eastAsia" w:ascii="Times New Roman" w:hAnsi="Times New Roman" w:eastAsia="仿宋_GB2312"/>
          <w:b w:val="0"/>
          <w:bCs w:val="0"/>
          <w:kern w:val="2"/>
          <w:highlight w:val="none"/>
          <w:lang w:eastAsia="zh-CN"/>
        </w:rPr>
        <w:t>款</w:t>
      </w:r>
      <w:r>
        <w:rPr>
          <w:rFonts w:ascii="Times New Roman" w:hAnsi="Times New Roman" w:eastAsia="仿宋_GB2312"/>
          <w:b w:val="0"/>
          <w:bCs w:val="0"/>
          <w:kern w:val="2"/>
          <w:highlight w:val="none"/>
        </w:rPr>
        <w:t>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w:t>
      </w:r>
      <w:r>
        <w:rPr>
          <w:rFonts w:hint="eastAsia" w:ascii="Times New Roman" w:hAnsi="Times New Roman" w:eastAsia="仿宋_GB2312"/>
          <w:b w:val="0"/>
          <w:bCs w:val="0"/>
          <w:kern w:val="2"/>
          <w:highlight w:val="none"/>
          <w:lang w:eastAsia="zh-CN"/>
        </w:rPr>
        <w:t>做到“</w:t>
      </w:r>
      <w:r>
        <w:rPr>
          <w:rFonts w:ascii="Times New Roman" w:hAnsi="Times New Roman" w:eastAsia="仿宋_GB2312"/>
          <w:b w:val="0"/>
          <w:bCs w:val="0"/>
          <w:kern w:val="2"/>
          <w:highlight w:val="none"/>
        </w:rPr>
        <w:t>问题早发现，</w:t>
      </w:r>
      <w:r>
        <w:rPr>
          <w:rFonts w:hint="eastAsia" w:ascii="Times New Roman" w:hAnsi="Times New Roman" w:eastAsia="仿宋_GB2312"/>
          <w:b w:val="0"/>
          <w:bCs w:val="0"/>
          <w:kern w:val="2"/>
          <w:highlight w:val="none"/>
          <w:lang w:eastAsia="zh-CN"/>
        </w:rPr>
        <w:t>发现</w:t>
      </w:r>
      <w:r>
        <w:rPr>
          <w:rFonts w:ascii="Times New Roman" w:hAnsi="Times New Roman" w:eastAsia="仿宋_GB2312"/>
          <w:b w:val="0"/>
          <w:bCs w:val="0"/>
          <w:kern w:val="2"/>
          <w:highlight w:val="none"/>
        </w:rPr>
        <w:t>早解决</w:t>
      </w:r>
      <w:r>
        <w:rPr>
          <w:rFonts w:hint="eastAsia" w:ascii="Times New Roman" w:hAnsi="Times New Roman" w:eastAsia="仿宋_GB2312"/>
          <w:b w:val="0"/>
          <w:bCs w:val="0"/>
          <w:kern w:val="2"/>
          <w:highlight w:val="none"/>
          <w:lang w:eastAsia="zh-CN"/>
        </w:rPr>
        <w:t>”的原则</w:t>
      </w:r>
      <w:r>
        <w:rPr>
          <w:rFonts w:ascii="Times New Roman" w:hAnsi="Times New Roman" w:eastAsia="仿宋_GB2312"/>
          <w:b w:val="0"/>
          <w:bCs w:val="0"/>
          <w:kern w:val="2"/>
          <w:highlight w:val="none"/>
        </w:rPr>
        <w:t>。</w:t>
      </w:r>
    </w:p>
    <w:p w14:paraId="0EC5AB84">
      <w:pPr>
        <w:numPr>
          <w:ilvl w:val="0"/>
          <w:numId w:val="6"/>
        </w:numPr>
        <w:spacing w:line="600" w:lineRule="exact"/>
        <w:ind w:firstLine="600" w:firstLineChars="200"/>
        <w:rPr>
          <w:rFonts w:hint="eastAsia" w:ascii="黑体" w:hAnsi="黑体" w:eastAsia="黑体"/>
        </w:rPr>
      </w:pPr>
      <w:r>
        <w:rPr>
          <w:rFonts w:hint="eastAsia" w:ascii="黑体" w:hAnsi="黑体" w:eastAsia="黑体"/>
        </w:rPr>
        <w:t>有关建议</w:t>
      </w:r>
    </w:p>
    <w:p w14:paraId="41D49639">
      <w:pPr>
        <w:pStyle w:val="2"/>
        <w:spacing w:before="0" w:after="0" w:line="600" w:lineRule="exact"/>
        <w:ind w:firstLine="640" w:firstLineChars="200"/>
        <w:jc w:val="both"/>
        <w:rPr>
          <w:rFonts w:hint="default"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进一步加强对绩效管理工作的组织领导，提高对预算绩效管理工作重要性的认识，总结经验查找问题，抓紧研究制定更全面更完善的绩效评价管理办法。结合实际考核建立绩效工作考核制度，加大全局对全面实施预算绩效管理和绩效管理工作的学习力度，让“花钱必问效，无效必问责”的理念深入工作每个环节。</w:t>
      </w:r>
    </w:p>
    <w:p w14:paraId="2DDC5E69">
      <w:pPr>
        <w:numPr>
          <w:ilvl w:val="0"/>
          <w:numId w:val="6"/>
        </w:numPr>
        <w:spacing w:line="600" w:lineRule="exact"/>
        <w:ind w:left="0" w:leftChars="0" w:firstLine="600" w:firstLineChars="200"/>
        <w:rPr>
          <w:rFonts w:hint="eastAsia" w:ascii="黑体" w:hAnsi="黑体" w:eastAsia="黑体"/>
          <w:lang w:val="en-US" w:eastAsia="zh-CN"/>
        </w:rPr>
      </w:pPr>
      <w:r>
        <w:rPr>
          <w:rFonts w:hint="eastAsia" w:ascii="黑体" w:hAnsi="黑体" w:eastAsia="黑体"/>
        </w:rPr>
        <w:t>其他需要说明的问题</w:t>
      </w:r>
      <w:r>
        <w:rPr>
          <w:rFonts w:hint="eastAsia" w:ascii="黑体" w:hAnsi="黑体" w:eastAsia="黑体"/>
          <w:lang w:val="en-US" w:eastAsia="zh-CN"/>
        </w:rPr>
        <w:t xml:space="preserve"> </w:t>
      </w:r>
    </w:p>
    <w:p w14:paraId="784DF1BD">
      <w:pPr>
        <w:pStyle w:val="2"/>
        <w:spacing w:before="0" w:after="0" w:line="600" w:lineRule="exact"/>
        <w:ind w:firstLine="640" w:firstLineChars="200"/>
        <w:jc w:val="both"/>
        <w:rPr>
          <w:rFonts w:hint="default" w:ascii="Times New Roman" w:hAnsi="Times New Roman" w:eastAsia="仿宋_GB2312" w:cs="Times New Roman"/>
          <w:b w:val="0"/>
          <w:bCs w:val="0"/>
          <w:kern w:val="2"/>
          <w:highlight w:val="none"/>
          <w:lang w:val="en-US" w:eastAsia="zh-CN"/>
        </w:rPr>
      </w:pPr>
      <w:r>
        <w:rPr>
          <w:rFonts w:hint="eastAsia" w:ascii="Times New Roman" w:hAnsi="Times New Roman" w:eastAsia="仿宋_GB2312" w:cs="Times New Roman"/>
          <w:b w:val="0"/>
          <w:bCs w:val="0"/>
          <w:kern w:val="2"/>
          <w:highlight w:val="none"/>
          <w:lang w:val="en-US"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C51CA"/>
    <w:multiLevelType w:val="singleLevel"/>
    <w:tmpl w:val="BDCC51CA"/>
    <w:lvl w:ilvl="0" w:tentative="0">
      <w:start w:val="3"/>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031CA348"/>
    <w:multiLevelType w:val="singleLevel"/>
    <w:tmpl w:val="031CA348"/>
    <w:lvl w:ilvl="0" w:tentative="0">
      <w:start w:val="2"/>
      <w:numFmt w:val="chineseCounting"/>
      <w:suff w:val="nothing"/>
      <w:lvlText w:val="（%1）"/>
      <w:lvlJc w:val="left"/>
      <w:rPr>
        <w:rFonts w:hint="eastAsia"/>
      </w:rPr>
    </w:lvl>
  </w:abstractNum>
  <w:abstractNum w:abstractNumId="3">
    <w:nsid w:val="11E4CE38"/>
    <w:multiLevelType w:val="singleLevel"/>
    <w:tmpl w:val="11E4CE38"/>
    <w:lvl w:ilvl="0" w:tentative="0">
      <w:start w:val="2"/>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42EAE01E"/>
    <w:multiLevelType w:val="singleLevel"/>
    <w:tmpl w:val="42EAE01E"/>
    <w:lvl w:ilvl="0" w:tentative="0">
      <w:start w:val="6"/>
      <w:numFmt w:val="chineseCounting"/>
      <w:suff w:val="nothing"/>
      <w:lvlText w:val="%1、"/>
      <w:lvlJc w:val="left"/>
      <w:rPr>
        <w:rFonts w:hint="eastAsia"/>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64B0312"/>
    <w:rsid w:val="06FD4082"/>
    <w:rsid w:val="09AF5ECF"/>
    <w:rsid w:val="0B6947A3"/>
    <w:rsid w:val="1A2F3436"/>
    <w:rsid w:val="1F0B55D3"/>
    <w:rsid w:val="2A716636"/>
    <w:rsid w:val="3091782D"/>
    <w:rsid w:val="45311E79"/>
    <w:rsid w:val="45CE7D2F"/>
    <w:rsid w:val="45EC0627"/>
    <w:rsid w:val="487E0896"/>
    <w:rsid w:val="4956038A"/>
    <w:rsid w:val="54E612A5"/>
    <w:rsid w:val="578C2978"/>
    <w:rsid w:val="584A11EE"/>
    <w:rsid w:val="59C9731C"/>
    <w:rsid w:val="62511752"/>
    <w:rsid w:val="6AC53EAE"/>
    <w:rsid w:val="6B216958"/>
    <w:rsid w:val="75B773F2"/>
    <w:rsid w:val="77735F35"/>
    <w:rsid w:val="79DB1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6">
    <w:name w:val="Strong"/>
    <w:basedOn w:val="5"/>
    <w:qFormat/>
    <w:uiPriority w:val="0"/>
    <w:rPr>
      <w:b/>
      <w:bCs/>
    </w:rPr>
  </w:style>
  <w:style w:type="character" w:customStyle="1" w:styleId="7">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4305</Words>
  <Characters>4427</Characters>
  <Lines>0</Lines>
  <Paragraphs>0</Paragraphs>
  <TotalTime>4</TotalTime>
  <ScaleCrop>false</ScaleCrop>
  <LinksUpToDate>false</LinksUpToDate>
  <CharactersWithSpaces>4434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2024-03-04T11:32:00Z</cp:lastPrinted>
  <dcterms:modified xsi:type="dcterms:W3CDTF">2024-08-20T10:52:23Z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5B1EBBD30A5B41B69ED50ED598EC4275</vt:lpwstr>
  </property>
</Properties>
</file>