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60AF7">
      <w:pPr>
        <w:spacing w:line="540" w:lineRule="exact"/>
        <w:jc w:val="center"/>
        <w:rPr>
          <w:rFonts w:hint="eastAsia" w:eastAsia="方正小标宋_GBK"/>
          <w:kern w:val="0"/>
          <w:sz w:val="48"/>
          <w:szCs w:val="48"/>
          <w:lang w:val="en-US" w:eastAsia="zh-CN"/>
        </w:rPr>
      </w:pPr>
    </w:p>
    <w:p w14:paraId="09D6C9A6">
      <w:pPr>
        <w:spacing w:line="540" w:lineRule="exact"/>
        <w:jc w:val="center"/>
        <w:rPr>
          <w:rFonts w:hint="eastAsia" w:eastAsia="方正小标宋_GBK"/>
          <w:kern w:val="0"/>
          <w:sz w:val="48"/>
          <w:szCs w:val="48"/>
          <w:lang w:val="en-US" w:eastAsia="zh-CN"/>
        </w:rPr>
      </w:pPr>
    </w:p>
    <w:p w14:paraId="469113F3">
      <w:pPr>
        <w:spacing w:line="540" w:lineRule="exact"/>
        <w:jc w:val="center"/>
        <w:rPr>
          <w:rFonts w:eastAsia="方正小标宋_GBK"/>
          <w:kern w:val="0"/>
          <w:sz w:val="48"/>
          <w:szCs w:val="48"/>
        </w:rPr>
      </w:pPr>
      <w:r>
        <w:rPr>
          <w:rFonts w:hint="eastAsia" w:eastAsia="方正小标宋_GBK"/>
          <w:kern w:val="0"/>
          <w:sz w:val="48"/>
          <w:szCs w:val="48"/>
          <w:lang w:val="en-US" w:eastAsia="zh-CN"/>
        </w:rPr>
        <w:t>克拉玛依市级人员补差</w:t>
      </w:r>
      <w:r>
        <w:rPr>
          <w:rFonts w:eastAsia="方正小标宋_GBK"/>
          <w:kern w:val="0"/>
          <w:sz w:val="48"/>
          <w:szCs w:val="48"/>
        </w:rPr>
        <w:t>资金项目</w:t>
      </w:r>
    </w:p>
    <w:p w14:paraId="2CFADA7B">
      <w:pPr>
        <w:spacing w:line="540" w:lineRule="exact"/>
        <w:jc w:val="center"/>
        <w:rPr>
          <w:rFonts w:eastAsia="方正小标宋_GBK"/>
          <w:kern w:val="0"/>
          <w:sz w:val="48"/>
          <w:szCs w:val="48"/>
        </w:rPr>
      </w:pPr>
      <w:r>
        <w:rPr>
          <w:rFonts w:eastAsia="方正小标宋_GBK"/>
          <w:kern w:val="0"/>
          <w:sz w:val="48"/>
          <w:szCs w:val="48"/>
        </w:rPr>
        <w:t>支出绩效评价报告</w:t>
      </w:r>
    </w:p>
    <w:p w14:paraId="5479BB12">
      <w:pPr>
        <w:spacing w:line="540" w:lineRule="exact"/>
        <w:jc w:val="center"/>
        <w:rPr>
          <w:rFonts w:eastAsia="华文中宋"/>
          <w:b/>
          <w:kern w:val="0"/>
          <w:sz w:val="52"/>
          <w:szCs w:val="52"/>
        </w:rPr>
      </w:pPr>
    </w:p>
    <w:p w14:paraId="70A31121">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3B3A952A">
      <w:pPr>
        <w:spacing w:line="540" w:lineRule="exact"/>
        <w:jc w:val="center"/>
        <w:rPr>
          <w:rFonts w:eastAsia="仿宋_GB2312"/>
          <w:kern w:val="0"/>
          <w:sz w:val="30"/>
          <w:szCs w:val="30"/>
        </w:rPr>
      </w:pPr>
    </w:p>
    <w:p w14:paraId="5D593E93">
      <w:pPr>
        <w:spacing w:line="540" w:lineRule="exact"/>
        <w:jc w:val="center"/>
        <w:rPr>
          <w:rFonts w:eastAsia="仿宋_GB2312"/>
          <w:kern w:val="0"/>
          <w:sz w:val="30"/>
          <w:szCs w:val="30"/>
        </w:rPr>
      </w:pPr>
    </w:p>
    <w:p w14:paraId="68B219C5">
      <w:pPr>
        <w:spacing w:line="540" w:lineRule="exact"/>
        <w:jc w:val="center"/>
        <w:rPr>
          <w:rFonts w:eastAsia="仿宋_GB2312"/>
          <w:kern w:val="0"/>
          <w:sz w:val="30"/>
          <w:szCs w:val="30"/>
        </w:rPr>
      </w:pPr>
    </w:p>
    <w:p w14:paraId="6D2FA0ED">
      <w:pPr>
        <w:pStyle w:val="2"/>
      </w:pPr>
    </w:p>
    <w:p w14:paraId="778625C8">
      <w:pPr>
        <w:spacing w:line="540" w:lineRule="exact"/>
        <w:jc w:val="center"/>
        <w:rPr>
          <w:rFonts w:eastAsia="仿宋_GB2312"/>
          <w:kern w:val="0"/>
          <w:sz w:val="30"/>
          <w:szCs w:val="30"/>
        </w:rPr>
      </w:pPr>
    </w:p>
    <w:p w14:paraId="34627B36">
      <w:pPr>
        <w:spacing w:line="540" w:lineRule="exact"/>
        <w:rPr>
          <w:rFonts w:eastAsia="仿宋_GB2312"/>
          <w:kern w:val="0"/>
          <w:sz w:val="30"/>
          <w:szCs w:val="30"/>
        </w:rPr>
      </w:pPr>
    </w:p>
    <w:p w14:paraId="55FCA205">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项目名称：</w:t>
      </w:r>
      <w:r>
        <w:rPr>
          <w:rFonts w:hint="eastAsia"/>
          <w:kern w:val="0"/>
          <w:sz w:val="36"/>
          <w:szCs w:val="36"/>
          <w:lang w:val="en-US" w:eastAsia="zh-CN"/>
        </w:rPr>
        <w:t>克拉玛依市级人员补差</w:t>
      </w:r>
    </w:p>
    <w:p w14:paraId="424D5406">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实施单位（公章）：</w:t>
      </w:r>
      <w:r>
        <w:rPr>
          <w:rFonts w:hint="eastAsia"/>
          <w:kern w:val="0"/>
          <w:sz w:val="36"/>
          <w:szCs w:val="36"/>
          <w:lang w:val="en-US" w:eastAsia="zh-CN"/>
        </w:rPr>
        <w:t>克拉玛依市无线电管理局</w:t>
      </w:r>
    </w:p>
    <w:p w14:paraId="21CA5B36">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主管部门（公章）：</w:t>
      </w:r>
      <w:r>
        <w:rPr>
          <w:rFonts w:hint="eastAsia"/>
          <w:kern w:val="0"/>
          <w:sz w:val="36"/>
          <w:szCs w:val="36"/>
          <w:lang w:val="en-US" w:eastAsia="zh-CN"/>
        </w:rPr>
        <w:t>自治区工业和信息化厅</w:t>
      </w:r>
    </w:p>
    <w:p w14:paraId="41DF573C">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kern w:val="0"/>
          <w:sz w:val="36"/>
          <w:szCs w:val="36"/>
          <w:lang w:val="en-US" w:eastAsia="zh-CN"/>
        </w:rPr>
        <w:t>李文博</w:t>
      </w:r>
    </w:p>
    <w:p w14:paraId="6DB66B9D">
      <w:pPr>
        <w:tabs>
          <w:tab w:val="left" w:pos="1762"/>
        </w:tabs>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kern w:val="0"/>
          <w:sz w:val="36"/>
          <w:szCs w:val="36"/>
          <w:lang w:val="en-US" w:eastAsia="zh-CN"/>
        </w:rPr>
        <w:t>2024</w:t>
      </w:r>
      <w:r>
        <w:rPr>
          <w:rFonts w:eastAsia="仿宋_GB2312"/>
          <w:kern w:val="0"/>
          <w:sz w:val="36"/>
          <w:szCs w:val="36"/>
        </w:rPr>
        <w:t>年</w:t>
      </w:r>
      <w:r>
        <w:rPr>
          <w:rFonts w:hint="eastAsia"/>
          <w:kern w:val="0"/>
          <w:sz w:val="36"/>
          <w:szCs w:val="36"/>
          <w:lang w:val="en-US" w:eastAsia="zh-CN"/>
        </w:rPr>
        <w:t>4</w:t>
      </w:r>
      <w:r>
        <w:rPr>
          <w:rFonts w:eastAsia="仿宋_GB2312"/>
          <w:kern w:val="0"/>
          <w:sz w:val="36"/>
          <w:szCs w:val="36"/>
        </w:rPr>
        <w:t>月</w:t>
      </w:r>
      <w:r>
        <w:rPr>
          <w:rFonts w:hint="eastAsia"/>
          <w:kern w:val="0"/>
          <w:sz w:val="36"/>
          <w:szCs w:val="36"/>
          <w:lang w:val="en-US" w:eastAsia="zh-CN"/>
        </w:rPr>
        <w:t>23</w:t>
      </w:r>
      <w:r>
        <w:rPr>
          <w:rFonts w:eastAsia="仿宋_GB2312"/>
          <w:kern w:val="0"/>
          <w:sz w:val="36"/>
          <w:szCs w:val="36"/>
        </w:rPr>
        <w:t>日</w:t>
      </w:r>
    </w:p>
    <w:p w14:paraId="5109DB09">
      <w:pPr>
        <w:spacing w:line="600" w:lineRule="exact"/>
        <w:ind w:firstLine="600" w:firstLineChars="200"/>
        <w:rPr>
          <w:rFonts w:hint="eastAsia" w:ascii="黑体" w:hAnsi="黑体" w:eastAsia="黑体"/>
        </w:rPr>
      </w:pPr>
    </w:p>
    <w:p w14:paraId="43EB9F49">
      <w:pPr>
        <w:spacing w:line="600" w:lineRule="exact"/>
        <w:ind w:firstLine="600" w:firstLineChars="200"/>
        <w:rPr>
          <w:rFonts w:hint="eastAsia" w:ascii="黑体" w:hAnsi="黑体" w:eastAsia="黑体"/>
        </w:rPr>
        <w:sectPr>
          <w:pgSz w:w="11906" w:h="16838"/>
          <w:pgMar w:top="1928" w:right="1531" w:bottom="1701" w:left="1531" w:header="737" w:footer="851" w:gutter="0"/>
          <w:pgNumType w:fmt="decimal"/>
          <w:cols w:space="720" w:num="1"/>
          <w:docGrid w:type="lines" w:linePitch="408" w:charSpace="0"/>
        </w:sectPr>
      </w:pPr>
      <w:bookmarkStart w:id="7" w:name="_GoBack"/>
      <w:bookmarkEnd w:id="7"/>
    </w:p>
    <w:p w14:paraId="0047242A">
      <w:pPr>
        <w:spacing w:line="600" w:lineRule="exact"/>
        <w:ind w:firstLine="600" w:firstLineChars="200"/>
        <w:rPr>
          <w:rFonts w:ascii="黑体" w:hAnsi="黑体" w:eastAsia="黑体"/>
        </w:rPr>
      </w:pPr>
      <w:r>
        <w:rPr>
          <w:rFonts w:hint="eastAsia" w:ascii="黑体" w:hAnsi="黑体" w:eastAsia="黑体"/>
        </w:rPr>
        <w:t>一、基本情况</w:t>
      </w:r>
    </w:p>
    <w:p w14:paraId="7D66DDCC">
      <w:pPr>
        <w:spacing w:line="600" w:lineRule="exact"/>
        <w:ind w:firstLine="643" w:firstLineChars="200"/>
        <w:outlineLvl w:val="0"/>
        <w:rPr>
          <w:rFonts w:hint="eastAsia" w:ascii="仿宋_GB2312"/>
        </w:rPr>
      </w:pPr>
      <w:r>
        <w:rPr>
          <w:rFonts w:hint="eastAsia" w:ascii="Times New Roman" w:hAnsi="Times New Roman" w:eastAsia="楷体_GB2312" w:cs="Times New Roman"/>
          <w:b/>
          <w:bCs/>
          <w:sz w:val="32"/>
          <w:szCs w:val="32"/>
        </w:rPr>
        <w:t>（一）项目概况。</w:t>
      </w:r>
    </w:p>
    <w:p w14:paraId="4B217F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60" w:lineRule="exact"/>
        <w:ind w:firstLine="643" w:firstLineChars="200"/>
        <w:rPr>
          <w:rFonts w:ascii="仿宋_GB2312"/>
          <w:color w:val="000000" w:themeColor="text1"/>
          <w:sz w:val="32"/>
          <w:szCs w:val="32"/>
          <w14:textFill>
            <w14:solidFill>
              <w14:schemeClr w14:val="tx1"/>
            </w14:solidFill>
          </w14:textFill>
        </w:rPr>
      </w:pPr>
      <w:r>
        <w:rPr>
          <w:rFonts w:hint="eastAsia" w:ascii="仿宋_GB2312"/>
          <w:b/>
          <w:bCs/>
          <w:sz w:val="32"/>
          <w:szCs w:val="32"/>
        </w:rPr>
        <w:t>1、项目背景</w:t>
      </w:r>
      <w:r>
        <w:rPr>
          <w:rFonts w:hint="eastAsia" w:ascii="仿宋_GB2312"/>
          <w:b/>
          <w:bCs/>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自治区经信委2012年11月26日对克拉玛依市人力资源和社会保障局的函“按照《自治区关于研究垂直管理部门有关问题的会议纪要》要求，可以享受事业单位工资、福利由自治区财政按照国家有关规定标准足额供给，与克拉玛依市当地工资收入差距部分由克拉玛依市解决” 根据</w:t>
      </w:r>
      <w:r>
        <w:rPr>
          <w:rFonts w:hint="eastAsia" w:ascii="仿宋_GB2312"/>
          <w:color w:val="000000" w:themeColor="text1"/>
          <w:sz w:val="32"/>
          <w:szCs w:val="32"/>
          <w:lang w:val="en-US" w:eastAsia="zh-CN"/>
          <w14:textFill>
            <w14:solidFill>
              <w14:schemeClr w14:val="tx1"/>
            </w14:solidFill>
          </w14:textFill>
        </w:rPr>
        <w:t>2022</w:t>
      </w:r>
      <w:r>
        <w:rPr>
          <w:rFonts w:hint="eastAsia" w:ascii="仿宋_GB2312"/>
          <w:color w:val="000000" w:themeColor="text1"/>
          <w:sz w:val="32"/>
          <w:szCs w:val="32"/>
          <w14:textFill>
            <w14:solidFill>
              <w14:schemeClr w14:val="tx1"/>
            </w14:solidFill>
          </w14:textFill>
        </w:rPr>
        <w:t>年度自治区与克拉玛依市工资福利差额实际，拟申请</w:t>
      </w:r>
      <w:r>
        <w:rPr>
          <w:rFonts w:hint="eastAsia" w:ascii="仿宋_GB2312"/>
          <w:color w:val="000000" w:themeColor="text1"/>
          <w:sz w:val="32"/>
          <w:szCs w:val="32"/>
          <w:lang w:val="en-US" w:eastAsia="zh-CN"/>
          <w14:textFill>
            <w14:solidFill>
              <w14:schemeClr w14:val="tx1"/>
            </w14:solidFill>
          </w14:textFill>
        </w:rPr>
        <w:t>2.73</w:t>
      </w:r>
      <w:r>
        <w:rPr>
          <w:rFonts w:hint="eastAsia" w:ascii="仿宋_GB2312"/>
          <w:color w:val="000000" w:themeColor="text1"/>
          <w:sz w:val="32"/>
          <w:szCs w:val="32"/>
          <w14:textFill>
            <w14:solidFill>
              <w14:schemeClr w14:val="tx1"/>
            </w14:solidFill>
          </w14:textFill>
        </w:rPr>
        <w:t>万元用于支付王广岩同志工资差额。</w:t>
      </w:r>
    </w:p>
    <w:p w14:paraId="39E3A474">
      <w:pPr>
        <w:spacing w:line="560" w:lineRule="exact"/>
        <w:ind w:firstLine="643" w:firstLineChars="200"/>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2、项目主要内容：</w:t>
      </w:r>
    </w:p>
    <w:p w14:paraId="1A84FA24">
      <w:pPr>
        <w:spacing w:line="560" w:lineRule="exact"/>
        <w:ind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（1）主要内容：根据</w:t>
      </w:r>
      <w:r>
        <w:rPr>
          <w:rFonts w:hint="eastAsia" w:ascii="仿宋_GB2312"/>
          <w:color w:val="000000" w:themeColor="text1"/>
          <w:sz w:val="32"/>
          <w:szCs w:val="32"/>
          <w:lang w:val="en-US" w:eastAsia="zh-CN"/>
          <w14:textFill>
            <w14:solidFill>
              <w14:schemeClr w14:val="tx1"/>
            </w14:solidFill>
          </w14:textFill>
        </w:rPr>
        <w:t>2022</w:t>
      </w:r>
      <w:r>
        <w:rPr>
          <w:rFonts w:hint="eastAsia" w:ascii="仿宋_GB2312"/>
          <w:color w:val="000000" w:themeColor="text1"/>
          <w:sz w:val="32"/>
          <w:szCs w:val="32"/>
          <w14:textFill>
            <w14:solidFill>
              <w14:schemeClr w14:val="tx1"/>
            </w14:solidFill>
          </w14:textFill>
        </w:rPr>
        <w:t>年度自治区与克拉玛依市工资福利差额实际，及全口径预算要求，将克拉玛依市级人员补差项目纳入202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年初部门预算，并申报该项目资金</w:t>
      </w:r>
      <w:r>
        <w:rPr>
          <w:rFonts w:hint="eastAsia" w:ascii="仿宋_GB2312"/>
          <w:color w:val="000000" w:themeColor="text1"/>
          <w:sz w:val="32"/>
          <w:szCs w:val="32"/>
          <w:lang w:val="en-US" w:eastAsia="zh-CN"/>
          <w14:textFill>
            <w14:solidFill>
              <w14:schemeClr w14:val="tx1"/>
            </w14:solidFill>
          </w14:textFill>
        </w:rPr>
        <w:t>2.73</w:t>
      </w:r>
      <w:r>
        <w:rPr>
          <w:rFonts w:hint="eastAsia" w:ascii="仿宋_GB2312"/>
          <w:color w:val="000000" w:themeColor="text1"/>
          <w:sz w:val="32"/>
          <w:szCs w:val="32"/>
          <w14:textFill>
            <w14:solidFill>
              <w14:schemeClr w14:val="tx1"/>
            </w14:solidFill>
          </w14:textFill>
        </w:rPr>
        <w:t>万元。</w:t>
      </w:r>
    </w:p>
    <w:p w14:paraId="0AA9BB0F">
      <w:pPr>
        <w:spacing w:line="560" w:lineRule="exact"/>
        <w:ind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（2）实施情况：202</w:t>
      </w:r>
      <w:r>
        <w:rPr>
          <w:rFonts w:hint="eastAsia" w:ascii="仿宋_GB2312"/>
          <w:color w:val="000000" w:themeColor="text1"/>
          <w:sz w:val="32"/>
          <w:szCs w:val="32"/>
          <w:lang w:val="en-US" w:eastAsia="zh-CN"/>
          <w14:textFill>
            <w14:solidFill>
              <w14:schemeClr w14:val="tx1"/>
            </w14:solidFill>
          </w14:textFill>
        </w:rPr>
        <w:t>2</w:t>
      </w:r>
      <w:r>
        <w:rPr>
          <w:rFonts w:hint="eastAsia" w:ascii="仿宋_GB2312"/>
          <w:color w:val="000000" w:themeColor="text1"/>
          <w:sz w:val="32"/>
          <w:szCs w:val="32"/>
          <w14:textFill>
            <w14:solidFill>
              <w14:schemeClr w14:val="tx1"/>
            </w14:solidFill>
          </w14:textFill>
        </w:rPr>
        <w:t>年9月向克拉玛依市人力资源和社会保障局申请核定</w:t>
      </w:r>
      <w:r>
        <w:rPr>
          <w:rFonts w:hint="eastAsia" w:ascii="仿宋_GB2312"/>
          <w:color w:val="000000" w:themeColor="text1"/>
          <w:sz w:val="32"/>
          <w:szCs w:val="32"/>
          <w:lang w:val="en-US" w:eastAsia="zh-CN"/>
          <w14:textFill>
            <w14:solidFill>
              <w14:schemeClr w14:val="tx1"/>
            </w14:solidFill>
          </w14:textFill>
        </w:rPr>
        <w:t>2023</w:t>
      </w:r>
      <w:r>
        <w:rPr>
          <w:rFonts w:hint="eastAsia" w:ascii="仿宋_GB2312"/>
          <w:color w:val="000000" w:themeColor="text1"/>
          <w:sz w:val="32"/>
          <w:szCs w:val="32"/>
          <w14:textFill>
            <w14:solidFill>
              <w14:schemeClr w14:val="tx1"/>
            </w14:solidFill>
          </w14:textFill>
        </w:rPr>
        <w:t>年度工资福利差额</w:t>
      </w:r>
      <w:r>
        <w:rPr>
          <w:rFonts w:hint="eastAsia" w:ascii="仿宋_GB2312"/>
          <w:color w:val="000000" w:themeColor="text1"/>
          <w:sz w:val="32"/>
          <w:szCs w:val="32"/>
          <w:lang w:val="en-US" w:eastAsia="zh-CN"/>
          <w14:textFill>
            <w14:solidFill>
              <w14:schemeClr w14:val="tx1"/>
            </w14:solidFill>
          </w14:textFill>
        </w:rPr>
        <w:t>2.73</w:t>
      </w:r>
      <w:r>
        <w:rPr>
          <w:rFonts w:hint="eastAsia" w:ascii="仿宋_GB2312"/>
          <w:color w:val="000000" w:themeColor="text1"/>
          <w:sz w:val="32"/>
          <w:szCs w:val="32"/>
          <w14:textFill>
            <w14:solidFill>
              <w14:schemeClr w14:val="tx1"/>
            </w14:solidFill>
          </w14:textFill>
        </w:rPr>
        <w:t>万元，202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w:t>
      </w:r>
      <w:r>
        <w:rPr>
          <w:rFonts w:hint="eastAsia" w:ascii="仿宋_GB2312"/>
          <w:color w:val="000000" w:themeColor="text1"/>
          <w:sz w:val="32"/>
          <w:szCs w:val="32"/>
          <w:lang w:val="en-US" w:eastAsia="zh-CN"/>
          <w14:textFill>
            <w14:solidFill>
              <w14:schemeClr w14:val="tx1"/>
            </w14:solidFill>
          </w14:textFill>
        </w:rPr>
        <w:t>4</w:t>
      </w:r>
      <w:r>
        <w:rPr>
          <w:rFonts w:hint="eastAsia" w:ascii="仿宋_GB2312"/>
          <w:color w:val="000000" w:themeColor="text1"/>
          <w:sz w:val="32"/>
          <w:szCs w:val="32"/>
          <w14:textFill>
            <w14:solidFill>
              <w14:schemeClr w14:val="tx1"/>
            </w14:solidFill>
          </w14:textFill>
        </w:rPr>
        <w:t>月向克拉玛依市财政局申请资金，202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年6月收到拨付资金</w:t>
      </w:r>
      <w:r>
        <w:rPr>
          <w:rFonts w:hint="eastAsia" w:ascii="仿宋_GB2312"/>
          <w:color w:val="000000" w:themeColor="text1"/>
          <w:sz w:val="32"/>
          <w:szCs w:val="32"/>
          <w:lang w:val="en-US" w:eastAsia="zh-CN"/>
          <w14:textFill>
            <w14:solidFill>
              <w14:schemeClr w14:val="tx1"/>
            </w14:solidFill>
          </w14:textFill>
        </w:rPr>
        <w:t>2.7</w:t>
      </w:r>
      <w:r>
        <w:rPr>
          <w:rFonts w:hint="eastAsia" w:ascii="仿宋_GB2312"/>
          <w:color w:val="000000" w:themeColor="text1"/>
          <w:sz w:val="32"/>
          <w:szCs w:val="32"/>
          <w14:textFill>
            <w14:solidFill>
              <w14:schemeClr w14:val="tx1"/>
            </w14:solidFill>
          </w14:textFill>
        </w:rPr>
        <w:t>万元，7月完成资金支付。</w:t>
      </w:r>
    </w:p>
    <w:p w14:paraId="0ED6EA54">
      <w:pPr>
        <w:spacing w:line="560" w:lineRule="exact"/>
        <w:ind w:firstLine="643" w:firstLineChars="200"/>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3、资金投入和使用情况</w:t>
      </w:r>
    </w:p>
    <w:p w14:paraId="0CAFD567">
      <w:pPr>
        <w:spacing w:line="560" w:lineRule="exact"/>
        <w:ind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资金投入情况：该项目年初预算数</w:t>
      </w:r>
      <w:r>
        <w:rPr>
          <w:rFonts w:hint="eastAsia" w:ascii="仿宋_GB2312"/>
          <w:color w:val="000000" w:themeColor="text1"/>
          <w:sz w:val="32"/>
          <w:szCs w:val="32"/>
          <w:lang w:val="en-US" w:eastAsia="zh-CN"/>
          <w14:textFill>
            <w14:solidFill>
              <w14:schemeClr w14:val="tx1"/>
            </w14:solidFill>
          </w14:textFill>
        </w:rPr>
        <w:t>2.73</w:t>
      </w:r>
      <w:r>
        <w:rPr>
          <w:rFonts w:hint="eastAsia" w:ascii="仿宋_GB2312"/>
          <w:color w:val="000000" w:themeColor="text1"/>
          <w:sz w:val="32"/>
          <w:szCs w:val="32"/>
          <w14:textFill>
            <w14:solidFill>
              <w14:schemeClr w14:val="tx1"/>
            </w14:solidFill>
          </w14:textFill>
        </w:rPr>
        <w:t>万元，全年预算数2.</w:t>
      </w:r>
      <w:r>
        <w:rPr>
          <w:rFonts w:hint="eastAsia" w:ascii="仿宋_GB2312"/>
          <w:color w:val="000000" w:themeColor="text1"/>
          <w:sz w:val="32"/>
          <w:szCs w:val="32"/>
          <w:lang w:val="en-US" w:eastAsia="zh-CN"/>
          <w14:textFill>
            <w14:solidFill>
              <w14:schemeClr w14:val="tx1"/>
            </w14:solidFill>
          </w14:textFill>
        </w:rPr>
        <w:t>7</w:t>
      </w:r>
      <w:r>
        <w:rPr>
          <w:rFonts w:hint="eastAsia" w:ascii="仿宋_GB2312"/>
          <w:color w:val="000000" w:themeColor="text1"/>
          <w:sz w:val="32"/>
          <w:szCs w:val="32"/>
          <w14:textFill>
            <w14:solidFill>
              <w14:schemeClr w14:val="tx1"/>
            </w14:solidFill>
          </w14:textFill>
        </w:rPr>
        <w:t>万元</w:t>
      </w:r>
      <w:r>
        <w:rPr>
          <w:rFonts w:hint="eastAsia" w:ascii="仿宋_GB2312"/>
          <w:sz w:val="32"/>
          <w:szCs w:val="32"/>
        </w:rPr>
        <w:t>，实际总投入</w:t>
      </w:r>
      <w:r>
        <w:rPr>
          <w:rFonts w:hint="eastAsia" w:ascii="仿宋_GB2312"/>
          <w:sz w:val="32"/>
          <w:szCs w:val="32"/>
          <w:lang w:val="en-US" w:eastAsia="zh-CN"/>
        </w:rPr>
        <w:t>2.7</w:t>
      </w:r>
      <w:r>
        <w:rPr>
          <w:rFonts w:hint="eastAsia" w:ascii="仿宋_GB2312"/>
          <w:sz w:val="32"/>
          <w:szCs w:val="32"/>
        </w:rPr>
        <w:t>万元，</w:t>
      </w:r>
      <w:r>
        <w:rPr>
          <w:rFonts w:hint="eastAsia" w:ascii="仿宋_GB2312"/>
          <w:color w:val="000000" w:themeColor="text1"/>
          <w:sz w:val="32"/>
          <w:szCs w:val="32"/>
          <w14:textFill>
            <w14:solidFill>
              <w14:schemeClr w14:val="tx1"/>
            </w14:solidFill>
          </w14:textFill>
        </w:rPr>
        <w:t>该项目资金已全部落实到位，资金来源为其他资金 。</w:t>
      </w:r>
    </w:p>
    <w:p w14:paraId="4D9E27A2">
      <w:pPr>
        <w:spacing w:line="560" w:lineRule="exact"/>
        <w:ind w:firstLine="640" w:firstLineChars="200"/>
        <w:rPr>
          <w:rFonts w:ascii="仿宋_GB2312"/>
          <w:sz w:val="32"/>
          <w:szCs w:val="32"/>
        </w:rPr>
      </w:pPr>
      <w:r>
        <w:rPr>
          <w:rFonts w:hint="eastAsia" w:ascii="仿宋_GB2312"/>
          <w:color w:val="000000" w:themeColor="text1"/>
          <w:sz w:val="32"/>
          <w:szCs w:val="32"/>
          <w14:textFill>
            <w14:solidFill>
              <w14:schemeClr w14:val="tx1"/>
            </w14:solidFill>
          </w14:textFill>
        </w:rPr>
        <w:t>资金使用情况：该项目年初预算数</w:t>
      </w:r>
      <w:r>
        <w:rPr>
          <w:rFonts w:hint="eastAsia" w:ascii="仿宋_GB2312"/>
          <w:color w:val="000000" w:themeColor="text1"/>
          <w:sz w:val="32"/>
          <w:szCs w:val="32"/>
          <w:lang w:val="en-US" w:eastAsia="zh-CN"/>
          <w14:textFill>
            <w14:solidFill>
              <w14:schemeClr w14:val="tx1"/>
            </w14:solidFill>
          </w14:textFill>
        </w:rPr>
        <w:t>2.73</w:t>
      </w:r>
      <w:r>
        <w:rPr>
          <w:rFonts w:hint="eastAsia" w:ascii="仿宋_GB2312"/>
          <w:color w:val="000000" w:themeColor="text1"/>
          <w:sz w:val="32"/>
          <w:szCs w:val="32"/>
          <w14:textFill>
            <w14:solidFill>
              <w14:schemeClr w14:val="tx1"/>
            </w14:solidFill>
          </w14:textFill>
        </w:rPr>
        <w:t>万元，全年预算数2.</w:t>
      </w:r>
      <w:r>
        <w:rPr>
          <w:rFonts w:hint="eastAsia" w:ascii="仿宋_GB2312"/>
          <w:color w:val="000000" w:themeColor="text1"/>
          <w:sz w:val="32"/>
          <w:szCs w:val="32"/>
          <w:lang w:val="en-US" w:eastAsia="zh-CN"/>
          <w14:textFill>
            <w14:solidFill>
              <w14:schemeClr w14:val="tx1"/>
            </w14:solidFill>
          </w14:textFill>
        </w:rPr>
        <w:t>7</w:t>
      </w:r>
      <w:r>
        <w:rPr>
          <w:rFonts w:hint="eastAsia" w:ascii="仿宋_GB2312"/>
          <w:color w:val="000000" w:themeColor="text1"/>
          <w:sz w:val="32"/>
          <w:szCs w:val="32"/>
          <w14:textFill>
            <w14:solidFill>
              <w14:schemeClr w14:val="tx1"/>
            </w14:solidFill>
          </w14:textFill>
        </w:rPr>
        <w:t xml:space="preserve"> 万元，全年执行数</w:t>
      </w:r>
      <w:r>
        <w:rPr>
          <w:rFonts w:hint="eastAsia" w:ascii="仿宋_GB2312"/>
          <w:color w:val="000000" w:themeColor="text1"/>
          <w:sz w:val="32"/>
          <w:szCs w:val="32"/>
          <w:lang w:val="en-US" w:eastAsia="zh-CN"/>
          <w14:textFill>
            <w14:solidFill>
              <w14:schemeClr w14:val="tx1"/>
            </w14:solidFill>
          </w14:textFill>
        </w:rPr>
        <w:t>2.7</w:t>
      </w:r>
      <w:r>
        <w:rPr>
          <w:rFonts w:hint="eastAsia" w:ascii="仿宋_GB2312"/>
          <w:color w:val="000000" w:themeColor="text1"/>
          <w:sz w:val="32"/>
          <w:szCs w:val="32"/>
          <w14:textFill>
            <w14:solidFill>
              <w14:schemeClr w14:val="tx1"/>
            </w14:solidFill>
          </w14:textFill>
        </w:rPr>
        <w:t>万元，预算执行率为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%，用于</w:t>
      </w:r>
      <w:r>
        <w:rPr>
          <w:rFonts w:hint="eastAsia" w:ascii="仿宋_GB2312"/>
          <w:sz w:val="32"/>
          <w:szCs w:val="32"/>
        </w:rPr>
        <w:t>：王广岩补差经费支出2.</w:t>
      </w:r>
      <w:r>
        <w:rPr>
          <w:rFonts w:hint="eastAsia" w:ascii="仿宋_GB2312"/>
          <w:sz w:val="32"/>
          <w:szCs w:val="32"/>
          <w:lang w:val="en-US" w:eastAsia="zh-CN"/>
        </w:rPr>
        <w:t>7</w:t>
      </w:r>
      <w:r>
        <w:rPr>
          <w:rFonts w:hint="eastAsia" w:ascii="仿宋_GB2312"/>
          <w:sz w:val="32"/>
          <w:szCs w:val="32"/>
        </w:rPr>
        <w:t>万元。</w:t>
      </w:r>
    </w:p>
    <w:p w14:paraId="0E34BD3E">
      <w:pPr>
        <w:numPr>
          <w:ilvl w:val="0"/>
          <w:numId w:val="0"/>
        </w:numPr>
        <w:spacing w:line="600" w:lineRule="exact"/>
        <w:ind w:firstLine="602" w:firstLineChars="200"/>
        <w:rPr>
          <w:rFonts w:hint="eastAsia" w:ascii="仿宋_GB2312"/>
          <w:b/>
          <w:bCs/>
        </w:rPr>
      </w:pPr>
      <w:r>
        <w:rPr>
          <w:rFonts w:hint="eastAsia" w:ascii="仿宋_GB2312" w:hAnsi="Times New Roman" w:eastAsia="仿宋_GB2312" w:cs="Times New Roman"/>
          <w:b/>
          <w:bCs/>
          <w:kern w:val="2"/>
          <w:sz w:val="30"/>
          <w:szCs w:val="24"/>
          <w:lang w:val="en-US" w:eastAsia="zh-CN" w:bidi="ar-SA"/>
        </w:rPr>
        <w:t>（二）</w:t>
      </w:r>
      <w:r>
        <w:rPr>
          <w:rFonts w:hint="eastAsia" w:ascii="Times New Roman" w:hAnsi="Times New Roman" w:eastAsia="楷体_GB2312" w:cs="Times New Roman"/>
          <w:b/>
          <w:bCs/>
          <w:sz w:val="32"/>
          <w:szCs w:val="32"/>
        </w:rPr>
        <w:t>项目绩效目标。包括总体目标和阶段性目标</w:t>
      </w:r>
      <w:r>
        <w:rPr>
          <w:rFonts w:hint="eastAsia" w:ascii="仿宋_GB2312"/>
          <w:b/>
          <w:bCs/>
        </w:rPr>
        <w:t>。</w:t>
      </w:r>
    </w:p>
    <w:p w14:paraId="502BC1CF">
      <w:pPr>
        <w:spacing w:line="560" w:lineRule="exact"/>
        <w:ind w:firstLine="777" w:firstLineChars="243"/>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1、总体目标：完成我单位王广岩2022年人员补差经费</w:t>
      </w:r>
      <w:r>
        <w:rPr>
          <w:rFonts w:hint="eastAsia" w:ascii="仿宋_GB2312"/>
          <w:color w:val="000000" w:themeColor="text1"/>
          <w:sz w:val="32"/>
          <w:szCs w:val="32"/>
          <w:lang w:val="en-US" w:eastAsia="zh-CN"/>
          <w14:textFill>
            <w14:solidFill>
              <w14:schemeClr w14:val="tx1"/>
            </w14:solidFill>
          </w14:textFill>
        </w:rPr>
        <w:t>2.7</w:t>
      </w:r>
      <w:r>
        <w:rPr>
          <w:rFonts w:hint="eastAsia" w:ascii="仿宋_GB2312"/>
          <w:color w:val="000000" w:themeColor="text1"/>
          <w:sz w:val="32"/>
          <w:szCs w:val="32"/>
          <w14:textFill>
            <w14:solidFill>
              <w14:schemeClr w14:val="tx1"/>
            </w14:solidFill>
          </w14:textFill>
        </w:rPr>
        <w:t>万元。</w:t>
      </w:r>
    </w:p>
    <w:p w14:paraId="27329873">
      <w:pPr>
        <w:spacing w:line="560" w:lineRule="exact"/>
        <w:ind w:firstLine="777" w:firstLineChars="243"/>
      </w:pPr>
      <w:r>
        <w:rPr>
          <w:rFonts w:hint="eastAsia" w:ascii="仿宋_GB2312"/>
          <w:color w:val="000000" w:themeColor="text1"/>
          <w:sz w:val="32"/>
          <w:szCs w:val="32"/>
          <w14:textFill>
            <w14:solidFill>
              <w14:schemeClr w14:val="tx1"/>
            </w14:solidFill>
          </w14:textFill>
        </w:rPr>
        <w:t>2、阶段性目标：202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年克拉玛依市财政拨付我单位项目经费2.</w:t>
      </w:r>
      <w:r>
        <w:rPr>
          <w:rFonts w:hint="eastAsia" w:ascii="仿宋_GB2312"/>
          <w:color w:val="000000" w:themeColor="text1"/>
          <w:sz w:val="32"/>
          <w:szCs w:val="32"/>
          <w:lang w:val="en-US" w:eastAsia="zh-CN"/>
          <w14:textFill>
            <w14:solidFill>
              <w14:schemeClr w14:val="tx1"/>
            </w14:solidFill>
          </w14:textFill>
        </w:rPr>
        <w:t>7</w:t>
      </w:r>
      <w:r>
        <w:rPr>
          <w:rFonts w:hint="eastAsia" w:ascii="仿宋_GB2312"/>
          <w:color w:val="000000" w:themeColor="text1"/>
          <w:sz w:val="32"/>
          <w:szCs w:val="32"/>
          <w14:textFill>
            <w14:solidFill>
              <w14:schemeClr w14:val="tx1"/>
            </w14:solidFill>
          </w14:textFill>
        </w:rPr>
        <w:t>万元，已完成发放，实际支出2.</w:t>
      </w:r>
      <w:r>
        <w:rPr>
          <w:rFonts w:hint="eastAsia" w:ascii="仿宋_GB2312"/>
          <w:color w:val="000000" w:themeColor="text1"/>
          <w:sz w:val="32"/>
          <w:szCs w:val="32"/>
          <w:lang w:val="en-US" w:eastAsia="zh-CN"/>
          <w14:textFill>
            <w14:solidFill>
              <w14:schemeClr w14:val="tx1"/>
            </w14:solidFill>
          </w14:textFill>
        </w:rPr>
        <w:t>7</w:t>
      </w:r>
      <w:r>
        <w:rPr>
          <w:rFonts w:hint="eastAsia" w:ascii="仿宋_GB2312"/>
          <w:color w:val="000000" w:themeColor="text1"/>
          <w:sz w:val="32"/>
          <w:szCs w:val="32"/>
          <w14:textFill>
            <w14:solidFill>
              <w14:schemeClr w14:val="tx1"/>
            </w14:solidFill>
          </w14:textFill>
        </w:rPr>
        <w:t>万元，完成</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w:t>
      </w:r>
    </w:p>
    <w:p w14:paraId="743AFE90">
      <w:pPr>
        <w:spacing w:line="600" w:lineRule="exact"/>
        <w:ind w:firstLine="600" w:firstLineChars="200"/>
        <w:rPr>
          <w:rFonts w:ascii="黑体" w:hAnsi="黑体" w:eastAsia="黑体"/>
        </w:rPr>
      </w:pPr>
      <w:r>
        <w:rPr>
          <w:rFonts w:hint="eastAsia" w:ascii="黑体" w:hAnsi="黑体" w:eastAsia="黑体"/>
        </w:rPr>
        <w:t>二、绩效评价工作开展情况</w:t>
      </w:r>
    </w:p>
    <w:p w14:paraId="1F3E88E8">
      <w:pPr>
        <w:spacing w:line="560" w:lineRule="exact"/>
        <w:ind w:firstLine="643" w:firstLineChars="200"/>
        <w:rPr>
          <w:rFonts w:hint="eastAsia" w:ascii="Times New Roman" w:hAnsi="Times New Roman" w:eastAsia="楷体_GB2312" w:cs="Times New Roman"/>
          <w:b/>
          <w:bCs/>
          <w:sz w:val="32"/>
          <w:szCs w:val="32"/>
        </w:rPr>
      </w:pPr>
      <w:r>
        <w:rPr>
          <w:rFonts w:hint="eastAsia" w:ascii="Times New Roman" w:hAnsi="Times New Roman" w:eastAsia="楷体_GB2312" w:cs="Times New Roman"/>
          <w:b/>
          <w:bCs/>
          <w:sz w:val="32"/>
          <w:szCs w:val="32"/>
        </w:rPr>
        <w:t>（一）绩效评价目的、对象和范围。</w:t>
      </w:r>
    </w:p>
    <w:p w14:paraId="6908DD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1、绩效评价目的</w:t>
      </w:r>
    </w:p>
    <w:p w14:paraId="2A76BFF6">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11925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通过绩效评价，客观地评判项目的管理绩效，了解和掌握202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年人员经费差额的具体情况，评价该项目资金安排的科学性、合理性、规范性和资金的使用成效，及时总结项目管理经验，完善项目管理办法，提高项目管理水平和资金使用效益。促使我</w:t>
      </w:r>
      <w:r>
        <w:rPr>
          <w:rFonts w:hint="eastAsia" w:ascii="仿宋_GB2312"/>
          <w:color w:val="000000" w:themeColor="text1"/>
          <w:sz w:val="32"/>
          <w:szCs w:val="32"/>
          <w:lang w:val="en-US" w:eastAsia="zh-CN"/>
          <w14:textFill>
            <w14:solidFill>
              <w14:schemeClr w14:val="tx1"/>
            </w14:solidFill>
          </w14:textFill>
        </w:rPr>
        <w:t>单位</w:t>
      </w:r>
      <w:r>
        <w:rPr>
          <w:rFonts w:hint="eastAsia" w:ascii="仿宋_GB2312"/>
          <w:color w:val="000000" w:themeColor="text1"/>
          <w:sz w:val="32"/>
          <w:szCs w:val="32"/>
          <w14:textFill>
            <w14:solidFill>
              <w14:schemeClr w14:val="tx1"/>
            </w14:solidFill>
          </w14:textFill>
        </w:rPr>
        <w:t>根据绩效评价中发现的问题，认真加以整改，及时调整和完善单位的工作计划和绩效目标并加强项目管理，提高管理水平，同时为项目后续管理</w:t>
      </w:r>
      <w:r>
        <w:rPr>
          <w:rFonts w:hint="eastAsia" w:ascii="仿宋_GB2312"/>
          <w:color w:val="000000" w:themeColor="text1"/>
          <w:sz w:val="32"/>
          <w:szCs w:val="32"/>
          <w:lang w:val="en-US" w:eastAsia="zh-CN"/>
          <w14:textFill>
            <w14:solidFill>
              <w14:schemeClr w14:val="tx1"/>
            </w14:solidFill>
          </w14:textFill>
        </w:rPr>
        <w:t>和执行</w:t>
      </w:r>
      <w:r>
        <w:rPr>
          <w:rFonts w:hint="eastAsia" w:ascii="仿宋_GB2312"/>
          <w:color w:val="000000" w:themeColor="text1"/>
          <w:sz w:val="32"/>
          <w:szCs w:val="32"/>
          <w14:textFill>
            <w14:solidFill>
              <w14:schemeClr w14:val="tx1"/>
            </w14:solidFill>
          </w14:textFill>
        </w:rPr>
        <w:t>提供决策依据。</w:t>
      </w:r>
      <w:r>
        <w:rPr>
          <w:rFonts w:hint="eastAsia" w:eastAsia="仿宋_GB2312"/>
          <w:sz w:val="32"/>
          <w:szCs w:val="32"/>
        </w:rPr>
        <w:t>也为下一年预算编制与评审提供充分有效的依据，以达到改进预算管理、控制节约成本，优化资源配置、提高预算资金使用效益的目的。</w:t>
      </w:r>
    </w:p>
    <w:p w14:paraId="43963C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FF0000"/>
          <w:sz w:val="32"/>
          <w:szCs w:val="32"/>
          <w:lang w:eastAsia="zh-CN"/>
        </w:rPr>
      </w:pPr>
      <w:r>
        <w:rPr>
          <w:rFonts w:hint="eastAsia" w:ascii="仿宋_GB2312"/>
          <w:color w:val="000000" w:themeColor="text1"/>
          <w:sz w:val="32"/>
          <w:szCs w:val="32"/>
          <w14:textFill>
            <w14:solidFill>
              <w14:schemeClr w14:val="tx1"/>
            </w14:solidFill>
          </w14:textFill>
        </w:rPr>
        <w:t>2、绩效评价对象：</w:t>
      </w:r>
      <w:bookmarkStart w:id="0" w:name="_Hlk93662477"/>
      <w:r>
        <w:rPr>
          <w:rFonts w:hint="eastAsia" w:ascii="仿宋_GB2312"/>
          <w:color w:val="000000" w:themeColor="text1"/>
          <w:sz w:val="32"/>
          <w:szCs w:val="32"/>
          <w14:textFill>
            <w14:solidFill>
              <w14:schemeClr w14:val="tx1"/>
            </w14:solidFill>
          </w14:textFill>
        </w:rPr>
        <w:t>克拉玛依市无线电管理局</w:t>
      </w:r>
      <w:r>
        <w:rPr>
          <w:rFonts w:hint="eastAsia" w:ascii="仿宋_GB2312"/>
          <w:sz w:val="32"/>
          <w:szCs w:val="32"/>
        </w:rPr>
        <w:t>克拉玛依市级人员补差项目</w:t>
      </w:r>
      <w:r>
        <w:rPr>
          <w:rFonts w:hint="eastAsia" w:ascii="仿宋_GB2312"/>
          <w:sz w:val="32"/>
          <w:szCs w:val="32"/>
          <w:lang w:eastAsia="zh-CN"/>
        </w:rPr>
        <w:t>。</w:t>
      </w:r>
    </w:p>
    <w:bookmarkEnd w:id="0"/>
    <w:p w14:paraId="3744AC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绩效评价范围：本次评价从项目决策（包括绩效目标、决策过程）、项目管理（包括项目资金、项目实施）、项目产出（包括项目产出数量、产出质量、产出时效和产出成本）项目效益四个维度进行人员补差项目评价，评价核心为专项资金的支出完成情况和效果。</w:t>
      </w:r>
    </w:p>
    <w:p w14:paraId="53911789">
      <w:pPr>
        <w:spacing w:line="560" w:lineRule="exact"/>
        <w:ind w:firstLine="643" w:firstLineChars="200"/>
        <w:rPr>
          <w:rFonts w:hint="eastAsia" w:ascii="Times New Roman" w:hAnsi="Times New Roman" w:eastAsia="楷体_GB2312" w:cs="Times New Roman"/>
          <w:b/>
          <w:bCs/>
          <w:sz w:val="32"/>
          <w:szCs w:val="32"/>
        </w:rPr>
      </w:pPr>
      <w:r>
        <w:rPr>
          <w:rFonts w:hint="eastAsia" w:ascii="Times New Roman" w:hAnsi="Times New Roman" w:eastAsia="楷体_GB2312" w:cs="Times New Roman"/>
          <w:b/>
          <w:bCs/>
          <w:sz w:val="32"/>
          <w:szCs w:val="32"/>
        </w:rPr>
        <w:t>（二）绩效评价原则、评价指标体系（附表说明）、评价方法、评价标准。</w:t>
      </w:r>
    </w:p>
    <w:p w14:paraId="7064D1B6">
      <w:pPr>
        <w:spacing w:line="560" w:lineRule="exact"/>
        <w:ind w:firstLine="960" w:firstLineChars="300"/>
        <w:rPr>
          <w:rFonts w:ascii="仿宋_GB2312"/>
          <w:sz w:val="32"/>
          <w:szCs w:val="32"/>
        </w:rPr>
      </w:pPr>
      <w:r>
        <w:rPr>
          <w:rFonts w:hint="eastAsia" w:ascii="仿宋_GB2312"/>
          <w:sz w:val="32"/>
          <w:szCs w:val="32"/>
        </w:rPr>
        <w:t>1、绩效评价原则：</w:t>
      </w:r>
    </w:p>
    <w:p w14:paraId="704E7289">
      <w:pPr>
        <w:spacing w:line="560" w:lineRule="exact"/>
        <w:ind w:firstLine="640"/>
        <w:rPr>
          <w:rFonts w:ascii="仿宋_GB2312"/>
          <w:sz w:val="32"/>
          <w:szCs w:val="32"/>
        </w:rPr>
      </w:pPr>
      <w:r>
        <w:rPr>
          <w:rFonts w:hint="eastAsia" w:ascii="仿宋_GB2312"/>
          <w:sz w:val="32"/>
          <w:szCs w:val="32"/>
        </w:rPr>
        <w:t>（1）</w:t>
      </w:r>
      <w:bookmarkStart w:id="1" w:name="_Hlk93662949"/>
      <w:r>
        <w:rPr>
          <w:rFonts w:hint="eastAsia" w:ascii="仿宋_GB2312"/>
          <w:sz w:val="32"/>
          <w:szCs w:val="32"/>
        </w:rPr>
        <w:t>科学公正</w:t>
      </w:r>
      <w:bookmarkEnd w:id="1"/>
      <w:r>
        <w:rPr>
          <w:rFonts w:hint="eastAsia" w:ascii="仿宋_GB2312"/>
          <w:sz w:val="32"/>
          <w:szCs w:val="32"/>
        </w:rPr>
        <w:t>。绩效评价应当运用科学合理的方法，按照规范的程序，对项目绩效进行客观、公正的反映。</w:t>
      </w:r>
    </w:p>
    <w:p w14:paraId="3760792B">
      <w:pPr>
        <w:spacing w:line="560" w:lineRule="exact"/>
        <w:ind w:firstLine="640"/>
        <w:rPr>
          <w:rFonts w:ascii="仿宋_GB2312"/>
          <w:sz w:val="32"/>
          <w:szCs w:val="32"/>
        </w:rPr>
      </w:pPr>
      <w:r>
        <w:rPr>
          <w:rFonts w:hint="eastAsia" w:ascii="仿宋_GB2312"/>
          <w:sz w:val="32"/>
          <w:szCs w:val="32"/>
        </w:rPr>
        <w:t>（2）统筹兼顾。单位自评应职责明确，各有侧重，相互衔接。</w:t>
      </w:r>
    </w:p>
    <w:p w14:paraId="1FC2ACFB">
      <w:pPr>
        <w:spacing w:line="560" w:lineRule="exact"/>
        <w:ind w:firstLine="640"/>
        <w:rPr>
          <w:rFonts w:ascii="仿宋_GB2312"/>
          <w:sz w:val="32"/>
          <w:szCs w:val="32"/>
        </w:rPr>
      </w:pPr>
      <w:r>
        <w:rPr>
          <w:rFonts w:hint="eastAsia" w:ascii="仿宋_GB2312"/>
          <w:sz w:val="32"/>
          <w:szCs w:val="32"/>
        </w:rPr>
        <w:t>（3）激励约束。绩效评价结果应与预算安排、政策调整、改进管理实质性挂钩，体现奖优罚劣和激励相容导向，有效要安排、无效要问责。</w:t>
      </w:r>
    </w:p>
    <w:p w14:paraId="4B626E86">
      <w:pPr>
        <w:spacing w:line="560" w:lineRule="exact"/>
        <w:ind w:firstLine="640"/>
        <w:rPr>
          <w:rFonts w:ascii="仿宋_GB2312"/>
          <w:sz w:val="32"/>
          <w:szCs w:val="32"/>
        </w:rPr>
      </w:pPr>
      <w:r>
        <w:rPr>
          <w:rFonts w:hint="eastAsia" w:ascii="仿宋_GB2312"/>
          <w:sz w:val="32"/>
          <w:szCs w:val="32"/>
        </w:rPr>
        <w:t>（4）公开透明。绩效评价结果应依法依规公开，并自觉接受社会监督。</w:t>
      </w:r>
    </w:p>
    <w:p w14:paraId="6441313A">
      <w:pPr>
        <w:spacing w:line="360" w:lineRule="auto"/>
        <w:ind w:firstLine="960" w:firstLineChars="300"/>
        <w:rPr>
          <w:rFonts w:hint="eastAsia" w:ascii="仿宋_GB2312"/>
          <w:sz w:val="32"/>
          <w:szCs w:val="32"/>
        </w:rPr>
      </w:pPr>
      <w:r>
        <w:rPr>
          <w:rFonts w:hint="eastAsia" w:ascii="仿宋_GB2312"/>
          <w:sz w:val="32"/>
          <w:szCs w:val="32"/>
        </w:rPr>
        <w:t>2、评价指标体系</w:t>
      </w:r>
    </w:p>
    <w:p w14:paraId="3FE68ADE">
      <w:pPr>
        <w:pStyle w:val="2"/>
      </w:pPr>
    </w:p>
    <w:p w14:paraId="231A2A3A">
      <w:pPr>
        <w:jc w:val="center"/>
      </w:pPr>
      <w:r>
        <w:rPr>
          <w:rFonts w:hint="eastAsia" w:ascii="宋体" w:hAnsi="宋体" w:eastAsia="宋体"/>
          <w:b/>
          <w:bCs/>
          <w:sz w:val="36"/>
          <w:szCs w:val="32"/>
        </w:rPr>
        <w:t>项目支出绩效评价指标体系框架</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2"/>
        <w:gridCol w:w="1486"/>
        <w:gridCol w:w="1977"/>
        <w:gridCol w:w="3639"/>
        <w:gridCol w:w="726"/>
      </w:tblGrid>
      <w:tr w14:paraId="058D26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0" w:hRule="atLeast"/>
        </w:trPr>
        <w:tc>
          <w:tcPr>
            <w:tcW w:w="1232" w:type="dxa"/>
          </w:tcPr>
          <w:p w14:paraId="6B4FAF7D">
            <w:pPr>
              <w:rPr>
                <w:b/>
                <w:bCs/>
              </w:rPr>
            </w:pPr>
            <w:r>
              <w:rPr>
                <w:rFonts w:hint="eastAsia"/>
                <w:b/>
                <w:bCs/>
              </w:rPr>
              <w:t>一级指标</w:t>
            </w:r>
          </w:p>
        </w:tc>
        <w:tc>
          <w:tcPr>
            <w:tcW w:w="1486" w:type="dxa"/>
          </w:tcPr>
          <w:p w14:paraId="6A8CD355">
            <w:pPr>
              <w:rPr>
                <w:b/>
                <w:bCs/>
              </w:rPr>
            </w:pPr>
            <w:r>
              <w:rPr>
                <w:rFonts w:hint="eastAsia"/>
                <w:b/>
                <w:bCs/>
              </w:rPr>
              <w:t>二级指标</w:t>
            </w:r>
          </w:p>
        </w:tc>
        <w:tc>
          <w:tcPr>
            <w:tcW w:w="1977" w:type="dxa"/>
          </w:tcPr>
          <w:p w14:paraId="59393B91">
            <w:pPr>
              <w:rPr>
                <w:b/>
                <w:bCs/>
              </w:rPr>
            </w:pPr>
            <w:r>
              <w:rPr>
                <w:rFonts w:hint="eastAsia"/>
                <w:b/>
                <w:bCs/>
              </w:rPr>
              <w:t>三级指标</w:t>
            </w:r>
          </w:p>
        </w:tc>
        <w:tc>
          <w:tcPr>
            <w:tcW w:w="3639" w:type="dxa"/>
          </w:tcPr>
          <w:p w14:paraId="627393A9">
            <w:pPr>
              <w:rPr>
                <w:b/>
                <w:bCs/>
              </w:rPr>
            </w:pPr>
            <w:r>
              <w:rPr>
                <w:rFonts w:hint="eastAsia"/>
                <w:b/>
                <w:bCs/>
              </w:rPr>
              <w:t>指标解释</w:t>
            </w:r>
          </w:p>
        </w:tc>
        <w:tc>
          <w:tcPr>
            <w:tcW w:w="726" w:type="dxa"/>
          </w:tcPr>
          <w:p w14:paraId="2A8794E3">
            <w:pPr>
              <w:rPr>
                <w:b/>
                <w:bCs/>
              </w:rPr>
            </w:pPr>
            <w:r>
              <w:rPr>
                <w:rFonts w:hint="eastAsia"/>
                <w:b/>
                <w:bCs/>
              </w:rPr>
              <w:t>分值</w:t>
            </w:r>
          </w:p>
        </w:tc>
      </w:tr>
      <w:tr w14:paraId="54B0EE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80" w:hRule="atLeast"/>
        </w:trPr>
        <w:tc>
          <w:tcPr>
            <w:tcW w:w="1232" w:type="dxa"/>
            <w:vMerge w:val="restart"/>
          </w:tcPr>
          <w:p w14:paraId="2FBAE81F">
            <w:pPr>
              <w:rPr>
                <w:b/>
                <w:bCs/>
              </w:rPr>
            </w:pPr>
            <w:r>
              <w:rPr>
                <w:rFonts w:hint="eastAsia"/>
                <w:b/>
                <w:bCs/>
              </w:rPr>
              <w:t>项目执行　</w:t>
            </w:r>
          </w:p>
        </w:tc>
        <w:tc>
          <w:tcPr>
            <w:tcW w:w="1486" w:type="dxa"/>
            <w:vMerge w:val="restart"/>
          </w:tcPr>
          <w:p w14:paraId="4A78EF1E">
            <w:r>
              <w:rPr>
                <w:rFonts w:hint="eastAsia"/>
              </w:rPr>
              <w:t>资金执行率</w:t>
            </w:r>
          </w:p>
        </w:tc>
        <w:tc>
          <w:tcPr>
            <w:tcW w:w="1977" w:type="dxa"/>
          </w:tcPr>
          <w:p w14:paraId="69CB9983">
            <w:r>
              <w:rPr>
                <w:rFonts w:hint="eastAsia"/>
              </w:rPr>
              <w:t>项目立项　</w:t>
            </w:r>
          </w:p>
        </w:tc>
        <w:tc>
          <w:tcPr>
            <w:tcW w:w="3639" w:type="dxa"/>
          </w:tcPr>
          <w:p w14:paraId="12A8B654">
            <w:r>
              <w:rPr>
                <w:rFonts w:hint="eastAsia"/>
              </w:rPr>
              <w:t>项目立项是否符合法律法规、相关政策、发展规划以及部门职责，用以反映和考核项目立项依据情况。</w:t>
            </w:r>
          </w:p>
        </w:tc>
        <w:tc>
          <w:tcPr>
            <w:tcW w:w="726" w:type="dxa"/>
            <w:vMerge w:val="restart"/>
          </w:tcPr>
          <w:p w14:paraId="423E9CC2">
            <w:r>
              <w:rPr>
                <w:rFonts w:hint="eastAsia"/>
              </w:rPr>
              <w:t>10</w:t>
            </w:r>
          </w:p>
        </w:tc>
      </w:tr>
      <w:tr w14:paraId="04AD6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vMerge w:val="continue"/>
          </w:tcPr>
          <w:p w14:paraId="794AF6EB">
            <w:pPr>
              <w:rPr>
                <w:b/>
                <w:bCs/>
              </w:rPr>
            </w:pPr>
          </w:p>
        </w:tc>
        <w:tc>
          <w:tcPr>
            <w:tcW w:w="1486" w:type="dxa"/>
            <w:vMerge w:val="continue"/>
          </w:tcPr>
          <w:p w14:paraId="138C1B1B"/>
        </w:tc>
        <w:tc>
          <w:tcPr>
            <w:tcW w:w="1977" w:type="dxa"/>
          </w:tcPr>
          <w:p w14:paraId="11D9CE93">
            <w:r>
              <w:rPr>
                <w:rFonts w:hint="eastAsia"/>
              </w:rPr>
              <w:t>资金到位率</w:t>
            </w:r>
          </w:p>
        </w:tc>
        <w:tc>
          <w:tcPr>
            <w:tcW w:w="3639" w:type="dxa"/>
          </w:tcPr>
          <w:p w14:paraId="5D39FD2F">
            <w:r>
              <w:rPr>
                <w:rFonts w:hint="eastAsia"/>
              </w:rPr>
              <w:t>实际到位资金与预算资金的比率，用以反映和考核资金落实情况对项目实施的总体保障程度。</w:t>
            </w:r>
          </w:p>
        </w:tc>
        <w:tc>
          <w:tcPr>
            <w:tcW w:w="726" w:type="dxa"/>
            <w:vMerge w:val="continue"/>
          </w:tcPr>
          <w:p w14:paraId="4D87F5C0"/>
        </w:tc>
      </w:tr>
      <w:tr w14:paraId="55D651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vMerge w:val="continue"/>
          </w:tcPr>
          <w:p w14:paraId="0243F955">
            <w:pPr>
              <w:rPr>
                <w:b/>
                <w:bCs/>
              </w:rPr>
            </w:pPr>
          </w:p>
        </w:tc>
        <w:tc>
          <w:tcPr>
            <w:tcW w:w="1486" w:type="dxa"/>
            <w:vMerge w:val="continue"/>
          </w:tcPr>
          <w:p w14:paraId="245B43D6"/>
        </w:tc>
        <w:tc>
          <w:tcPr>
            <w:tcW w:w="1977" w:type="dxa"/>
          </w:tcPr>
          <w:p w14:paraId="5389C695">
            <w:r>
              <w:rPr>
                <w:rFonts w:hint="eastAsia"/>
              </w:rPr>
              <w:t>预算执行率</w:t>
            </w:r>
          </w:p>
        </w:tc>
        <w:tc>
          <w:tcPr>
            <w:tcW w:w="3639" w:type="dxa"/>
          </w:tcPr>
          <w:p w14:paraId="19944482">
            <w:r>
              <w:rPr>
                <w:rFonts w:hint="eastAsia"/>
              </w:rPr>
              <w:t>项目预算资金是否按照计划执行，用以反映或考核项目预算执行情况。</w:t>
            </w:r>
          </w:p>
        </w:tc>
        <w:tc>
          <w:tcPr>
            <w:tcW w:w="726" w:type="dxa"/>
            <w:vMerge w:val="continue"/>
          </w:tcPr>
          <w:p w14:paraId="4DFEDD39"/>
        </w:tc>
      </w:tr>
      <w:tr w14:paraId="1F605A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vMerge w:val="restart"/>
          </w:tcPr>
          <w:p w14:paraId="5F5536D8">
            <w:pPr>
              <w:rPr>
                <w:b/>
                <w:bCs/>
              </w:rPr>
            </w:pPr>
            <w:r>
              <w:rPr>
                <w:rFonts w:hint="eastAsia"/>
                <w:b/>
                <w:bCs/>
              </w:rPr>
              <w:t>产出</w:t>
            </w:r>
          </w:p>
        </w:tc>
        <w:tc>
          <w:tcPr>
            <w:tcW w:w="1486" w:type="dxa"/>
          </w:tcPr>
          <w:p w14:paraId="65DB13CC">
            <w:r>
              <w:rPr>
                <w:rFonts w:hint="eastAsia"/>
              </w:rPr>
              <w:t>产出数量</w:t>
            </w:r>
          </w:p>
        </w:tc>
        <w:tc>
          <w:tcPr>
            <w:tcW w:w="1977" w:type="dxa"/>
          </w:tcPr>
          <w:p w14:paraId="32F82067">
            <w:r>
              <w:rPr>
                <w:rFonts w:hint="eastAsia"/>
              </w:rPr>
              <w:t>实际完成率</w:t>
            </w:r>
          </w:p>
        </w:tc>
        <w:tc>
          <w:tcPr>
            <w:tcW w:w="3639" w:type="dxa"/>
          </w:tcPr>
          <w:p w14:paraId="36962DB2">
            <w:r>
              <w:rPr>
                <w:rFonts w:hint="eastAsia"/>
              </w:rPr>
              <w:t>项目实施的实际产出数与计划产出数的比率，用以反映和考核项目产出数量目标的实现程度。</w:t>
            </w:r>
          </w:p>
        </w:tc>
        <w:tc>
          <w:tcPr>
            <w:tcW w:w="726" w:type="dxa"/>
          </w:tcPr>
          <w:p w14:paraId="635899FD">
            <w:r>
              <w:rPr>
                <w:rFonts w:hint="eastAsia"/>
              </w:rPr>
              <w:t>20</w:t>
            </w:r>
          </w:p>
        </w:tc>
      </w:tr>
      <w:tr w14:paraId="49775E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vMerge w:val="continue"/>
          </w:tcPr>
          <w:p w14:paraId="3A2FB94E">
            <w:pPr>
              <w:rPr>
                <w:b/>
                <w:bCs/>
              </w:rPr>
            </w:pPr>
          </w:p>
        </w:tc>
        <w:tc>
          <w:tcPr>
            <w:tcW w:w="1486" w:type="dxa"/>
          </w:tcPr>
          <w:p w14:paraId="5C905B1A">
            <w:r>
              <w:rPr>
                <w:rFonts w:hint="eastAsia"/>
              </w:rPr>
              <w:t>产出质量</w:t>
            </w:r>
          </w:p>
        </w:tc>
        <w:tc>
          <w:tcPr>
            <w:tcW w:w="1977" w:type="dxa"/>
          </w:tcPr>
          <w:p w14:paraId="5AC55F46">
            <w:r>
              <w:rPr>
                <w:rFonts w:hint="eastAsia"/>
              </w:rPr>
              <w:t>质量达标率</w:t>
            </w:r>
          </w:p>
        </w:tc>
        <w:tc>
          <w:tcPr>
            <w:tcW w:w="3639" w:type="dxa"/>
          </w:tcPr>
          <w:p w14:paraId="3F7D7270">
            <w:r>
              <w:rPr>
                <w:rFonts w:hint="eastAsia"/>
              </w:rPr>
              <w:t>项目完成的质量达标产出数与实际产出数的比率，用以反映和考核项目产出质量目标的实现程度</w:t>
            </w:r>
          </w:p>
        </w:tc>
        <w:tc>
          <w:tcPr>
            <w:tcW w:w="726" w:type="dxa"/>
          </w:tcPr>
          <w:p w14:paraId="7BB3E05F">
            <w:r>
              <w:rPr>
                <w:rFonts w:hint="eastAsia"/>
              </w:rPr>
              <w:t>10</w:t>
            </w:r>
          </w:p>
        </w:tc>
      </w:tr>
      <w:tr w14:paraId="7A2B79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vMerge w:val="continue"/>
          </w:tcPr>
          <w:p w14:paraId="6304E45F">
            <w:pPr>
              <w:rPr>
                <w:b/>
                <w:bCs/>
              </w:rPr>
            </w:pPr>
          </w:p>
        </w:tc>
        <w:tc>
          <w:tcPr>
            <w:tcW w:w="1486" w:type="dxa"/>
          </w:tcPr>
          <w:p w14:paraId="7ED4645D">
            <w:r>
              <w:rPr>
                <w:rFonts w:hint="eastAsia"/>
              </w:rPr>
              <w:t>产出时效</w:t>
            </w:r>
          </w:p>
        </w:tc>
        <w:tc>
          <w:tcPr>
            <w:tcW w:w="1977" w:type="dxa"/>
          </w:tcPr>
          <w:p w14:paraId="78222002">
            <w:r>
              <w:rPr>
                <w:rFonts w:hint="eastAsia"/>
              </w:rPr>
              <w:t>完成及时性</w:t>
            </w:r>
          </w:p>
        </w:tc>
        <w:tc>
          <w:tcPr>
            <w:tcW w:w="3639" w:type="dxa"/>
          </w:tcPr>
          <w:p w14:paraId="1E186EDB">
            <w:r>
              <w:rPr>
                <w:rFonts w:hint="eastAsia"/>
              </w:rPr>
              <w:t>项目实际完成时间与计划完成时间的比较，用以反映和考核项目产出时效目标的实现程度。</w:t>
            </w:r>
          </w:p>
        </w:tc>
        <w:tc>
          <w:tcPr>
            <w:tcW w:w="726" w:type="dxa"/>
          </w:tcPr>
          <w:p w14:paraId="54578B0C">
            <w:r>
              <w:rPr>
                <w:rFonts w:hint="eastAsia"/>
              </w:rPr>
              <w:t>20</w:t>
            </w:r>
          </w:p>
        </w:tc>
      </w:tr>
      <w:tr w14:paraId="7B9266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0" w:hRule="atLeast"/>
        </w:trPr>
        <w:tc>
          <w:tcPr>
            <w:tcW w:w="1232" w:type="dxa"/>
          </w:tcPr>
          <w:p w14:paraId="1C06CF6A">
            <w:pPr>
              <w:rPr>
                <w:b/>
                <w:bCs/>
              </w:rPr>
            </w:pPr>
          </w:p>
        </w:tc>
        <w:tc>
          <w:tcPr>
            <w:tcW w:w="1486" w:type="dxa"/>
          </w:tcPr>
          <w:p w14:paraId="22C31E53">
            <w:r>
              <w:rPr>
                <w:rFonts w:hint="eastAsia"/>
              </w:rPr>
              <w:t>产出成本　</w:t>
            </w:r>
          </w:p>
        </w:tc>
        <w:tc>
          <w:tcPr>
            <w:tcW w:w="1977" w:type="dxa"/>
          </w:tcPr>
          <w:p w14:paraId="5F4A5700">
            <w:r>
              <w:rPr>
                <w:rFonts w:hint="eastAsia"/>
              </w:rPr>
              <w:t>指标完成率</w:t>
            </w:r>
          </w:p>
        </w:tc>
        <w:tc>
          <w:tcPr>
            <w:tcW w:w="3639" w:type="dxa"/>
          </w:tcPr>
          <w:p w14:paraId="050B53FB">
            <w:r>
              <w:rPr>
                <w:rFonts w:hint="eastAsia"/>
              </w:rPr>
              <w:t>项目实施的指标完成情况与计划的比率，用以反映和考核项目产出效益的实现程度。</w:t>
            </w:r>
          </w:p>
        </w:tc>
        <w:tc>
          <w:tcPr>
            <w:tcW w:w="726" w:type="dxa"/>
          </w:tcPr>
          <w:p w14:paraId="12B636CC">
            <w:r>
              <w:rPr>
                <w:rFonts w:hint="eastAsia"/>
              </w:rPr>
              <w:t>20　</w:t>
            </w:r>
          </w:p>
        </w:tc>
      </w:tr>
      <w:tr w14:paraId="078FEF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0" w:hRule="atLeast"/>
        </w:trPr>
        <w:tc>
          <w:tcPr>
            <w:tcW w:w="1232" w:type="dxa"/>
          </w:tcPr>
          <w:p w14:paraId="1525D970">
            <w:pPr>
              <w:rPr>
                <w:b/>
                <w:bCs/>
              </w:rPr>
            </w:pPr>
            <w:r>
              <w:rPr>
                <w:rFonts w:hint="eastAsia"/>
                <w:b/>
                <w:bCs/>
              </w:rPr>
              <w:t>满意度</w:t>
            </w:r>
          </w:p>
        </w:tc>
        <w:tc>
          <w:tcPr>
            <w:tcW w:w="1486" w:type="dxa"/>
          </w:tcPr>
          <w:p w14:paraId="63A5F56E">
            <w:r>
              <w:rPr>
                <w:rFonts w:hint="eastAsia"/>
              </w:rPr>
              <w:t>满意度指标</w:t>
            </w:r>
          </w:p>
        </w:tc>
        <w:tc>
          <w:tcPr>
            <w:tcW w:w="1977" w:type="dxa"/>
          </w:tcPr>
          <w:p w14:paraId="4E15C1AC">
            <w:r>
              <w:rPr>
                <w:rFonts w:hint="eastAsia"/>
              </w:rPr>
              <w:t>满意度</w:t>
            </w:r>
          </w:p>
        </w:tc>
        <w:tc>
          <w:tcPr>
            <w:tcW w:w="3639" w:type="dxa"/>
          </w:tcPr>
          <w:p w14:paraId="3C2765BB">
            <w:r>
              <w:rPr>
                <w:rFonts w:hint="eastAsia"/>
              </w:rPr>
              <w:t>社会公众或服务对象对项目实施效果的满意程度。</w:t>
            </w:r>
          </w:p>
        </w:tc>
        <w:tc>
          <w:tcPr>
            <w:tcW w:w="726" w:type="dxa"/>
          </w:tcPr>
          <w:p w14:paraId="174ECC91">
            <w:r>
              <w:rPr>
                <w:rFonts w:hint="eastAsia"/>
              </w:rPr>
              <w:t>10</w:t>
            </w:r>
          </w:p>
        </w:tc>
      </w:tr>
    </w:tbl>
    <w:p w14:paraId="320650D2">
      <w:pPr>
        <w:spacing w:line="560" w:lineRule="exact"/>
        <w:ind w:firstLine="640" w:firstLineChars="200"/>
        <w:rPr>
          <w:rFonts w:ascii="仿宋_GB2312"/>
          <w:sz w:val="32"/>
          <w:szCs w:val="32"/>
        </w:rPr>
      </w:pPr>
      <w:r>
        <w:rPr>
          <w:rFonts w:hint="eastAsia" w:ascii="仿宋_GB2312"/>
          <w:sz w:val="32"/>
          <w:szCs w:val="32"/>
        </w:rPr>
        <w:t>3、评价方法</w:t>
      </w:r>
    </w:p>
    <w:p w14:paraId="588377F3">
      <w:pPr>
        <w:pStyle w:val="6"/>
        <w:widowControl/>
        <w:shd w:val="clear" w:color="auto" w:fill="FFFFFF"/>
        <w:spacing w:beforeAutospacing="0" w:afterAutospacing="0" w:line="560" w:lineRule="exact"/>
        <w:ind w:firstLine="640" w:firstLineChars="200"/>
        <w:jc w:val="both"/>
        <w:rPr>
          <w:rFonts w:ascii="仿宋_GB2312" w:eastAsia="仿宋_GB2312"/>
          <w:kern w:val="2"/>
          <w:sz w:val="32"/>
          <w:szCs w:val="32"/>
        </w:rPr>
      </w:pPr>
      <w:r>
        <w:rPr>
          <w:rFonts w:hint="eastAsia" w:ascii="仿宋_GB2312" w:eastAsia="仿宋_GB2312"/>
          <w:kern w:val="2"/>
          <w:sz w:val="32"/>
          <w:szCs w:val="32"/>
        </w:rPr>
        <w:t>本报告的绩效评价方法，采取定量和定性相结合的比较法，本次专项资金政策绩效评价过程中，</w:t>
      </w:r>
      <w:r>
        <w:rPr>
          <w:rFonts w:hint="eastAsia" w:ascii="仿宋_GB2312" w:eastAsia="仿宋_GB2312"/>
          <w:kern w:val="2"/>
          <w:sz w:val="32"/>
          <w:szCs w:val="32"/>
          <w:lang w:val="en-US" w:eastAsia="zh-CN"/>
        </w:rPr>
        <w:t>已</w:t>
      </w:r>
      <w:r>
        <w:rPr>
          <w:rFonts w:hint="eastAsia" w:ascii="仿宋_GB2312" w:eastAsia="仿宋_GB2312"/>
          <w:kern w:val="2"/>
          <w:sz w:val="32"/>
          <w:szCs w:val="32"/>
        </w:rPr>
        <w:t>将各指标的实际完成值与绩效目标进行对比分析，考察分析绩效目标的完成情况及实现程度和效果，总得分由各分项指标得分汇总而成。</w:t>
      </w:r>
    </w:p>
    <w:p w14:paraId="4872FD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rPr>
        <w:t>4、评价标准</w:t>
      </w:r>
    </w:p>
    <w:p w14:paraId="71E898F7">
      <w:pPr>
        <w:pStyle w:val="2"/>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按照计划标准、历史标准对完成情况进行比较。对于定性指标，一般通过日常工作相关数据，在实施过程中运用等级描述法进行考核，通过设置分级标准来体现该指标认可程度的差异。对于定量指标，一般通过公式等方式予以量化，可以准确数量定义、精确衡量并能设定目标值的考核指标。</w:t>
      </w:r>
    </w:p>
    <w:p w14:paraId="33CFF6A3">
      <w:pPr>
        <w:keepNext w:val="0"/>
        <w:keepLines w:val="0"/>
        <w:pageBreakBefore w:val="0"/>
        <w:widowControl w:val="0"/>
        <w:kinsoku/>
        <w:wordWrap/>
        <w:overflowPunct/>
        <w:topLinePunct w:val="0"/>
        <w:autoSpaceDE/>
        <w:autoSpaceDN/>
        <w:bidi w:val="0"/>
        <w:adjustRightInd/>
        <w:snapToGrid/>
        <w:spacing w:before="100" w:beforeAutospacing="1" w:after="100" w:afterAutospacing="1" w:line="600" w:lineRule="exact"/>
        <w:ind w:firstLine="643" w:firstLineChars="200"/>
        <w:textAlignment w:val="auto"/>
        <w:rPr>
          <w:rFonts w:hint="eastAsia" w:ascii="仿宋_GB2312"/>
          <w:b/>
          <w:bCs/>
          <w:sz w:val="32"/>
          <w:szCs w:val="28"/>
        </w:rPr>
      </w:pPr>
      <w:r>
        <w:rPr>
          <w:rFonts w:hint="eastAsia" w:ascii="仿宋_GB2312"/>
          <w:b/>
          <w:bCs/>
          <w:sz w:val="32"/>
          <w:szCs w:val="28"/>
        </w:rPr>
        <w:t>（</w:t>
      </w:r>
      <w:r>
        <w:rPr>
          <w:rFonts w:hint="eastAsia" w:ascii="Times New Roman" w:hAnsi="Times New Roman" w:eastAsia="楷体_GB2312" w:cs="Times New Roman"/>
          <w:b/>
          <w:bCs/>
          <w:kern w:val="28"/>
          <w:sz w:val="32"/>
          <w:szCs w:val="32"/>
          <w:lang w:val="en-US" w:eastAsia="zh-CN" w:bidi="ar-SA"/>
        </w:rPr>
        <w:t>三）绩效评价工作过程。</w:t>
      </w:r>
    </w:p>
    <w:p w14:paraId="5768A510">
      <w:pPr>
        <w:spacing w:line="360" w:lineRule="auto"/>
        <w:ind w:firstLine="640" w:firstLineChars="200"/>
        <w:rPr>
          <w:rFonts w:ascii="仿宋_GB2312"/>
          <w:sz w:val="32"/>
          <w:szCs w:val="32"/>
        </w:rPr>
      </w:pPr>
      <w:r>
        <w:rPr>
          <w:rFonts w:hint="eastAsia" w:ascii="仿宋_GB2312"/>
          <w:sz w:val="32"/>
          <w:szCs w:val="32"/>
        </w:rPr>
        <w:t>1、前期准备：</w:t>
      </w:r>
    </w:p>
    <w:p w14:paraId="496F5A33">
      <w:pPr>
        <w:spacing w:line="560" w:lineRule="exact"/>
        <w:ind w:firstLine="640" w:firstLineChars="200"/>
        <w:rPr>
          <w:rFonts w:ascii="仿宋_GB2312"/>
          <w:sz w:val="32"/>
          <w:szCs w:val="32"/>
        </w:rPr>
      </w:pPr>
      <w:r>
        <w:rPr>
          <w:rFonts w:hint="eastAsia" w:ascii="仿宋_GB2312"/>
          <w:sz w:val="32"/>
          <w:szCs w:val="32"/>
        </w:rPr>
        <w:t>202</w:t>
      </w:r>
      <w:r>
        <w:rPr>
          <w:rFonts w:hint="eastAsia" w:ascii="仿宋_GB2312"/>
          <w:sz w:val="32"/>
          <w:szCs w:val="32"/>
          <w:lang w:val="en-US" w:eastAsia="zh-CN"/>
        </w:rPr>
        <w:t>3</w:t>
      </w:r>
      <w:r>
        <w:rPr>
          <w:rFonts w:hint="eastAsia" w:ascii="仿宋_GB2312"/>
          <w:sz w:val="32"/>
          <w:szCs w:val="32"/>
        </w:rPr>
        <w:t>年3月1日，</w:t>
      </w:r>
      <w:r>
        <w:rPr>
          <w:rFonts w:hint="eastAsia" w:ascii="仿宋_GB2312"/>
          <w:sz w:val="32"/>
          <w:szCs w:val="32"/>
          <w:lang w:val="zh-CN"/>
        </w:rPr>
        <w:t>开始前期准备工作，评价组通过前期调研</w:t>
      </w:r>
      <w:r>
        <w:rPr>
          <w:rFonts w:hint="eastAsia" w:ascii="仿宋_GB2312"/>
          <w:sz w:val="32"/>
          <w:szCs w:val="32"/>
        </w:rPr>
        <w:t>确定绩效评价对象和范围，</w:t>
      </w:r>
      <w:r>
        <w:rPr>
          <w:rFonts w:hint="eastAsia" w:ascii="仿宋_GB2312"/>
          <w:sz w:val="32"/>
          <w:szCs w:val="32"/>
          <w:lang w:val="zh-CN"/>
        </w:rPr>
        <w:t>确定了评价的目的、方法以及评价的原则，根据项目的内容和特征制定了评价指标体系及评价标准以及评价实施方案，修正并确定所需资料清单，最终确定</w:t>
      </w:r>
      <w:r>
        <w:rPr>
          <w:rFonts w:hint="eastAsia" w:ascii="仿宋_GB2312"/>
          <w:sz w:val="32"/>
          <w:szCs w:val="32"/>
        </w:rPr>
        <w:t>绩效评价工作方案；</w:t>
      </w:r>
    </w:p>
    <w:p w14:paraId="4A7606E9">
      <w:pPr>
        <w:keepNext w:val="0"/>
        <w:keepLines w:val="0"/>
        <w:pageBreakBefore w:val="0"/>
        <w:widowControl w:val="0"/>
        <w:kinsoku/>
        <w:wordWrap/>
        <w:overflowPunct/>
        <w:topLinePunct w:val="0"/>
        <w:autoSpaceDE/>
        <w:autoSpaceDN/>
        <w:bidi w:val="0"/>
        <w:adjustRightInd/>
        <w:snapToGrid/>
        <w:spacing w:before="100" w:beforeAutospacing="1" w:line="560" w:lineRule="exact"/>
        <w:ind w:firstLine="640" w:firstLineChars="200"/>
        <w:textAlignment w:val="auto"/>
        <w:rPr>
          <w:rFonts w:ascii="仿宋_GB2312"/>
          <w:sz w:val="32"/>
          <w:szCs w:val="32"/>
        </w:rPr>
      </w:pPr>
      <w:r>
        <w:rPr>
          <w:rFonts w:hint="eastAsia" w:ascii="仿宋_GB2312"/>
          <w:sz w:val="32"/>
          <w:szCs w:val="32"/>
        </w:rPr>
        <w:t>2、组织实施：</w:t>
      </w:r>
    </w:p>
    <w:p w14:paraId="15ABD844">
      <w:pPr>
        <w:spacing w:line="560" w:lineRule="exact"/>
        <w:ind w:firstLine="640" w:firstLineChars="200"/>
        <w:rPr>
          <w:rFonts w:ascii="仿宋_GB2312"/>
          <w:sz w:val="32"/>
          <w:szCs w:val="32"/>
        </w:rPr>
      </w:pPr>
      <w:r>
        <w:rPr>
          <w:rFonts w:hint="eastAsia" w:ascii="仿宋_GB2312"/>
          <w:sz w:val="32"/>
          <w:szCs w:val="32"/>
        </w:rPr>
        <w:t>202</w:t>
      </w:r>
      <w:r>
        <w:rPr>
          <w:rFonts w:hint="eastAsia" w:ascii="仿宋_GB2312"/>
          <w:sz w:val="32"/>
          <w:szCs w:val="32"/>
          <w:lang w:val="en-US" w:eastAsia="zh-CN"/>
        </w:rPr>
        <w:t>3</w:t>
      </w:r>
      <w:r>
        <w:rPr>
          <w:rFonts w:hint="eastAsia" w:ascii="仿宋_GB2312"/>
          <w:sz w:val="32"/>
          <w:szCs w:val="32"/>
        </w:rPr>
        <w:t>年7月1日- 12月31日，评价工作进入实施阶段，评价</w:t>
      </w:r>
      <w:r>
        <w:rPr>
          <w:rFonts w:hint="eastAsia" w:ascii="仿宋_GB2312"/>
          <w:sz w:val="32"/>
          <w:szCs w:val="32"/>
          <w:lang w:val="en-US" w:eastAsia="zh-CN"/>
        </w:rPr>
        <w:t>人员</w:t>
      </w:r>
      <w:r>
        <w:rPr>
          <w:rFonts w:hint="eastAsia" w:ascii="仿宋_GB2312"/>
          <w:sz w:val="32"/>
          <w:szCs w:val="32"/>
        </w:rPr>
        <w:t xml:space="preserve">收集绩效评价相关数据资料，与项目实施负责人沟通，了解资金的内容、操作流程、管理机制、资金使用方向等情况，分析形成初步结论。 </w:t>
      </w:r>
    </w:p>
    <w:p w14:paraId="0C22065D">
      <w:pPr>
        <w:keepNext w:val="0"/>
        <w:keepLines w:val="0"/>
        <w:pageBreakBefore w:val="0"/>
        <w:widowControl w:val="0"/>
        <w:kinsoku/>
        <w:wordWrap/>
        <w:overflowPunct/>
        <w:topLinePunct w:val="0"/>
        <w:autoSpaceDE/>
        <w:autoSpaceDN/>
        <w:bidi w:val="0"/>
        <w:adjustRightInd/>
        <w:snapToGrid/>
        <w:spacing w:before="100" w:beforeAutospacing="1" w:after="100" w:afterAutospacing="1" w:line="560" w:lineRule="exact"/>
        <w:ind w:firstLine="640" w:firstLineChars="200"/>
        <w:textAlignment w:val="auto"/>
        <w:rPr>
          <w:rFonts w:ascii="仿宋_GB2312"/>
          <w:sz w:val="32"/>
          <w:szCs w:val="32"/>
        </w:rPr>
      </w:pPr>
      <w:r>
        <w:rPr>
          <w:rFonts w:hint="eastAsia" w:ascii="仿宋_GB2312"/>
          <w:sz w:val="32"/>
          <w:szCs w:val="32"/>
        </w:rPr>
        <w:t>3、分析评价：</w:t>
      </w:r>
    </w:p>
    <w:p w14:paraId="39280863">
      <w:pPr>
        <w:spacing w:line="560" w:lineRule="exact"/>
        <w:ind w:firstLine="640" w:firstLineChars="200"/>
        <w:rPr>
          <w:rFonts w:ascii="仿宋_GB2312"/>
          <w:b w:val="0"/>
          <w:bCs w:val="0"/>
          <w:color w:val="000000" w:themeColor="text1"/>
          <w:sz w:val="32"/>
          <w:szCs w:val="32"/>
          <w14:textFill>
            <w14:solidFill>
              <w14:schemeClr w14:val="tx1"/>
            </w14:solidFill>
          </w14:textFill>
        </w:rPr>
      </w:pPr>
      <w:r>
        <w:rPr>
          <w:rFonts w:hint="eastAsia" w:ascii="仿宋_GB2312"/>
          <w:b w:val="0"/>
          <w:bCs w:val="0"/>
          <w:sz w:val="32"/>
          <w:szCs w:val="32"/>
        </w:rPr>
        <w:t>202</w:t>
      </w:r>
      <w:r>
        <w:rPr>
          <w:rFonts w:hint="eastAsia" w:ascii="仿宋_GB2312"/>
          <w:b w:val="0"/>
          <w:bCs w:val="0"/>
          <w:sz w:val="32"/>
          <w:szCs w:val="32"/>
          <w:lang w:val="en-US" w:eastAsia="zh-CN"/>
        </w:rPr>
        <w:t>4</w:t>
      </w:r>
      <w:r>
        <w:rPr>
          <w:rFonts w:hint="eastAsia" w:ascii="仿宋_GB2312"/>
          <w:b w:val="0"/>
          <w:bCs w:val="0"/>
          <w:sz w:val="32"/>
          <w:szCs w:val="32"/>
        </w:rPr>
        <w:t>年1月1日-2月7日，评价组按照绩效评价的原则和规范，对取得的资料进行审查核实，对采集的数据进行分析，按照绩效评价指标评分表逐项进行打分、分析，汇总</w:t>
      </w:r>
      <w:r>
        <w:rPr>
          <w:rFonts w:hint="eastAsia" w:ascii="仿宋_GB2312"/>
          <w:b w:val="0"/>
          <w:bCs w:val="0"/>
          <w:color w:val="000000" w:themeColor="text1"/>
          <w:sz w:val="32"/>
          <w:szCs w:val="32"/>
          <w14:textFill>
            <w14:solidFill>
              <w14:schemeClr w14:val="tx1"/>
            </w14:solidFill>
          </w14:textFill>
        </w:rPr>
        <w:t>各方评价结果，综合分析并形成评价结论。</w:t>
      </w:r>
    </w:p>
    <w:p w14:paraId="718C428F">
      <w:pPr>
        <w:keepNext w:val="0"/>
        <w:keepLines w:val="0"/>
        <w:pageBreakBefore w:val="0"/>
        <w:widowControl w:val="0"/>
        <w:kinsoku/>
        <w:wordWrap/>
        <w:overflowPunct/>
        <w:topLinePunct w:val="0"/>
        <w:autoSpaceDE/>
        <w:autoSpaceDN/>
        <w:bidi w:val="0"/>
        <w:adjustRightInd/>
        <w:snapToGrid/>
        <w:spacing w:before="100" w:beforeAutospacing="1" w:after="100" w:afterAutospacing="1" w:line="600" w:lineRule="exact"/>
        <w:ind w:firstLine="600" w:firstLineChars="200"/>
        <w:textAlignment w:val="auto"/>
        <w:rPr>
          <w:rFonts w:hint="eastAsia" w:ascii="仿宋_GB2312"/>
        </w:rPr>
      </w:pPr>
      <w:r>
        <w:rPr>
          <w:rFonts w:hint="eastAsia" w:ascii="黑体" w:hAnsi="黑体" w:eastAsia="黑体"/>
        </w:rPr>
        <w:t>三、</w:t>
      </w:r>
      <w:r>
        <w:rPr>
          <w:rFonts w:hint="eastAsia" w:ascii="Times New Roman" w:hAnsi="Times New Roman" w:eastAsia="黑体" w:cs="Times New Roman"/>
          <w:sz w:val="32"/>
          <w:szCs w:val="32"/>
        </w:rPr>
        <w:t>综合评价情况及评价结论</w:t>
      </w:r>
    </w:p>
    <w:p w14:paraId="130C5143">
      <w:pPr>
        <w:pStyle w:val="3"/>
        <w:keepNext/>
        <w:keepLines/>
        <w:pageBreakBefore w:val="0"/>
        <w:widowControl w:val="0"/>
        <w:kinsoku/>
        <w:wordWrap/>
        <w:overflowPunct/>
        <w:topLinePunct w:val="0"/>
        <w:autoSpaceDE/>
        <w:autoSpaceDN/>
        <w:bidi w:val="0"/>
        <w:adjustRightInd/>
        <w:snapToGrid/>
        <w:spacing w:before="0" w:beforeAutospacing="0" w:after="0" w:line="360" w:lineRule="auto"/>
        <w:ind w:firstLine="643" w:firstLineChars="200"/>
        <w:textAlignment w:val="auto"/>
        <w:rPr>
          <w:rFonts w:ascii="楷体_GB2312" w:eastAsia="楷体_GB2312"/>
        </w:rPr>
      </w:pPr>
      <w:bookmarkStart w:id="2" w:name="_Toc68702120"/>
      <w:r>
        <w:rPr>
          <w:rFonts w:hint="eastAsia" w:ascii="Times New Roman" w:hAnsi="Times New Roman" w:eastAsia="楷体_GB2312" w:cs="Times New Roman"/>
          <w:b/>
          <w:bCs/>
          <w:kern w:val="28"/>
          <w:sz w:val="32"/>
          <w:szCs w:val="32"/>
          <w:lang w:val="en-US" w:eastAsia="zh-CN" w:bidi="ar-SA"/>
        </w:rPr>
        <w:t>（一）综合评价情况</w:t>
      </w:r>
      <w:bookmarkEnd w:id="2"/>
    </w:p>
    <w:p w14:paraId="457AA19A">
      <w:pPr>
        <w:spacing w:line="560" w:lineRule="exact"/>
        <w:ind w:firstLine="640" w:firstLineChars="200"/>
        <w:rPr>
          <w:rFonts w:hint="eastAsia" w:ascii="仿宋_GB2312"/>
          <w:b w:val="0"/>
          <w:bCs w:val="0"/>
          <w:sz w:val="32"/>
          <w:szCs w:val="32"/>
        </w:rPr>
      </w:pPr>
      <w:r>
        <w:rPr>
          <w:rFonts w:hint="eastAsia" w:ascii="仿宋_GB2312"/>
          <w:b w:val="0"/>
          <w:bCs w:val="0"/>
          <w:sz w:val="32"/>
          <w:szCs w:val="32"/>
        </w:rPr>
        <w:t>本项目严格按照科学公正、统筹兼顾、激励约束、公开透明绩效评价原则，采用成本效益分析法和比较法评价方法，坚持项目支出绩效评价指标体系框架绩效评价标准对本项目的立项、项绩效目标、资金投入、资金管理、组织实施、产出数量、产出质量、产出时效、产出成本、项目效益进行了综合评价。</w:t>
      </w:r>
    </w:p>
    <w:p w14:paraId="3262B729">
      <w:pPr>
        <w:pStyle w:val="2"/>
        <w:rPr>
          <w:rFonts w:hint="eastAsia" w:ascii="仿宋_GB2312"/>
          <w:b w:val="0"/>
          <w:bCs w:val="0"/>
          <w:sz w:val="32"/>
          <w:szCs w:val="32"/>
        </w:rPr>
      </w:pPr>
      <w:r>
        <w:drawing>
          <wp:inline distT="0" distB="0" distL="114300" distR="114300">
            <wp:extent cx="5608955" cy="5074285"/>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08955" cy="5074285"/>
                    </a:xfrm>
                    <a:prstGeom prst="rect">
                      <a:avLst/>
                    </a:prstGeom>
                    <a:noFill/>
                    <a:ln>
                      <a:noFill/>
                    </a:ln>
                  </pic:spPr>
                </pic:pic>
              </a:graphicData>
            </a:graphic>
          </wp:inline>
        </w:drawing>
      </w:r>
    </w:p>
    <w:p w14:paraId="3D891F93">
      <w:pPr>
        <w:pStyle w:val="3"/>
        <w:keepNext/>
        <w:keepLines/>
        <w:pageBreakBefore w:val="0"/>
        <w:widowControl w:val="0"/>
        <w:kinsoku/>
        <w:wordWrap/>
        <w:overflowPunct/>
        <w:topLinePunct w:val="0"/>
        <w:autoSpaceDE/>
        <w:autoSpaceDN/>
        <w:bidi w:val="0"/>
        <w:adjustRightInd/>
        <w:snapToGrid/>
        <w:spacing w:after="0" w:line="360" w:lineRule="auto"/>
        <w:textAlignment w:val="auto"/>
        <w:rPr>
          <w:rFonts w:ascii="楷体_GB2312" w:eastAsia="楷体_GB2312"/>
        </w:rPr>
      </w:pPr>
      <w:bookmarkStart w:id="3" w:name="_Toc68702121"/>
      <w:r>
        <w:rPr>
          <w:rFonts w:hint="eastAsia" w:ascii="楷体_GB2312" w:eastAsia="楷体_GB2312"/>
        </w:rPr>
        <w:t>（二）评价结论</w:t>
      </w:r>
      <w:bookmarkEnd w:id="3"/>
    </w:p>
    <w:p w14:paraId="208FDCD9">
      <w:pPr>
        <w:spacing w:line="560" w:lineRule="exact"/>
        <w:ind w:firstLine="640" w:firstLineChars="200"/>
        <w:rPr>
          <w:rFonts w:ascii="仿宋_GB2312"/>
          <w:sz w:val="32"/>
          <w:szCs w:val="32"/>
        </w:rPr>
      </w:pPr>
      <w:r>
        <w:rPr>
          <w:rFonts w:hint="eastAsia" w:ascii="仿宋_GB2312"/>
          <w:sz w:val="32"/>
          <w:szCs w:val="32"/>
        </w:rPr>
        <w:t>本项目的项目执行、满意度指标均达到了预期要求，但是由于地方财政要求年度</w:t>
      </w:r>
      <w:r>
        <w:rPr>
          <w:rFonts w:hint="eastAsia" w:ascii="仿宋_GB2312"/>
          <w:sz w:val="32"/>
          <w:szCs w:val="32"/>
          <w:lang w:val="en-US" w:eastAsia="zh-CN"/>
        </w:rPr>
        <w:t>终了</w:t>
      </w:r>
      <w:r>
        <w:rPr>
          <w:rFonts w:hint="eastAsia" w:ascii="仿宋_GB2312"/>
          <w:sz w:val="32"/>
          <w:szCs w:val="32"/>
        </w:rPr>
        <w:t>后结算差额经费等客观因素，权重为10分的资金拨付准确率项实际完成率</w:t>
      </w:r>
      <w:r>
        <w:rPr>
          <w:rFonts w:hint="eastAsia" w:ascii="仿宋_GB2312"/>
          <w:sz w:val="32"/>
          <w:szCs w:val="32"/>
          <w:lang w:val="en-US" w:eastAsia="zh-CN"/>
        </w:rPr>
        <w:t>104.11</w:t>
      </w:r>
      <w:r>
        <w:rPr>
          <w:rFonts w:hint="eastAsia" w:ascii="仿宋_GB2312"/>
          <w:sz w:val="32"/>
          <w:szCs w:val="32"/>
        </w:rPr>
        <w:t>%，该项得分</w:t>
      </w:r>
      <w:r>
        <w:rPr>
          <w:rFonts w:hint="eastAsia" w:ascii="仿宋_GB2312"/>
          <w:sz w:val="32"/>
          <w:szCs w:val="32"/>
          <w:lang w:val="en-US" w:eastAsia="zh-CN"/>
        </w:rPr>
        <w:t>9.59分；权重为20</w:t>
      </w:r>
      <w:r>
        <w:rPr>
          <w:rFonts w:hint="eastAsia" w:ascii="仿宋_GB2312"/>
          <w:sz w:val="32"/>
          <w:szCs w:val="32"/>
        </w:rPr>
        <w:t>分</w:t>
      </w:r>
      <w:r>
        <w:rPr>
          <w:rFonts w:hint="eastAsia" w:ascii="仿宋_GB2312"/>
          <w:sz w:val="32"/>
          <w:szCs w:val="32"/>
          <w:lang w:val="en-US" w:eastAsia="zh-CN"/>
        </w:rPr>
        <w:t>的资金支付及时率实际完成率105.26%，该项得分18.95分；权重为20分的成本预算控制率实际完成率98.9%</w:t>
      </w:r>
      <w:r>
        <w:rPr>
          <w:rFonts w:hint="eastAsia" w:ascii="仿宋_GB2312"/>
          <w:sz w:val="32"/>
          <w:szCs w:val="32"/>
        </w:rPr>
        <w:t>，</w:t>
      </w:r>
      <w:r>
        <w:rPr>
          <w:rFonts w:hint="eastAsia" w:ascii="仿宋_GB2312"/>
          <w:sz w:val="32"/>
          <w:szCs w:val="32"/>
          <w:lang w:val="en-US" w:eastAsia="zh-CN"/>
        </w:rPr>
        <w:t>该项得分19.456分，</w:t>
      </w:r>
      <w:r>
        <w:rPr>
          <w:rFonts w:hint="eastAsia" w:ascii="仿宋_GB2312"/>
          <w:sz w:val="32"/>
          <w:szCs w:val="32"/>
        </w:rPr>
        <w:t>最终合计得分为</w:t>
      </w:r>
      <w:r>
        <w:rPr>
          <w:rFonts w:hint="eastAsia" w:ascii="仿宋_GB2312"/>
          <w:sz w:val="32"/>
          <w:szCs w:val="32"/>
          <w:lang w:val="en-US" w:eastAsia="zh-CN"/>
        </w:rPr>
        <w:t>97.99</w:t>
      </w:r>
      <w:r>
        <w:rPr>
          <w:rFonts w:hint="eastAsia" w:ascii="仿宋_GB2312"/>
          <w:sz w:val="32"/>
          <w:szCs w:val="32"/>
        </w:rPr>
        <w:t>分，项目达成年度指标。</w:t>
      </w:r>
    </w:p>
    <w:p w14:paraId="5F7CDF08">
      <w:pPr>
        <w:spacing w:line="600" w:lineRule="exact"/>
        <w:ind w:firstLine="600" w:firstLineChars="200"/>
        <w:rPr>
          <w:rFonts w:ascii="黑体" w:hAnsi="黑体" w:eastAsia="黑体"/>
        </w:rPr>
      </w:pPr>
      <w:r>
        <w:rPr>
          <w:rFonts w:hint="eastAsia" w:ascii="黑体" w:hAnsi="黑体" w:eastAsia="黑体"/>
        </w:rPr>
        <w:t>四、绩效评价指标分析</w:t>
      </w:r>
    </w:p>
    <w:p w14:paraId="686B0C1C">
      <w:pPr>
        <w:pStyle w:val="2"/>
        <w:spacing w:before="0" w:after="0" w:line="560" w:lineRule="exact"/>
        <w:ind w:firstLine="643" w:firstLineChars="200"/>
        <w:jc w:val="both"/>
        <w:rPr>
          <w:rFonts w:hint="eastAsia" w:ascii="Times New Roman" w:hAnsi="Times New Roman" w:eastAsia="楷体_GB2312" w:cs="Times New Roman"/>
        </w:rPr>
      </w:pPr>
      <w:r>
        <w:rPr>
          <w:rFonts w:hint="eastAsia" w:ascii="Times New Roman" w:hAnsi="Times New Roman" w:eastAsia="楷体_GB2312" w:cs="Times New Roman"/>
        </w:rPr>
        <w:t>（一）项目决策情况。</w:t>
      </w:r>
    </w:p>
    <w:p w14:paraId="30AD021F">
      <w:pPr>
        <w:spacing w:line="560" w:lineRule="exact"/>
        <w:ind w:firstLine="640" w:firstLineChars="200"/>
        <w:rPr>
          <w:rFonts w:ascii="仿宋_GB2312"/>
          <w:sz w:val="32"/>
          <w:szCs w:val="32"/>
        </w:rPr>
      </w:pPr>
      <w:r>
        <w:rPr>
          <w:rFonts w:hint="eastAsia" w:ascii="仿宋_GB2312"/>
          <w:sz w:val="32"/>
          <w:szCs w:val="32"/>
        </w:rPr>
        <w:t>1、立项依据充分性</w:t>
      </w:r>
    </w:p>
    <w:p w14:paraId="67F3E048">
      <w:pPr>
        <w:spacing w:line="560" w:lineRule="exact"/>
        <w:ind w:firstLine="640" w:firstLineChars="200"/>
      </w:pPr>
      <w:r>
        <w:rPr>
          <w:rFonts w:hint="eastAsia" w:ascii="仿宋_GB2312"/>
          <w:color w:val="000000" w:themeColor="text1"/>
          <w:sz w:val="32"/>
          <w:szCs w:val="32"/>
          <w14:textFill>
            <w14:solidFill>
              <w14:schemeClr w14:val="tx1"/>
            </w14:solidFill>
          </w14:textFill>
        </w:rPr>
        <w:t>项目立项符合国家法律法规、国民经济发展规划和相关政策；项目立项符合行业发展规划和政策要求；项目立项与部门职责范围相符，属于部门履职所需；项目属于公共财政支持范围，</w:t>
      </w:r>
      <w:r>
        <w:rPr>
          <w:rFonts w:hint="eastAsia" w:ascii="仿宋_GB2312"/>
          <w:sz w:val="32"/>
          <w:szCs w:val="32"/>
        </w:rPr>
        <w:t>符合中央、地方事权支出责任划分原则；项目立项依据</w:t>
      </w:r>
      <w:r>
        <w:rPr>
          <w:rStyle w:val="10"/>
          <w:rFonts w:hint="eastAsia" w:ascii="仿宋_GB2312" w:hAnsi="仿宋_GB2312" w:cs="仿宋_GB2312"/>
          <w:spacing w:val="-4"/>
          <w:sz w:val="32"/>
          <w:szCs w:val="32"/>
        </w:rPr>
        <w:t>：</w:t>
      </w:r>
      <w:r>
        <w:rPr>
          <w:rFonts w:hint="eastAsia" w:ascii="仿宋_GB2312"/>
          <w:color w:val="000000" w:themeColor="text1"/>
          <w:sz w:val="32"/>
          <w:szCs w:val="32"/>
          <w14:textFill>
            <w14:solidFill>
              <w14:schemeClr w14:val="tx1"/>
            </w14:solidFill>
          </w14:textFill>
        </w:rPr>
        <w:t>自治区经信委2012年11月26日对克拉玛依市人力资源和社会保障局的函</w:t>
      </w:r>
      <w:r>
        <w:rPr>
          <w:rFonts w:hint="eastAsia" w:ascii="仿宋_GB2312"/>
          <w:sz w:val="32"/>
          <w:szCs w:val="32"/>
        </w:rPr>
        <w:t>。</w:t>
      </w:r>
    </w:p>
    <w:p w14:paraId="73360F98">
      <w:pPr>
        <w:spacing w:line="560" w:lineRule="exact"/>
        <w:ind w:firstLine="640" w:firstLineChars="200"/>
        <w:rPr>
          <w:rFonts w:ascii="仿宋_GB2312"/>
          <w:sz w:val="32"/>
          <w:szCs w:val="32"/>
        </w:rPr>
      </w:pPr>
      <w:r>
        <w:rPr>
          <w:rFonts w:hint="eastAsia" w:ascii="仿宋_GB2312"/>
          <w:sz w:val="32"/>
          <w:szCs w:val="32"/>
        </w:rPr>
        <w:t>2、立项程序规范性</w:t>
      </w:r>
    </w:p>
    <w:p w14:paraId="57D3FA29">
      <w:pPr>
        <w:spacing w:line="560" w:lineRule="exact"/>
        <w:ind w:firstLine="640" w:firstLineChars="200"/>
        <w:rPr>
          <w:rFonts w:ascii="仿宋_GB2312"/>
          <w:sz w:val="32"/>
          <w:szCs w:val="32"/>
        </w:rPr>
      </w:pPr>
      <w:r>
        <w:rPr>
          <w:rFonts w:hint="eastAsia" w:ascii="仿宋_GB2312"/>
          <w:sz w:val="32"/>
          <w:szCs w:val="32"/>
        </w:rPr>
        <w:t>项目按照规定的程序申请设立；审批文件、材料符合相关要求；事前已经过必要的可行性研究、风险评估、绩效评估、集体决策。</w:t>
      </w:r>
    </w:p>
    <w:p w14:paraId="4F4D3FD4">
      <w:pPr>
        <w:spacing w:line="560" w:lineRule="exact"/>
        <w:ind w:firstLine="640" w:firstLineChars="200"/>
        <w:rPr>
          <w:rFonts w:ascii="仿宋_GB2312"/>
          <w:sz w:val="32"/>
          <w:szCs w:val="32"/>
        </w:rPr>
      </w:pPr>
      <w:r>
        <w:rPr>
          <w:rFonts w:hint="eastAsia" w:ascii="仿宋_GB2312"/>
          <w:sz w:val="32"/>
          <w:szCs w:val="32"/>
        </w:rPr>
        <w:t>3、绩效目标合理性</w:t>
      </w:r>
    </w:p>
    <w:p w14:paraId="52645FC3">
      <w:pPr>
        <w:spacing w:line="560" w:lineRule="exact"/>
        <w:ind w:firstLine="640" w:firstLineChars="200"/>
        <w:rPr>
          <w:rFonts w:ascii="仿宋_GB2312"/>
          <w:sz w:val="32"/>
          <w:szCs w:val="32"/>
        </w:rPr>
      </w:pPr>
      <w:r>
        <w:rPr>
          <w:rFonts w:hint="eastAsia" w:ascii="仿宋_GB2312"/>
          <w:sz w:val="32"/>
          <w:szCs w:val="32"/>
        </w:rPr>
        <w:t>项目设立了项目绩效目标，与人员经费补差具有相关性，项目的预期产出效益和效果也均能符合正常的业绩水平，并且与预算确定的资金量相匹配。</w:t>
      </w:r>
    </w:p>
    <w:p w14:paraId="398585D8">
      <w:pPr>
        <w:spacing w:line="560" w:lineRule="exact"/>
        <w:ind w:firstLine="640" w:firstLineChars="200"/>
        <w:rPr>
          <w:rFonts w:ascii="仿宋_GB2312"/>
          <w:sz w:val="32"/>
          <w:szCs w:val="32"/>
        </w:rPr>
      </w:pPr>
      <w:r>
        <w:rPr>
          <w:rFonts w:hint="eastAsia" w:ascii="仿宋_GB2312"/>
          <w:sz w:val="32"/>
          <w:szCs w:val="32"/>
        </w:rPr>
        <w:t>4、绩效指标明确性</w:t>
      </w:r>
    </w:p>
    <w:p w14:paraId="41B4D22F">
      <w:pPr>
        <w:spacing w:line="560" w:lineRule="exact"/>
        <w:ind w:firstLine="640" w:firstLineChars="200"/>
        <w:rPr>
          <w:rFonts w:ascii="仿宋_GB2312"/>
          <w:sz w:val="32"/>
          <w:szCs w:val="32"/>
        </w:rPr>
      </w:pPr>
      <w:bookmarkStart w:id="4" w:name="_Hlk68699917"/>
      <w:r>
        <w:rPr>
          <w:rFonts w:hint="eastAsia" w:ascii="仿宋_GB2312"/>
          <w:sz w:val="32"/>
          <w:szCs w:val="32"/>
        </w:rPr>
        <w:t>克拉玛依市级人员补差项目将项目绩效目标细化分解为具体的绩效指标，一级指标共</w:t>
      </w:r>
      <w:r>
        <w:rPr>
          <w:rFonts w:hint="eastAsia" w:ascii="仿宋_GB2312"/>
          <w:sz w:val="32"/>
          <w:szCs w:val="32"/>
          <w:lang w:val="en-US" w:eastAsia="zh-CN"/>
        </w:rPr>
        <w:t>4</w:t>
      </w:r>
      <w:r>
        <w:rPr>
          <w:rFonts w:hint="eastAsia" w:ascii="仿宋_GB2312"/>
          <w:sz w:val="32"/>
          <w:szCs w:val="32"/>
        </w:rPr>
        <w:t>条，二级指标共</w:t>
      </w:r>
      <w:r>
        <w:rPr>
          <w:rFonts w:hint="eastAsia" w:ascii="仿宋_GB2312"/>
          <w:sz w:val="32"/>
          <w:szCs w:val="32"/>
          <w:lang w:val="en-US" w:eastAsia="zh-CN"/>
        </w:rPr>
        <w:t>6</w:t>
      </w:r>
      <w:r>
        <w:rPr>
          <w:rFonts w:hint="eastAsia" w:ascii="仿宋_GB2312"/>
          <w:sz w:val="32"/>
          <w:szCs w:val="32"/>
        </w:rPr>
        <w:t>条，三级指标共</w:t>
      </w:r>
      <w:r>
        <w:rPr>
          <w:rFonts w:hint="eastAsia" w:ascii="仿宋_GB2312"/>
          <w:sz w:val="32"/>
          <w:szCs w:val="32"/>
          <w:lang w:val="en-US" w:eastAsia="zh-CN"/>
        </w:rPr>
        <w:t>7</w:t>
      </w:r>
      <w:r>
        <w:rPr>
          <w:rFonts w:hint="eastAsia" w:ascii="仿宋_GB2312"/>
          <w:sz w:val="32"/>
          <w:szCs w:val="32"/>
        </w:rPr>
        <w:t>条，其中量化指标条数共</w:t>
      </w:r>
      <w:r>
        <w:rPr>
          <w:rFonts w:hint="eastAsia" w:ascii="仿宋_GB2312"/>
          <w:sz w:val="32"/>
          <w:szCs w:val="32"/>
          <w:lang w:val="en-US" w:eastAsia="zh-CN"/>
        </w:rPr>
        <w:t>7</w:t>
      </w:r>
      <w:r>
        <w:rPr>
          <w:rFonts w:hint="eastAsia" w:ascii="仿宋_GB2312"/>
          <w:sz w:val="32"/>
          <w:szCs w:val="32"/>
        </w:rPr>
        <w:t>条，所有绩效指标均通过清晰、可衡量的指标值予以体现，并且做到了与项目目标任务数或计划数相对应。</w:t>
      </w:r>
      <w:bookmarkEnd w:id="4"/>
    </w:p>
    <w:p w14:paraId="45C1FD37">
      <w:pPr>
        <w:spacing w:line="560" w:lineRule="exact"/>
        <w:ind w:firstLine="640" w:firstLineChars="200"/>
        <w:rPr>
          <w:rFonts w:ascii="仿宋_GB2312"/>
          <w:sz w:val="32"/>
          <w:szCs w:val="32"/>
        </w:rPr>
      </w:pPr>
      <w:r>
        <w:rPr>
          <w:rFonts w:hint="eastAsia" w:ascii="仿宋_GB2312"/>
          <w:sz w:val="32"/>
          <w:szCs w:val="32"/>
        </w:rPr>
        <w:t>5、预算编制科学性</w:t>
      </w:r>
    </w:p>
    <w:p w14:paraId="40CD5654">
      <w:pPr>
        <w:spacing w:line="560" w:lineRule="exact"/>
        <w:ind w:firstLine="640" w:firstLineChars="200"/>
        <w:rPr>
          <w:rFonts w:ascii="仿宋_GB2312"/>
          <w:sz w:val="32"/>
          <w:szCs w:val="32"/>
        </w:rPr>
      </w:pPr>
      <w:r>
        <w:rPr>
          <w:rFonts w:hint="eastAsia" w:ascii="仿宋_GB2312"/>
          <w:sz w:val="32"/>
          <w:szCs w:val="32"/>
        </w:rPr>
        <w:t>项目预算编制经过科学论证；预算内容与项目内容匹配；预算额度测算依据充分，按照标准编制；预算确定的项目资金量与工作任务相匹配。</w:t>
      </w:r>
    </w:p>
    <w:p w14:paraId="2EE316F8">
      <w:pPr>
        <w:spacing w:line="560" w:lineRule="exact"/>
        <w:ind w:firstLine="640" w:firstLineChars="200"/>
        <w:rPr>
          <w:rFonts w:ascii="仿宋_GB2312"/>
          <w:sz w:val="32"/>
          <w:szCs w:val="32"/>
        </w:rPr>
      </w:pPr>
      <w:r>
        <w:rPr>
          <w:rFonts w:hint="eastAsia" w:ascii="仿宋_GB2312"/>
          <w:sz w:val="32"/>
          <w:szCs w:val="32"/>
        </w:rPr>
        <w:t>6、资金分配合理性</w:t>
      </w:r>
    </w:p>
    <w:p w14:paraId="6CC237CA">
      <w:pPr>
        <w:spacing w:line="560" w:lineRule="exact"/>
        <w:ind w:firstLine="640" w:firstLineChars="200"/>
        <w:rPr>
          <w:rFonts w:ascii="仿宋_GB2312"/>
          <w:sz w:val="32"/>
          <w:szCs w:val="32"/>
        </w:rPr>
      </w:pPr>
      <w:r>
        <w:rPr>
          <w:rFonts w:hint="eastAsia" w:ascii="仿宋_GB2312"/>
          <w:sz w:val="32"/>
          <w:szCs w:val="32"/>
        </w:rPr>
        <w:t>项目预算资金分配依据充分；资金分配额度合理，与项目执行单位相适应。</w:t>
      </w:r>
    </w:p>
    <w:p w14:paraId="367D3A9A">
      <w:pPr>
        <w:pStyle w:val="2"/>
        <w:numPr>
          <w:ilvl w:val="0"/>
          <w:numId w:val="0"/>
        </w:numPr>
        <w:spacing w:before="0" w:after="0" w:line="560" w:lineRule="exact"/>
        <w:ind w:firstLine="643" w:firstLineChars="200"/>
        <w:jc w:val="both"/>
        <w:rPr>
          <w:rFonts w:hint="eastAsia" w:ascii="楷体" w:hAnsi="楷体" w:eastAsia="楷体" w:cs="楷体"/>
        </w:rPr>
      </w:pPr>
      <w:r>
        <w:rPr>
          <w:rFonts w:hint="eastAsia" w:ascii="楷体" w:hAnsi="楷体" w:eastAsia="楷体" w:cs="楷体"/>
          <w:b/>
          <w:bCs/>
          <w:kern w:val="28"/>
          <w:sz w:val="32"/>
          <w:szCs w:val="32"/>
          <w:lang w:val="en-US" w:eastAsia="zh-CN" w:bidi="ar-SA"/>
        </w:rPr>
        <w:t>（二）</w:t>
      </w:r>
      <w:r>
        <w:rPr>
          <w:rFonts w:hint="eastAsia" w:ascii="楷体" w:hAnsi="楷体" w:eastAsia="楷体" w:cs="楷体"/>
        </w:rPr>
        <w:t>项目过程情况。</w:t>
      </w:r>
    </w:p>
    <w:p w14:paraId="6D23A888">
      <w:pPr>
        <w:spacing w:line="560" w:lineRule="exact"/>
        <w:ind w:firstLine="640" w:firstLineChars="200"/>
        <w:rPr>
          <w:rFonts w:ascii="仿宋_GB2312"/>
          <w:sz w:val="32"/>
          <w:szCs w:val="32"/>
        </w:rPr>
      </w:pPr>
      <w:r>
        <w:rPr>
          <w:rFonts w:hint="eastAsia" w:ascii="仿宋_GB2312"/>
          <w:sz w:val="32"/>
          <w:szCs w:val="32"/>
        </w:rPr>
        <w:t>1、资金到位率</w:t>
      </w:r>
    </w:p>
    <w:p w14:paraId="767266AA">
      <w:pPr>
        <w:spacing w:line="560" w:lineRule="exact"/>
        <w:ind w:firstLine="640" w:firstLineChars="200"/>
        <w:rPr>
          <w:rFonts w:ascii="仿宋_GB2312"/>
          <w:sz w:val="32"/>
          <w:szCs w:val="32"/>
        </w:rPr>
      </w:pPr>
      <w:r>
        <w:rPr>
          <w:rFonts w:hint="eastAsia" w:ascii="仿宋_GB2312"/>
          <w:sz w:val="32"/>
          <w:szCs w:val="32"/>
        </w:rPr>
        <w:t>实际到位资金2.</w:t>
      </w:r>
      <w:r>
        <w:rPr>
          <w:rFonts w:hint="eastAsia" w:ascii="仿宋_GB2312"/>
          <w:sz w:val="32"/>
          <w:szCs w:val="32"/>
          <w:lang w:val="en-US" w:eastAsia="zh-CN"/>
        </w:rPr>
        <w:t>7</w:t>
      </w:r>
      <w:r>
        <w:rPr>
          <w:rFonts w:hint="eastAsia" w:ascii="仿宋_GB2312"/>
          <w:sz w:val="32"/>
          <w:szCs w:val="32"/>
        </w:rPr>
        <w:t xml:space="preserve">万元，预算资金 </w:t>
      </w:r>
      <w:r>
        <w:rPr>
          <w:rFonts w:hint="eastAsia" w:ascii="仿宋_GB2312"/>
          <w:sz w:val="32"/>
          <w:szCs w:val="32"/>
          <w:lang w:val="en-US" w:eastAsia="zh-CN"/>
        </w:rPr>
        <w:t>2.73</w:t>
      </w:r>
      <w:r>
        <w:rPr>
          <w:rFonts w:hint="eastAsia" w:ascii="仿宋_GB2312"/>
          <w:sz w:val="32"/>
          <w:szCs w:val="32"/>
        </w:rPr>
        <w:t>万元，资金到位率</w:t>
      </w:r>
      <w:r>
        <w:rPr>
          <w:rFonts w:hint="eastAsia" w:ascii="仿宋_GB2312"/>
          <w:sz w:val="32"/>
          <w:szCs w:val="32"/>
          <w:lang w:val="en-US" w:eastAsia="zh-CN"/>
        </w:rPr>
        <w:t>98.9</w:t>
      </w:r>
      <w:r>
        <w:rPr>
          <w:rFonts w:hint="eastAsia" w:ascii="仿宋_GB2312"/>
          <w:sz w:val="32"/>
          <w:szCs w:val="32"/>
        </w:rPr>
        <w:t>%</w:t>
      </w:r>
    </w:p>
    <w:p w14:paraId="344D3600">
      <w:pPr>
        <w:spacing w:line="560" w:lineRule="exact"/>
        <w:ind w:firstLine="640" w:firstLineChars="200"/>
        <w:rPr>
          <w:rFonts w:ascii="仿宋_GB2312"/>
          <w:sz w:val="32"/>
          <w:szCs w:val="32"/>
        </w:rPr>
      </w:pPr>
      <w:r>
        <w:rPr>
          <w:rFonts w:hint="eastAsia" w:ascii="仿宋_GB2312"/>
          <w:sz w:val="32"/>
          <w:szCs w:val="32"/>
        </w:rPr>
        <w:t>2、预算执行率</w:t>
      </w:r>
    </w:p>
    <w:p w14:paraId="7D050E33">
      <w:pPr>
        <w:spacing w:line="560" w:lineRule="exact"/>
        <w:ind w:firstLine="640" w:firstLineChars="200"/>
        <w:rPr>
          <w:rFonts w:ascii="仿宋_GB2312"/>
          <w:sz w:val="32"/>
          <w:szCs w:val="32"/>
        </w:rPr>
      </w:pPr>
      <w:r>
        <w:rPr>
          <w:rFonts w:hint="eastAsia" w:ascii="仿宋_GB2312"/>
          <w:sz w:val="32"/>
          <w:szCs w:val="32"/>
        </w:rPr>
        <w:t>年初预算</w:t>
      </w:r>
      <w:r>
        <w:rPr>
          <w:rFonts w:hint="eastAsia" w:ascii="仿宋_GB2312"/>
          <w:sz w:val="32"/>
          <w:szCs w:val="32"/>
          <w:lang w:val="en-US" w:eastAsia="zh-CN"/>
        </w:rPr>
        <w:t>2.73</w:t>
      </w:r>
      <w:r>
        <w:rPr>
          <w:rFonts w:hint="eastAsia" w:ascii="仿宋_GB2312"/>
          <w:sz w:val="32"/>
          <w:szCs w:val="32"/>
        </w:rPr>
        <w:t>万元，全年预算数</w:t>
      </w:r>
      <w:r>
        <w:rPr>
          <w:rFonts w:hint="eastAsia" w:ascii="仿宋_GB2312"/>
          <w:sz w:val="32"/>
          <w:szCs w:val="32"/>
          <w:lang w:val="en-US" w:eastAsia="zh-CN"/>
        </w:rPr>
        <w:t>2.7</w:t>
      </w:r>
      <w:r>
        <w:rPr>
          <w:rFonts w:hint="eastAsia" w:ascii="仿宋_GB2312"/>
          <w:sz w:val="32"/>
          <w:szCs w:val="32"/>
        </w:rPr>
        <w:t>万元，全年执行数</w:t>
      </w:r>
      <w:r>
        <w:rPr>
          <w:rFonts w:hint="eastAsia" w:ascii="仿宋_GB2312"/>
          <w:sz w:val="32"/>
          <w:szCs w:val="32"/>
          <w:lang w:val="en-US" w:eastAsia="zh-CN"/>
        </w:rPr>
        <w:t>2.7</w:t>
      </w:r>
      <w:r>
        <w:rPr>
          <w:rFonts w:hint="eastAsia" w:ascii="仿宋_GB2312"/>
          <w:sz w:val="32"/>
          <w:szCs w:val="32"/>
        </w:rPr>
        <w:t>万元，预算执行率</w:t>
      </w:r>
      <w:r>
        <w:rPr>
          <w:rFonts w:hint="eastAsia" w:ascii="仿宋_GB2312"/>
          <w:sz w:val="32"/>
          <w:szCs w:val="32"/>
          <w:lang w:val="en-US" w:eastAsia="zh-CN"/>
        </w:rPr>
        <w:t>100</w:t>
      </w:r>
      <w:r>
        <w:rPr>
          <w:rFonts w:hint="eastAsia" w:ascii="仿宋_GB2312"/>
          <w:sz w:val="32"/>
          <w:szCs w:val="32"/>
        </w:rPr>
        <w:t>%。</w:t>
      </w:r>
    </w:p>
    <w:p w14:paraId="1EEF1CA0">
      <w:pPr>
        <w:spacing w:line="560" w:lineRule="exact"/>
        <w:ind w:firstLine="640" w:firstLineChars="200"/>
        <w:rPr>
          <w:rFonts w:ascii="仿宋_GB2312"/>
          <w:sz w:val="32"/>
          <w:szCs w:val="32"/>
        </w:rPr>
      </w:pPr>
      <w:r>
        <w:rPr>
          <w:rFonts w:hint="eastAsia" w:ascii="仿宋_GB2312"/>
          <w:sz w:val="32"/>
          <w:szCs w:val="32"/>
        </w:rPr>
        <w:t>3、资金使用合规性</w:t>
      </w:r>
    </w:p>
    <w:p w14:paraId="605968B0">
      <w:pPr>
        <w:spacing w:line="560" w:lineRule="exact"/>
        <w:ind w:firstLine="640" w:firstLineChars="200"/>
        <w:rPr>
          <w:rFonts w:ascii="仿宋_GB2312"/>
          <w:sz w:val="32"/>
          <w:szCs w:val="32"/>
        </w:rPr>
      </w:pPr>
      <w:r>
        <w:rPr>
          <w:rFonts w:hint="eastAsia" w:ascii="仿宋_GB2312"/>
          <w:sz w:val="32"/>
          <w:szCs w:val="32"/>
        </w:rPr>
        <w:t>项目资金使用符合国家财经法规和财务管理制度以及有关专项资金管理办法的规定；资金的拨付有完整的审批程序和手续；符合项目预算批复规定的用途；不存在截留、挤占、挪用、虚列支出等情况。</w:t>
      </w:r>
    </w:p>
    <w:p w14:paraId="367F48A2">
      <w:pPr>
        <w:spacing w:line="560" w:lineRule="exact"/>
        <w:ind w:firstLine="640" w:firstLineChars="200"/>
        <w:rPr>
          <w:rFonts w:ascii="仿宋_GB2312"/>
          <w:sz w:val="32"/>
          <w:szCs w:val="32"/>
        </w:rPr>
      </w:pPr>
      <w:r>
        <w:rPr>
          <w:rFonts w:hint="eastAsia" w:ascii="仿宋_GB2312"/>
          <w:sz w:val="32"/>
          <w:szCs w:val="32"/>
        </w:rPr>
        <w:t>4、管理制度健全性</w:t>
      </w:r>
    </w:p>
    <w:p w14:paraId="2D98EA54">
      <w:pPr>
        <w:spacing w:line="560" w:lineRule="exact"/>
        <w:ind w:firstLine="640" w:firstLineChars="200"/>
        <w:rPr>
          <w:rFonts w:ascii="仿宋_GB2312"/>
          <w:sz w:val="32"/>
          <w:szCs w:val="32"/>
        </w:rPr>
      </w:pPr>
      <w:r>
        <w:rPr>
          <w:rFonts w:hint="eastAsia" w:ascii="仿宋_GB2312"/>
          <w:sz w:val="32"/>
          <w:szCs w:val="32"/>
        </w:rPr>
        <w:t>单位已有相应的财务和业务管理制度；财务和业务管理制度合法、合规、完整。</w:t>
      </w:r>
    </w:p>
    <w:p w14:paraId="562031EC">
      <w:pPr>
        <w:spacing w:line="560" w:lineRule="exact"/>
        <w:ind w:firstLine="640" w:firstLineChars="200"/>
        <w:rPr>
          <w:rFonts w:ascii="仿宋_GB2312"/>
          <w:sz w:val="32"/>
          <w:szCs w:val="32"/>
        </w:rPr>
      </w:pPr>
      <w:r>
        <w:rPr>
          <w:rFonts w:hint="eastAsia" w:ascii="仿宋_GB2312"/>
          <w:sz w:val="32"/>
          <w:szCs w:val="32"/>
        </w:rPr>
        <w:t>5、制度执行有效性</w:t>
      </w:r>
    </w:p>
    <w:p w14:paraId="70686EBC">
      <w:pPr>
        <w:spacing w:line="560" w:lineRule="exact"/>
        <w:ind w:firstLine="640" w:firstLineChars="200"/>
        <w:rPr>
          <w:rFonts w:ascii="仿宋_GB2312"/>
          <w:sz w:val="32"/>
          <w:szCs w:val="32"/>
        </w:rPr>
      </w:pPr>
      <w:r>
        <w:rPr>
          <w:rFonts w:hint="eastAsia" w:ascii="仿宋_GB2312"/>
          <w:sz w:val="32"/>
          <w:szCs w:val="32"/>
        </w:rPr>
        <w:t>项目执行遵守相关法律法规和相关管理规定；资金测算、资金拨付等资料齐全并及时归档。</w:t>
      </w:r>
    </w:p>
    <w:p w14:paraId="536D19CB">
      <w:pPr>
        <w:numPr>
          <w:ilvl w:val="0"/>
          <w:numId w:val="0"/>
        </w:numPr>
        <w:spacing w:line="600" w:lineRule="exact"/>
        <w:ind w:left="0" w:leftChars="0" w:firstLine="643" w:firstLineChars="200"/>
        <w:outlineLvl w:val="0"/>
        <w:rPr>
          <w:rFonts w:hint="eastAsia" w:ascii="仿宋_GB2312"/>
        </w:rPr>
      </w:pPr>
      <w:r>
        <w:rPr>
          <w:rFonts w:hint="eastAsia" w:ascii="楷体" w:hAnsi="楷体" w:eastAsia="楷体" w:cs="楷体"/>
          <w:b/>
          <w:bCs/>
          <w:kern w:val="28"/>
          <w:sz w:val="32"/>
          <w:szCs w:val="32"/>
          <w:lang w:val="en-US" w:eastAsia="zh-CN" w:bidi="ar-SA"/>
        </w:rPr>
        <w:t>（三）项目产出情况</w:t>
      </w:r>
      <w:r>
        <w:rPr>
          <w:rFonts w:hint="eastAsia" w:ascii="仿宋_GB2312"/>
        </w:rPr>
        <w:t>。</w:t>
      </w:r>
    </w:p>
    <w:p w14:paraId="692CFF2B">
      <w:pPr>
        <w:widowControl/>
        <w:spacing w:line="560" w:lineRule="exact"/>
        <w:ind w:firstLine="640" w:firstLineChars="200"/>
        <w:jc w:val="left"/>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数量指标分析：保障人员数（人）指标，</w:t>
      </w:r>
      <w:r>
        <w:rPr>
          <w:rFonts w:hint="eastAsia" w:ascii="仿宋_GB2312" w:hAnsi="仿宋_GB2312" w:cs="仿宋_GB2312"/>
          <w:sz w:val="32"/>
          <w:szCs w:val="32"/>
        </w:rPr>
        <w:t>指标值为1，实际完成1人，完成率100%，偏差率0%；发放次数指标，指标值为1</w:t>
      </w:r>
      <w:r>
        <w:rPr>
          <w:rFonts w:hint="eastAsia" w:ascii="仿宋_GB2312" w:hAnsi="仿宋_GB2312" w:cs="仿宋_GB2312"/>
          <w:sz w:val="32"/>
          <w:szCs w:val="32"/>
          <w:lang w:val="en-US" w:eastAsia="zh-CN"/>
        </w:rPr>
        <w:t>次</w:t>
      </w:r>
      <w:r>
        <w:rPr>
          <w:rFonts w:hint="eastAsia" w:ascii="仿宋_GB2312" w:hAnsi="仿宋_GB2312" w:cs="仿宋_GB2312"/>
          <w:sz w:val="32"/>
          <w:szCs w:val="32"/>
        </w:rPr>
        <w:t>，实际完成</w:t>
      </w:r>
      <w:r>
        <w:rPr>
          <w:rFonts w:hint="eastAsia" w:ascii="仿宋_GB2312" w:hAnsi="仿宋_GB2312" w:cs="仿宋_GB2312"/>
          <w:sz w:val="32"/>
          <w:szCs w:val="32"/>
          <w:lang w:val="en-US" w:eastAsia="zh-CN"/>
        </w:rPr>
        <w:t>1</w:t>
      </w:r>
      <w:r>
        <w:rPr>
          <w:rFonts w:hint="eastAsia" w:ascii="仿宋_GB2312" w:hAnsi="仿宋_GB2312" w:cs="仿宋_GB2312"/>
          <w:sz w:val="32"/>
          <w:szCs w:val="32"/>
        </w:rPr>
        <w:t>次，完成率</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%，偏差率</w:t>
      </w:r>
      <w:r>
        <w:rPr>
          <w:rFonts w:hint="eastAsia" w:ascii="仿宋_GB2312" w:hAnsi="仿宋_GB2312" w:cs="仿宋_GB2312"/>
          <w:sz w:val="32"/>
          <w:szCs w:val="32"/>
          <w:lang w:val="en-US" w:eastAsia="zh-CN"/>
        </w:rPr>
        <w:t>0</w:t>
      </w:r>
      <w:r>
        <w:rPr>
          <w:rFonts w:hint="eastAsia" w:ascii="仿宋_GB2312" w:hAnsi="仿宋_GB2312" w:cs="仿宋_GB2312"/>
          <w:sz w:val="32"/>
          <w:szCs w:val="32"/>
        </w:rPr>
        <w:t>%。</w:t>
      </w:r>
    </w:p>
    <w:p w14:paraId="74399C0F">
      <w:pPr>
        <w:widowControl/>
        <w:spacing w:line="560" w:lineRule="exact"/>
        <w:ind w:firstLine="640" w:firstLineChars="200"/>
        <w:jc w:val="left"/>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质量指标分析：资金拨付准确率</w:t>
      </w:r>
      <w:r>
        <w:rPr>
          <w:rFonts w:hint="eastAsia" w:ascii="仿宋_GB2312" w:hAnsi="仿宋_GB2312" w:cs="仿宋_GB2312"/>
          <w:sz w:val="32"/>
          <w:szCs w:val="32"/>
        </w:rPr>
        <w:t>指标，指标值为</w:t>
      </w:r>
      <w:r>
        <w:rPr>
          <w:rFonts w:hint="eastAsia" w:ascii="仿宋_GB2312"/>
          <w:color w:val="000000" w:themeColor="text1"/>
          <w:sz w:val="32"/>
          <w:szCs w:val="32"/>
          <w:lang w:val="en-US" w:eastAsia="zh-CN"/>
          <w14:textFill>
            <w14:solidFill>
              <w14:schemeClr w14:val="tx1"/>
            </w14:solidFill>
          </w14:textFill>
        </w:rPr>
        <w:t>≥95</w:t>
      </w:r>
      <w:r>
        <w:rPr>
          <w:rFonts w:hint="eastAsia" w:ascii="仿宋_GB2312"/>
          <w:color w:val="000000" w:themeColor="text1"/>
          <w:sz w:val="32"/>
          <w:szCs w:val="32"/>
          <w14:textFill>
            <w14:solidFill>
              <w14:schemeClr w14:val="tx1"/>
            </w14:solidFill>
          </w14:textFill>
        </w:rPr>
        <w:t>%</w:t>
      </w:r>
      <w:r>
        <w:rPr>
          <w:rFonts w:hint="eastAsia" w:ascii="仿宋_GB2312" w:hAnsi="仿宋_GB2312" w:cs="仿宋_GB2312"/>
          <w:sz w:val="32"/>
          <w:szCs w:val="32"/>
        </w:rPr>
        <w:t>，实际完成</w:t>
      </w:r>
      <w:r>
        <w:rPr>
          <w:rFonts w:hint="eastAsia" w:ascii="仿宋_GB2312" w:hAnsi="仿宋_GB2312" w:cs="仿宋_GB2312"/>
          <w:sz w:val="32"/>
          <w:szCs w:val="32"/>
          <w:lang w:val="en-US" w:eastAsia="zh-CN"/>
        </w:rPr>
        <w:t>98.9</w:t>
      </w:r>
      <w:r>
        <w:rPr>
          <w:rFonts w:hint="eastAsia" w:ascii="仿宋_GB2312" w:hAnsi="仿宋_GB2312" w:cs="仿宋_GB2312"/>
          <w:sz w:val="32"/>
          <w:szCs w:val="32"/>
        </w:rPr>
        <w:t>%，完成率</w:t>
      </w:r>
      <w:r>
        <w:rPr>
          <w:rFonts w:hint="eastAsia" w:ascii="仿宋_GB2312" w:hAnsi="仿宋_GB2312" w:cs="仿宋_GB2312"/>
          <w:sz w:val="32"/>
          <w:szCs w:val="32"/>
          <w:lang w:val="en-US" w:eastAsia="zh-CN"/>
        </w:rPr>
        <w:t>104.11</w:t>
      </w:r>
      <w:r>
        <w:rPr>
          <w:rFonts w:hint="eastAsia" w:ascii="仿宋_GB2312" w:hAnsi="仿宋_GB2312" w:cs="仿宋_GB2312"/>
          <w:sz w:val="32"/>
          <w:szCs w:val="32"/>
        </w:rPr>
        <w:t>%，偏差率</w:t>
      </w:r>
      <w:r>
        <w:rPr>
          <w:rFonts w:hint="eastAsia" w:ascii="仿宋_GB2312" w:hAnsi="仿宋_GB2312" w:cs="仿宋_GB2312"/>
          <w:sz w:val="32"/>
          <w:szCs w:val="32"/>
          <w:lang w:val="en-US" w:eastAsia="zh-CN"/>
        </w:rPr>
        <w:t>4.11</w:t>
      </w:r>
      <w:r>
        <w:rPr>
          <w:rFonts w:hint="eastAsia" w:ascii="仿宋_GB2312" w:hAnsi="仿宋_GB2312" w:cs="仿宋_GB2312"/>
          <w:sz w:val="32"/>
          <w:szCs w:val="32"/>
        </w:rPr>
        <w:t>%，偏差原因是实际</w:t>
      </w:r>
      <w:r>
        <w:rPr>
          <w:rFonts w:hint="eastAsia" w:ascii="仿宋_GB2312" w:hAnsi="仿宋_GB2312" w:cs="仿宋_GB2312"/>
          <w:sz w:val="32"/>
          <w:szCs w:val="32"/>
          <w:lang w:val="en-US" w:eastAsia="zh-CN"/>
        </w:rPr>
        <w:t>拨付数抹尾零</w:t>
      </w:r>
      <w:r>
        <w:rPr>
          <w:rFonts w:hint="eastAsia" w:ascii="仿宋_GB2312" w:hAnsi="仿宋_GB2312" w:cs="仿宋_GB2312"/>
          <w:sz w:val="32"/>
          <w:szCs w:val="32"/>
        </w:rPr>
        <w:t>。</w:t>
      </w:r>
    </w:p>
    <w:p w14:paraId="173D88B6">
      <w:pPr>
        <w:widowControl/>
        <w:spacing w:line="560" w:lineRule="exact"/>
        <w:ind w:firstLine="640" w:firstLineChars="200"/>
        <w:jc w:val="left"/>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时效指标分析：资金支付及时率</w:t>
      </w:r>
      <w:r>
        <w:rPr>
          <w:rFonts w:hint="eastAsia" w:ascii="仿宋_GB2312" w:hAnsi="仿宋_GB2312" w:cs="仿宋_GB2312"/>
          <w:sz w:val="32"/>
          <w:szCs w:val="32"/>
        </w:rPr>
        <w:t>指标，指标值为</w:t>
      </w:r>
      <w:r>
        <w:rPr>
          <w:rFonts w:hint="eastAsia" w:ascii="仿宋_GB2312"/>
          <w:color w:val="000000" w:themeColor="text1"/>
          <w:sz w:val="32"/>
          <w:szCs w:val="32"/>
          <w14:textFill>
            <w14:solidFill>
              <w14:schemeClr w14:val="tx1"/>
            </w14:solidFill>
          </w14:textFill>
        </w:rPr>
        <w:t>≥95%</w:t>
      </w:r>
      <w:r>
        <w:rPr>
          <w:rFonts w:hint="eastAsia" w:ascii="仿宋_GB2312" w:hAnsi="仿宋_GB2312" w:cs="仿宋_GB2312"/>
          <w:sz w:val="32"/>
          <w:szCs w:val="32"/>
        </w:rPr>
        <w:t>，实际完成100%，完成率</w:t>
      </w:r>
      <w:r>
        <w:rPr>
          <w:rFonts w:hint="eastAsia" w:ascii="仿宋_GB2312" w:hAnsi="仿宋_GB2312" w:cs="仿宋_GB2312"/>
          <w:sz w:val="32"/>
          <w:szCs w:val="32"/>
          <w:lang w:val="en-US" w:eastAsia="zh-CN"/>
        </w:rPr>
        <w:t>105.26</w:t>
      </w:r>
      <w:r>
        <w:rPr>
          <w:rFonts w:hint="eastAsia" w:ascii="仿宋_GB2312" w:hAnsi="仿宋_GB2312" w:cs="仿宋_GB2312"/>
          <w:sz w:val="32"/>
          <w:szCs w:val="32"/>
        </w:rPr>
        <w:t>%，偏差率</w:t>
      </w:r>
      <w:r>
        <w:rPr>
          <w:rFonts w:hint="eastAsia" w:ascii="仿宋_GB2312" w:hAnsi="仿宋_GB2312" w:cs="仿宋_GB2312"/>
          <w:sz w:val="32"/>
          <w:szCs w:val="32"/>
          <w:lang w:val="en-US" w:eastAsia="zh-CN"/>
        </w:rPr>
        <w:t>5.26</w:t>
      </w:r>
      <w:r>
        <w:rPr>
          <w:rFonts w:hint="eastAsia" w:ascii="仿宋_GB2312" w:hAnsi="仿宋_GB2312" w:cs="仿宋_GB2312"/>
          <w:sz w:val="32"/>
          <w:szCs w:val="32"/>
        </w:rPr>
        <w:t>%</w:t>
      </w:r>
      <w:r>
        <w:rPr>
          <w:rFonts w:hint="eastAsia" w:ascii="仿宋_GB2312"/>
          <w:color w:val="000000" w:themeColor="text1"/>
          <w:sz w:val="32"/>
          <w:szCs w:val="32"/>
          <w14:textFill>
            <w14:solidFill>
              <w14:schemeClr w14:val="tx1"/>
            </w14:solidFill>
          </w14:textFill>
        </w:rPr>
        <w:t>。</w:t>
      </w:r>
    </w:p>
    <w:p w14:paraId="16A5B151">
      <w:pPr>
        <w:widowControl/>
        <w:spacing w:line="560" w:lineRule="exact"/>
        <w:ind w:firstLine="640" w:firstLineChars="200"/>
        <w:jc w:val="left"/>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成本指标分析：成本预算控制率</w:t>
      </w:r>
      <w:r>
        <w:rPr>
          <w:rFonts w:hint="eastAsia" w:ascii="仿宋_GB2312" w:hAnsi="仿宋_GB2312" w:cs="仿宋_GB2312"/>
          <w:sz w:val="32"/>
          <w:szCs w:val="32"/>
        </w:rPr>
        <w:t>指标，指标值为</w:t>
      </w:r>
      <w:r>
        <w:rPr>
          <w:rFonts w:hint="eastAsia" w:ascii="仿宋_GB2312"/>
          <w:color w:val="000000" w:themeColor="text1"/>
          <w:sz w:val="32"/>
          <w:szCs w:val="32"/>
          <w14:textFill>
            <w14:solidFill>
              <w14:schemeClr w14:val="tx1"/>
            </w14:solidFill>
          </w14:textFill>
        </w:rPr>
        <w:t>≤100%</w:t>
      </w:r>
      <w:r>
        <w:rPr>
          <w:rFonts w:hint="eastAsia" w:ascii="仿宋_GB2312" w:hAnsi="仿宋_GB2312" w:cs="仿宋_GB2312"/>
          <w:sz w:val="32"/>
          <w:szCs w:val="32"/>
        </w:rPr>
        <w:t>，实际完成</w:t>
      </w:r>
      <w:r>
        <w:rPr>
          <w:rFonts w:hint="eastAsia" w:ascii="仿宋_GB2312" w:hAnsi="仿宋_GB2312" w:cs="仿宋_GB2312"/>
          <w:sz w:val="32"/>
          <w:szCs w:val="32"/>
          <w:lang w:val="en-US" w:eastAsia="zh-CN"/>
        </w:rPr>
        <w:t>98.9</w:t>
      </w:r>
      <w:r>
        <w:rPr>
          <w:rFonts w:hint="eastAsia" w:ascii="仿宋_GB2312" w:hAnsi="仿宋_GB2312" w:cs="仿宋_GB2312"/>
          <w:sz w:val="32"/>
          <w:szCs w:val="32"/>
        </w:rPr>
        <w:t>%，完成率</w:t>
      </w:r>
      <w:r>
        <w:rPr>
          <w:rFonts w:hint="eastAsia" w:ascii="仿宋_GB2312" w:hAnsi="仿宋_GB2312" w:cs="仿宋_GB2312"/>
          <w:sz w:val="32"/>
          <w:szCs w:val="32"/>
          <w:lang w:val="en-US" w:eastAsia="zh-CN"/>
        </w:rPr>
        <w:t>98.9</w:t>
      </w:r>
      <w:r>
        <w:rPr>
          <w:rFonts w:hint="eastAsia" w:ascii="仿宋_GB2312" w:hAnsi="仿宋_GB2312" w:cs="仿宋_GB2312"/>
          <w:sz w:val="32"/>
          <w:szCs w:val="32"/>
        </w:rPr>
        <w:t>%，偏差率</w:t>
      </w:r>
      <w:r>
        <w:rPr>
          <w:rFonts w:hint="eastAsia" w:ascii="仿宋_GB2312" w:hAnsi="仿宋_GB2312" w:cs="仿宋_GB2312"/>
          <w:sz w:val="32"/>
          <w:szCs w:val="32"/>
          <w:lang w:val="en-US" w:eastAsia="zh-CN"/>
        </w:rPr>
        <w:t>1.1</w:t>
      </w:r>
      <w:r>
        <w:rPr>
          <w:rFonts w:hint="eastAsia" w:ascii="仿宋_GB2312" w:hAnsi="仿宋_GB2312" w:cs="仿宋_GB2312"/>
          <w:sz w:val="32"/>
          <w:szCs w:val="32"/>
        </w:rPr>
        <w:t>%</w:t>
      </w:r>
      <w:r>
        <w:rPr>
          <w:rFonts w:hint="eastAsia" w:ascii="仿宋_GB2312"/>
          <w:color w:val="000000" w:themeColor="text1"/>
          <w:sz w:val="32"/>
          <w:szCs w:val="32"/>
          <w14:textFill>
            <w14:solidFill>
              <w14:schemeClr w14:val="tx1"/>
            </w14:solidFill>
          </w14:textFill>
        </w:rPr>
        <w:t>，偏差原因是</w:t>
      </w:r>
      <w:r>
        <w:rPr>
          <w:rFonts w:hint="eastAsia" w:ascii="仿宋_GB2312" w:hAnsi="仿宋_GB2312" w:cs="仿宋_GB2312"/>
          <w:sz w:val="32"/>
          <w:szCs w:val="32"/>
        </w:rPr>
        <w:t>实际</w:t>
      </w:r>
      <w:r>
        <w:rPr>
          <w:rFonts w:hint="eastAsia" w:ascii="仿宋_GB2312" w:hAnsi="仿宋_GB2312" w:cs="仿宋_GB2312"/>
          <w:sz w:val="32"/>
          <w:szCs w:val="32"/>
          <w:lang w:val="en-US" w:eastAsia="zh-CN"/>
        </w:rPr>
        <w:t>拨付数抹尾零</w:t>
      </w:r>
      <w:r>
        <w:rPr>
          <w:rFonts w:hint="eastAsia" w:ascii="仿宋_GB2312"/>
          <w:color w:val="000000" w:themeColor="text1"/>
          <w:sz w:val="32"/>
          <w:szCs w:val="32"/>
          <w14:textFill>
            <w14:solidFill>
              <w14:schemeClr w14:val="tx1"/>
            </w14:solidFill>
          </w14:textFill>
        </w:rPr>
        <w:t>。</w:t>
      </w:r>
    </w:p>
    <w:p w14:paraId="1BE37993">
      <w:pPr>
        <w:numPr>
          <w:ilvl w:val="0"/>
          <w:numId w:val="0"/>
        </w:numPr>
        <w:spacing w:line="600" w:lineRule="exact"/>
        <w:ind w:left="0" w:leftChars="0" w:firstLine="643" w:firstLineChars="200"/>
        <w:outlineLvl w:val="0"/>
        <w:rPr>
          <w:rFonts w:hint="eastAsia" w:ascii="楷体" w:hAnsi="楷体" w:eastAsia="楷体" w:cs="楷体"/>
          <w:b/>
          <w:bCs/>
          <w:kern w:val="28"/>
          <w:sz w:val="32"/>
          <w:szCs w:val="32"/>
          <w:lang w:val="en-US" w:eastAsia="zh-CN" w:bidi="ar-SA"/>
        </w:rPr>
      </w:pPr>
      <w:r>
        <w:rPr>
          <w:rFonts w:hint="eastAsia" w:ascii="楷体" w:hAnsi="楷体" w:eastAsia="楷体" w:cs="楷体"/>
          <w:b/>
          <w:bCs/>
          <w:kern w:val="28"/>
          <w:sz w:val="32"/>
          <w:szCs w:val="32"/>
          <w:lang w:val="en-US" w:eastAsia="zh-CN" w:bidi="ar-SA"/>
        </w:rPr>
        <w:t>（四）项目效益情况。</w:t>
      </w:r>
    </w:p>
    <w:p w14:paraId="1272ED47">
      <w:pPr>
        <w:widowControl/>
        <w:spacing w:line="560" w:lineRule="exact"/>
        <w:ind w:firstLine="640" w:firstLineChars="200"/>
        <w:jc w:val="left"/>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满意度指标分析：人员满意度指标，指标值为</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95%，实际完成100%，完成率10</w:t>
      </w:r>
      <w:r>
        <w:rPr>
          <w:rFonts w:hint="eastAsia" w:ascii="仿宋_GB2312"/>
          <w:color w:val="000000" w:themeColor="text1"/>
          <w:sz w:val="32"/>
          <w:szCs w:val="32"/>
          <w:lang w:val="en-US" w:eastAsia="zh-CN"/>
          <w14:textFill>
            <w14:solidFill>
              <w14:schemeClr w14:val="tx1"/>
            </w14:solidFill>
          </w14:textFill>
        </w:rPr>
        <w:t>5.26</w:t>
      </w:r>
      <w:r>
        <w:rPr>
          <w:rFonts w:hint="eastAsia" w:ascii="仿宋_GB2312"/>
          <w:color w:val="000000" w:themeColor="text1"/>
          <w:sz w:val="32"/>
          <w:szCs w:val="32"/>
          <w14:textFill>
            <w14:solidFill>
              <w14:schemeClr w14:val="tx1"/>
            </w14:solidFill>
          </w14:textFill>
        </w:rPr>
        <w:t>%，偏差率0%。</w:t>
      </w:r>
    </w:p>
    <w:p w14:paraId="2786C465">
      <w:pPr>
        <w:numPr>
          <w:ilvl w:val="0"/>
          <w:numId w:val="1"/>
        </w:numPr>
        <w:spacing w:line="600" w:lineRule="exact"/>
        <w:ind w:firstLine="640" w:firstLineChars="200"/>
        <w:rPr>
          <w:rFonts w:hint="eastAsia" w:ascii="黑体" w:hAnsi="黑体" w:eastAsia="黑体"/>
          <w:sz w:val="32"/>
          <w:szCs w:val="28"/>
        </w:rPr>
      </w:pPr>
      <w:r>
        <w:rPr>
          <w:rFonts w:hint="eastAsia" w:ascii="黑体" w:hAnsi="黑体" w:eastAsia="黑体"/>
          <w:sz w:val="32"/>
          <w:szCs w:val="28"/>
        </w:rPr>
        <w:t>主要经验及做法、存在的问题及原因分析</w:t>
      </w:r>
    </w:p>
    <w:p w14:paraId="5ACFDC17">
      <w:pPr>
        <w:pStyle w:val="3"/>
        <w:keepNext/>
        <w:keepLines/>
        <w:pageBreakBefore w:val="0"/>
        <w:widowControl w:val="0"/>
        <w:kinsoku/>
        <w:wordWrap/>
        <w:overflowPunct/>
        <w:topLinePunct w:val="0"/>
        <w:autoSpaceDE/>
        <w:autoSpaceDN/>
        <w:bidi w:val="0"/>
        <w:adjustRightInd/>
        <w:snapToGrid/>
        <w:spacing w:before="0" w:after="0" w:line="360" w:lineRule="auto"/>
        <w:ind w:firstLine="643" w:firstLineChars="200"/>
        <w:textAlignment w:val="auto"/>
        <w:rPr>
          <w:rFonts w:ascii="楷体_GB2312" w:eastAsia="楷体_GB2312"/>
        </w:rPr>
      </w:pPr>
      <w:bookmarkStart w:id="5" w:name="_Toc68702128"/>
      <w:r>
        <w:rPr>
          <w:rFonts w:hint="eastAsia" w:ascii="楷体_GB2312" w:eastAsia="楷体_GB2312"/>
        </w:rPr>
        <w:t>（一）主要经验及做法</w:t>
      </w:r>
      <w:bookmarkEnd w:id="5"/>
    </w:p>
    <w:p w14:paraId="77FA0354">
      <w:pPr>
        <w:widowControl/>
        <w:spacing w:line="560" w:lineRule="exact"/>
        <w:ind w:firstLine="640" w:firstLineChars="200"/>
        <w:jc w:val="left"/>
        <w:rPr>
          <w:color w:val="000000" w:themeColor="text1"/>
          <w:sz w:val="32"/>
          <w:szCs w:val="32"/>
          <w14:textFill>
            <w14:solidFill>
              <w14:schemeClr w14:val="tx1"/>
            </w14:solidFill>
          </w14:textFill>
        </w:rPr>
      </w:pPr>
      <w:bookmarkStart w:id="6" w:name="_Toc68702129"/>
      <w:r>
        <w:rPr>
          <w:rFonts w:hint="eastAsia"/>
          <w:color w:val="000000" w:themeColor="text1"/>
          <w:sz w:val="32"/>
          <w:szCs w:val="32"/>
          <w14:textFill>
            <w14:solidFill>
              <w14:schemeClr w14:val="tx1"/>
            </w14:solidFill>
          </w14:textFill>
        </w:rPr>
        <w:t>一是领导高度重视，安排专人具体办理；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1636F77C">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ascii="仿宋_GB2312" w:eastAsia="仿宋_GB2312"/>
          <w:b w:val="0"/>
          <w:bCs w:val="0"/>
        </w:rPr>
      </w:pPr>
      <w:r>
        <w:rPr>
          <w:rFonts w:hint="eastAsia" w:ascii="仿宋_GB2312" w:eastAsia="仿宋_GB2312"/>
          <w:b w:val="0"/>
          <w:bCs w:val="0"/>
        </w:rPr>
        <w:t>（</w:t>
      </w:r>
      <w:r>
        <w:rPr>
          <w:rFonts w:hint="eastAsia" w:ascii="楷体_GB2312" w:eastAsia="楷体_GB2312"/>
        </w:rPr>
        <w:t>二）存在的问题及原因分析</w:t>
      </w:r>
      <w:bookmarkEnd w:id="6"/>
    </w:p>
    <w:p w14:paraId="386606F1">
      <w:pPr>
        <w:spacing w:line="560" w:lineRule="exact"/>
        <w:ind w:firstLine="579" w:firstLineChars="181"/>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根据本次绩效评价情况，发现预算绩效申报存在绩效目标设置不科学、不合同理的问题。原因为编制的项目自评指标体系不够精细，绩效目标不具体，绩效目标未完全细化，部分绩效指标不清晰</w:t>
      </w:r>
      <w:r>
        <w:rPr>
          <w:rFonts w:hint="eastAsia"/>
          <w:color w:val="000000" w:themeColor="text1"/>
          <w:sz w:val="32"/>
          <w:szCs w:val="32"/>
          <w:lang w:val="en-US" w:eastAsia="zh-CN"/>
          <w14:textFill>
            <w14:solidFill>
              <w14:schemeClr w14:val="tx1"/>
            </w14:solidFill>
          </w14:textFill>
        </w:rPr>
        <w:t>等</w:t>
      </w:r>
      <w:r>
        <w:rPr>
          <w:rFonts w:hint="eastAsia"/>
          <w:color w:val="000000" w:themeColor="text1"/>
          <w:sz w:val="32"/>
          <w:szCs w:val="32"/>
          <w14:textFill>
            <w14:solidFill>
              <w14:schemeClr w14:val="tx1"/>
            </w14:solidFill>
          </w14:textFill>
        </w:rPr>
        <w:t>。</w:t>
      </w:r>
    </w:p>
    <w:p w14:paraId="2F8191C7">
      <w:pPr>
        <w:numPr>
          <w:ilvl w:val="0"/>
          <w:numId w:val="1"/>
        </w:numPr>
        <w:spacing w:line="600" w:lineRule="exact"/>
        <w:ind w:left="0" w:leftChars="0" w:firstLine="640" w:firstLineChars="200"/>
        <w:rPr>
          <w:rFonts w:hint="eastAsia" w:ascii="黑体" w:hAnsi="黑体" w:eastAsia="黑体"/>
          <w:sz w:val="32"/>
          <w:szCs w:val="28"/>
        </w:rPr>
      </w:pPr>
      <w:r>
        <w:rPr>
          <w:rFonts w:hint="eastAsia" w:ascii="黑体" w:hAnsi="黑体" w:eastAsia="黑体"/>
          <w:sz w:val="32"/>
          <w:szCs w:val="28"/>
        </w:rPr>
        <w:t>有关建议</w:t>
      </w:r>
    </w:p>
    <w:p w14:paraId="0B46A00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sz w:val="32"/>
          <w:szCs w:val="32"/>
          <w:highlight w:val="none"/>
          <w:lang w:val="en-US" w:eastAsia="zh-CN"/>
        </w:rPr>
        <w:t>多</w:t>
      </w:r>
      <w:r>
        <w:rPr>
          <w:rFonts w:hint="eastAsia" w:ascii="仿宋_GB2312" w:hAnsi="仿宋_GB2312" w:cs="仿宋_GB2312"/>
          <w:sz w:val="32"/>
          <w:szCs w:val="32"/>
          <w:highlight w:val="none"/>
          <w:lang w:val="en-US" w:eastAsia="zh-CN"/>
        </w:rPr>
        <w:t>参与</w:t>
      </w:r>
      <w:r>
        <w:rPr>
          <w:rFonts w:hint="eastAsia" w:ascii="仿宋_GB2312" w:hAnsi="仿宋_GB2312" w:eastAsia="仿宋_GB2312" w:cs="仿宋_GB2312"/>
          <w:sz w:val="32"/>
          <w:szCs w:val="32"/>
          <w:highlight w:val="none"/>
          <w:lang w:val="en-US" w:eastAsia="zh-CN"/>
        </w:rPr>
        <w:t>有关绩效管理工作方面的培训</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进一步夯实业务基础，提高我单位绩效人员水平。</w:t>
      </w:r>
    </w:p>
    <w:p w14:paraId="2718AADF">
      <w:pPr>
        <w:spacing w:line="560" w:lineRule="exact"/>
        <w:ind w:firstLine="640" w:firstLineChars="200"/>
        <w:rPr>
          <w:rFonts w:hint="eastAsia" w:ascii="仿宋_GB2312" w:hAnsi="仿宋_GB2312" w:eastAsia="仿宋_GB2312" w:cs="仿宋_GB2312"/>
          <w:sz w:val="36"/>
          <w:szCs w:val="32"/>
        </w:rPr>
      </w:pPr>
      <w:r>
        <w:rPr>
          <w:rFonts w:hint="eastAsia"/>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13986356">
      <w:pPr>
        <w:pStyle w:val="2"/>
        <w:keepNext w:val="0"/>
        <w:keepLines w:val="0"/>
        <w:pageBreakBefore w:val="0"/>
        <w:widowControl/>
        <w:kinsoku/>
        <w:wordWrap/>
        <w:overflowPunct/>
        <w:topLinePunct w:val="0"/>
        <w:autoSpaceDE/>
        <w:autoSpaceDN/>
        <w:bidi w:val="0"/>
        <w:adjustRightInd/>
        <w:snapToGrid/>
        <w:spacing w:before="0" w:line="560" w:lineRule="exact"/>
        <w:ind w:firstLine="640" w:firstLineChars="2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3、</w:t>
      </w:r>
      <w:r>
        <w:rPr>
          <w:rFonts w:hint="eastAsia" w:ascii="仿宋_GB2312" w:hAnsi="仿宋_GB2312" w:eastAsia="仿宋_GB2312" w:cs="仿宋_GB2312"/>
          <w:b w:val="0"/>
          <w:bCs w:val="0"/>
          <w:kern w:val="2"/>
          <w:sz w:val="32"/>
          <w:szCs w:val="32"/>
          <w:highlight w:val="none"/>
          <w:lang w:val="en-US" w:eastAsia="zh-CN" w:bidi="ar-SA"/>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14AF97A">
      <w:pPr>
        <w:numPr>
          <w:ilvl w:val="0"/>
          <w:numId w:val="1"/>
        </w:numPr>
        <w:spacing w:line="600" w:lineRule="exact"/>
        <w:ind w:left="0" w:leftChars="0" w:firstLine="640" w:firstLineChars="200"/>
        <w:rPr>
          <w:rFonts w:hint="eastAsia" w:ascii="黑体" w:hAnsi="黑体" w:eastAsia="黑体"/>
          <w:sz w:val="32"/>
          <w:szCs w:val="28"/>
        </w:rPr>
      </w:pPr>
      <w:r>
        <w:rPr>
          <w:rFonts w:hint="eastAsia" w:ascii="黑体" w:hAnsi="黑体" w:eastAsia="黑体"/>
          <w:sz w:val="32"/>
          <w:szCs w:val="28"/>
        </w:rPr>
        <w:t>其他需要说明的问题</w:t>
      </w:r>
    </w:p>
    <w:p w14:paraId="011BA796">
      <w:pPr>
        <w:pStyle w:val="2"/>
        <w:numPr>
          <w:ilvl w:val="0"/>
          <w:numId w:val="0"/>
        </w:numPr>
        <w:ind w:leftChars="200"/>
        <w:jc w:val="both"/>
        <w:rPr>
          <w:rFonts w:hint="eastAsia" w:eastAsiaTheme="majorEastAsia"/>
          <w:lang w:val="en-US" w:eastAsia="zh-CN"/>
        </w:rPr>
      </w:pP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无</w:t>
      </w:r>
    </w:p>
    <w:sectPr>
      <w:footerReference r:id="rId3" w:type="default"/>
      <w:pgSz w:w="11906" w:h="16838"/>
      <w:pgMar w:top="1928" w:right="1531" w:bottom="1701" w:left="1531" w:header="737" w:footer="851" w:gutter="0"/>
      <w:pgNumType w:fmt="numberInDash"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D182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EFCDF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AEFCDF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5EA19"/>
    <w:multiLevelType w:val="singleLevel"/>
    <w:tmpl w:val="B825EA1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6FD4082"/>
    <w:rsid w:val="128A0FC6"/>
    <w:rsid w:val="1F0B55D3"/>
    <w:rsid w:val="26BF7380"/>
    <w:rsid w:val="34D418C3"/>
    <w:rsid w:val="451E6748"/>
    <w:rsid w:val="45EC0627"/>
    <w:rsid w:val="7C657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jc w:val="left"/>
    </w:pPr>
    <w:rPr>
      <w:rFonts w:eastAsia="宋体"/>
      <w:kern w:val="0"/>
      <w:sz w:val="24"/>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4447</Words>
  <Characters>4671</Characters>
  <Lines>0</Lines>
  <Paragraphs>0</Paragraphs>
  <TotalTime>6</TotalTime>
  <ScaleCrop>false</ScaleCrop>
  <LinksUpToDate>false</LinksUpToDate>
  <CharactersWithSpaces>4682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2024-04-23T03:43:00Z</cp:lastPrinted>
  <dcterms:modified xsi:type="dcterms:W3CDTF">2024-08-20T11:46:18Z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D3E768A1FD634FA49EDA5B57E246A5DC_13</vt:lpwstr>
  </property>
</Properties>
</file>