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72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黑体" w:hAnsi="黑体" w:eastAsia="黑体"/>
        </w:rPr>
      </w:pPr>
    </w:p>
    <w:p w14:paraId="08634F4B">
      <w:pPr>
        <w:jc w:val="center"/>
        <w:outlineLvl w:val="9"/>
        <w:rPr>
          <w:rFonts w:ascii="宋体" w:hAnsi="宋体" w:eastAsia="宋体" w:cs="Arial"/>
          <w:b/>
          <w:bCs/>
          <w:sz w:val="52"/>
          <w:szCs w:val="52"/>
        </w:rPr>
      </w:pPr>
      <w:r>
        <w:rPr>
          <w:rFonts w:hint="eastAsia" w:ascii="宋体" w:hAnsi="宋体" w:eastAsia="宋体" w:cs="Arial"/>
          <w:b/>
          <w:bCs/>
          <w:sz w:val="52"/>
          <w:szCs w:val="52"/>
        </w:rPr>
        <w:t>项目支出绩效评价报告</w:t>
      </w:r>
    </w:p>
    <w:p w14:paraId="16FDAA71">
      <w:pPr>
        <w:jc w:val="center"/>
        <w:rPr>
          <w:rFonts w:ascii="宋体" w:hAnsi="宋体" w:eastAsia="宋体" w:cs="Arial"/>
          <w:b/>
          <w:bCs/>
          <w:sz w:val="48"/>
          <w:szCs w:val="48"/>
        </w:rPr>
      </w:pPr>
    </w:p>
    <w:p w14:paraId="3E5B03C1">
      <w:pPr>
        <w:widowControl/>
        <w:spacing w:line="560" w:lineRule="exact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（2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年度）</w:t>
      </w:r>
    </w:p>
    <w:p w14:paraId="0D7C79FE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292EB64D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2214B6EA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394C5E36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6491929A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042C4287">
      <w:pPr>
        <w:spacing w:line="560" w:lineRule="exact"/>
        <w:ind w:firstLine="321" w:firstLineChars="100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异地灾备服务项目</w:t>
      </w:r>
    </w:p>
    <w:p w14:paraId="12E3437D">
      <w:pPr>
        <w:spacing w:line="560" w:lineRule="exact"/>
        <w:ind w:firstLine="321" w:firstLineChars="100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实施单位（公章）：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自治区重要信息系统灾难备份中心</w:t>
      </w:r>
    </w:p>
    <w:p w14:paraId="7B9EAA33">
      <w:pPr>
        <w:spacing w:line="560" w:lineRule="exact"/>
        <w:ind w:firstLine="321" w:firstLineChars="1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主管部门（公章）：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eastAsia="zh-CN"/>
        </w:rPr>
        <w:t>自治区工业和信息化厅</w:t>
      </w:r>
    </w:p>
    <w:p w14:paraId="44DC784B">
      <w:pPr>
        <w:spacing w:line="560" w:lineRule="exact"/>
        <w:ind w:firstLine="321" w:firstLineChars="100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项目负责人（签章）：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艾克拜尔</w:t>
      </w:r>
    </w:p>
    <w:p w14:paraId="6E464C4C">
      <w:pPr>
        <w:spacing w:line="560" w:lineRule="exact"/>
        <w:ind w:firstLine="321" w:firstLineChars="100"/>
        <w:rPr>
          <w:rFonts w:ascii="宋体" w:hAnsi="宋体" w:eastAsia="宋体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填报时间：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月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日</w:t>
      </w:r>
    </w:p>
    <w:p w14:paraId="24FCD983">
      <w:pPr>
        <w:jc w:val="center"/>
        <w:rPr>
          <w:rFonts w:ascii="宋体" w:hAnsi="宋体" w:eastAsia="宋体" w:cs="Arial"/>
          <w:b/>
          <w:bCs/>
          <w:sz w:val="36"/>
          <w:szCs w:val="36"/>
        </w:rPr>
      </w:pPr>
    </w:p>
    <w:p w14:paraId="42B00DFE">
      <w:pPr>
        <w:widowControl/>
        <w:jc w:val="left"/>
        <w:rPr>
          <w:rFonts w:ascii="宋体" w:hAnsi="宋体" w:eastAsia="宋体" w:cs="Arial"/>
          <w:b/>
          <w:bCs/>
          <w:sz w:val="36"/>
          <w:szCs w:val="36"/>
        </w:rPr>
      </w:pPr>
      <w:r>
        <w:rPr>
          <w:rFonts w:ascii="宋体" w:hAnsi="宋体" w:eastAsia="宋体" w:cs="Arial"/>
          <w:b/>
          <w:bCs/>
          <w:sz w:val="36"/>
          <w:szCs w:val="36"/>
        </w:rPr>
        <w:br w:type="page"/>
      </w:r>
    </w:p>
    <w:p w14:paraId="64229F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firstLine="320" w:firstLineChars="100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Toc29712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一、基本情况</w:t>
      </w:r>
      <w:bookmarkEnd w:id="0"/>
    </w:p>
    <w:p w14:paraId="0218DC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/>
        </w:rPr>
      </w:pPr>
      <w:bookmarkStart w:id="1" w:name="_Toc1393"/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（一）项目概况</w:t>
      </w:r>
      <w:bookmarkEnd w:id="1"/>
    </w:p>
    <w:p w14:paraId="000EF84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2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1.</w:t>
      </w:r>
      <w:r>
        <w:rPr>
          <w:rFonts w:hint="eastAsia" w:ascii="仿宋_GB2312"/>
          <w:sz w:val="32"/>
          <w:szCs w:val="32"/>
        </w:rPr>
        <w:t>项目背景</w:t>
      </w:r>
    </w:p>
    <w:p w14:paraId="6D02C914">
      <w:pPr>
        <w:spacing w:line="600" w:lineRule="exact"/>
        <w:ind w:firstLine="640" w:firstLineChars="200"/>
        <w:rPr>
          <w:rStyle w:val="12"/>
          <w:rFonts w:hint="eastAsia" w:ascii="仿宋_GB2312" w:hAnsi="仿宋" w:eastAsia="仿宋_GB2312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为自治区医疗保障局“医疗保障信息平台”政务外网数据异地备份工作提供基础设施服务，为克拉玛依区政府云桌面服务项目提供基础设施服务，保障用户单位灾备系统安全稳定运行。</w:t>
      </w:r>
    </w:p>
    <w:p w14:paraId="307FC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2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eastAsia="zh-CN"/>
        </w:rPr>
        <w:t>.项目主要内容：</w:t>
      </w:r>
    </w:p>
    <w:p w14:paraId="0F121588">
      <w:pPr>
        <w:spacing w:line="600" w:lineRule="exact"/>
        <w:ind w:firstLine="600" w:firstLineChars="200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/>
          <w:lang w:eastAsia="zh-CN"/>
        </w:rPr>
        <w:t>项目</w:t>
      </w:r>
      <w:r>
        <w:rPr>
          <w:rFonts w:hint="eastAsia" w:ascii="仿宋_GB2312"/>
        </w:rPr>
        <w:t>主要内容：</w:t>
      </w:r>
      <w:r>
        <w:rPr>
          <w:rFonts w:hint="eastAsia" w:ascii="仿宋_GB2312"/>
          <w:lang w:val="en-US" w:eastAsia="zh-CN"/>
        </w:rPr>
        <w:t>为</w:t>
      </w:r>
      <w:r>
        <w:rPr>
          <w:rStyle w:val="12"/>
          <w:rFonts w:hint="eastAsia" w:ascii="仿宋_GB2312" w:hAnsi="仿宋" w:eastAsia="仿宋_GB2312"/>
          <w:b w:val="0"/>
          <w:spacing w:val="-4"/>
          <w:sz w:val="32"/>
          <w:szCs w:val="32"/>
        </w:rPr>
        <w:t>保障用户单位灾备系统安全稳定运行，结合</w:t>
      </w:r>
      <w:r>
        <w:rPr>
          <w:rStyle w:val="12"/>
          <w:rFonts w:hint="eastAsia" w:ascii="仿宋_GB2312" w:hAnsi="仿宋"/>
          <w:b w:val="0"/>
          <w:spacing w:val="-4"/>
          <w:sz w:val="32"/>
          <w:szCs w:val="32"/>
          <w:lang w:val="en-US" w:eastAsia="zh-CN"/>
        </w:rPr>
        <w:t>自治区重要信息系统灾难备份中心</w:t>
      </w:r>
      <w:r>
        <w:rPr>
          <w:rStyle w:val="12"/>
          <w:rFonts w:hint="eastAsia" w:ascii="仿宋_GB2312" w:hAnsi="仿宋" w:eastAsia="仿宋_GB2312"/>
          <w:b w:val="0"/>
          <w:spacing w:val="-4"/>
          <w:sz w:val="32"/>
          <w:szCs w:val="32"/>
        </w:rPr>
        <w:t>工作计划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纳入20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val="en-US" w:eastAsia="zh-CN"/>
        </w:rPr>
        <w:t>3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年部门预算，申报</w:t>
      </w:r>
      <w:r>
        <w:rPr>
          <w:rStyle w:val="12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val="en-US" w:eastAsia="zh-CN"/>
        </w:rPr>
        <w:t>2023年异地灾备服务项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目预算</w:t>
      </w:r>
      <w:r>
        <w:rPr>
          <w:rStyle w:val="12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val="en-US" w:eastAsia="zh-CN"/>
        </w:rPr>
        <w:t>83.07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万元，</w:t>
      </w:r>
      <w:r>
        <w:rPr>
          <w:rStyle w:val="12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eastAsia="zh-CN"/>
        </w:rPr>
        <w:t>用于</w:t>
      </w:r>
      <w:r>
        <w:rPr>
          <w:rFonts w:hint="eastAsia" w:ascii="仿宋_GB2312"/>
          <w:color w:val="auto"/>
          <w:sz w:val="32"/>
          <w:szCs w:val="32"/>
          <w:lang w:eastAsia="zh-CN"/>
        </w:rPr>
        <w:t>列支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异地灾备中心</w:t>
      </w:r>
      <w:r>
        <w:rPr>
          <w:rFonts w:hint="eastAsia" w:ascii="仿宋_GB2312"/>
          <w:color w:val="auto"/>
          <w:sz w:val="32"/>
          <w:szCs w:val="32"/>
        </w:rPr>
        <w:t>基础设施和技术设施运行维护支出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/>
          <w:color w:val="auto"/>
          <w:sz w:val="32"/>
          <w:szCs w:val="32"/>
        </w:rPr>
        <w:t>工作经费。</w:t>
      </w:r>
    </w:p>
    <w:p w14:paraId="4C80890A">
      <w:pPr>
        <w:spacing w:line="600" w:lineRule="exact"/>
        <w:ind w:firstLine="600" w:firstLineChars="200"/>
        <w:rPr>
          <w:rStyle w:val="12"/>
          <w:rFonts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/>
          <w:lang w:eastAsia="zh-CN"/>
        </w:rPr>
        <w:t>项目</w:t>
      </w:r>
      <w:r>
        <w:rPr>
          <w:rFonts w:hint="eastAsia" w:ascii="仿宋_GB2312"/>
        </w:rPr>
        <w:t>实施情况：</w:t>
      </w:r>
      <w:r>
        <w:rPr>
          <w:rFonts w:eastAsia="仿宋_GB2312"/>
          <w:sz w:val="32"/>
          <w:szCs w:val="32"/>
        </w:rPr>
        <w:t>项目目前已经完成实际设立的目标，项目在实施过程中严格按照目标设立的各阶段任务进行开展工作，在前期立项过程中严格把质量关，建立安全防护机制，保证项目实施各阶段安全顺利进行。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 w14:paraId="2BD0D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outlineLvl w:val="2"/>
        <w:rPr>
          <w:rFonts w:ascii="仿宋_GB2312"/>
        </w:rPr>
      </w:pP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、资金投入和使用情况</w:t>
      </w:r>
    </w:p>
    <w:p w14:paraId="20D6D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资金投入情况</w:t>
      </w:r>
    </w:p>
    <w:p w14:paraId="1D5CD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>该项目</w:t>
      </w:r>
      <w:r>
        <w:rPr>
          <w:rFonts w:hint="eastAsia"/>
          <w:color w:val="auto"/>
          <w:lang w:eastAsia="zh-CN"/>
        </w:rPr>
        <w:t>年初</w:t>
      </w:r>
      <w:r>
        <w:rPr>
          <w:rFonts w:hint="eastAsia"/>
          <w:color w:val="auto"/>
        </w:rPr>
        <w:t>预算数</w:t>
      </w:r>
      <w:r>
        <w:rPr>
          <w:rFonts w:hint="eastAsia"/>
          <w:color w:val="auto"/>
          <w:lang w:val="en-US" w:eastAsia="zh-CN"/>
        </w:rPr>
        <w:t>83.07万元，全年预算数83.07</w:t>
      </w:r>
      <w:r>
        <w:rPr>
          <w:rFonts w:hint="eastAsia"/>
          <w:color w:val="auto"/>
        </w:rPr>
        <w:t>万元，实际总投入</w:t>
      </w:r>
      <w:r>
        <w:rPr>
          <w:rFonts w:hint="eastAsia"/>
          <w:color w:val="auto"/>
          <w:lang w:val="en-US" w:eastAsia="zh-CN"/>
        </w:rPr>
        <w:t>83.07</w:t>
      </w:r>
      <w:r>
        <w:rPr>
          <w:rFonts w:hint="eastAsia"/>
          <w:color w:val="auto"/>
        </w:rPr>
        <w:t>万元，该项目资金已全部落实到位，资金来源为</w:t>
      </w:r>
      <w:r>
        <w:rPr>
          <w:rFonts w:hint="eastAsia"/>
          <w:color w:val="auto"/>
          <w:lang w:val="en-US" w:eastAsia="zh-CN"/>
        </w:rPr>
        <w:t>其他资金</w:t>
      </w:r>
      <w:r>
        <w:rPr>
          <w:rFonts w:hint="eastAsia"/>
          <w:color w:val="auto"/>
        </w:rPr>
        <w:t>。</w:t>
      </w:r>
    </w:p>
    <w:p w14:paraId="697063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资金使用情况</w:t>
      </w:r>
    </w:p>
    <w:p w14:paraId="391347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 xml:space="preserve">    </w:t>
      </w:r>
      <w:r>
        <w:rPr>
          <w:rFonts w:hint="eastAsia"/>
          <w:color w:val="auto"/>
        </w:rPr>
        <w:t>该项目</w:t>
      </w:r>
      <w:r>
        <w:rPr>
          <w:rFonts w:hint="eastAsia"/>
          <w:color w:val="auto"/>
          <w:lang w:eastAsia="zh-CN"/>
        </w:rPr>
        <w:t>为</w:t>
      </w:r>
      <w:r>
        <w:rPr>
          <w:rFonts w:hint="eastAsia"/>
          <w:color w:val="auto"/>
          <w:lang w:val="en-US" w:eastAsia="zh-CN"/>
        </w:rPr>
        <w:t>年初</w:t>
      </w:r>
      <w:r>
        <w:rPr>
          <w:rFonts w:hint="eastAsia"/>
          <w:color w:val="auto"/>
        </w:rPr>
        <w:t>预算</w:t>
      </w:r>
      <w:r>
        <w:rPr>
          <w:rFonts w:hint="eastAsia"/>
          <w:color w:val="auto"/>
          <w:lang w:eastAsia="zh-CN"/>
        </w:rPr>
        <w:t>项目</w:t>
      </w:r>
      <w:r>
        <w:rPr>
          <w:rFonts w:hint="eastAsia"/>
          <w:color w:val="auto"/>
        </w:rPr>
        <w:t>，全年预算数</w:t>
      </w:r>
      <w:r>
        <w:rPr>
          <w:rFonts w:hint="eastAsia"/>
          <w:color w:val="auto"/>
          <w:lang w:val="en-US" w:eastAsia="zh-CN"/>
        </w:rPr>
        <w:t>83.07</w:t>
      </w:r>
      <w:r>
        <w:rPr>
          <w:rFonts w:hint="eastAsia"/>
          <w:color w:val="auto"/>
        </w:rPr>
        <w:t>万元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全年执行数</w:t>
      </w:r>
      <w:r>
        <w:rPr>
          <w:rFonts w:hint="eastAsia"/>
          <w:color w:val="auto"/>
          <w:lang w:val="en-US" w:eastAsia="zh-CN"/>
        </w:rPr>
        <w:t>83.07</w:t>
      </w:r>
      <w:r>
        <w:rPr>
          <w:rFonts w:hint="eastAsia"/>
          <w:color w:val="auto"/>
        </w:rPr>
        <w:t>万元，预算执行率为</w:t>
      </w:r>
      <w:r>
        <w:rPr>
          <w:rFonts w:hint="eastAsia"/>
          <w:color w:val="auto"/>
          <w:lang w:val="en-US" w:eastAsia="zh-CN"/>
        </w:rPr>
        <w:t>100</w:t>
      </w:r>
      <w:r>
        <w:rPr>
          <w:rFonts w:hint="eastAsia"/>
          <w:color w:val="auto"/>
        </w:rPr>
        <w:t>%</w:t>
      </w:r>
      <w:r>
        <w:rPr>
          <w:rFonts w:hint="eastAsia"/>
          <w:color w:val="auto"/>
          <w:lang w:eastAsia="zh-CN"/>
        </w:rPr>
        <w:t>，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10"/>
          <w:sz w:val="32"/>
          <w:szCs w:val="32"/>
          <w:lang w:val="en-US" w:eastAsia="zh-CN" w:bidi="ar-SA"/>
        </w:rPr>
        <w:t>资金主要用于支付异地灾备中心水费0.23万元、电费64.48万元、维修（护）费4.41万元、委托业务费11.96万元、邮电费0.44万元、办公费等1.55万元。</w:t>
      </w:r>
    </w:p>
    <w:p w14:paraId="6C12A959">
      <w:pPr>
        <w:spacing w:line="540" w:lineRule="exact"/>
        <w:ind w:firstLine="567"/>
        <w:outlineLvl w:val="1"/>
        <w:rPr>
          <w:rStyle w:val="12"/>
          <w:rFonts w:ascii="仿宋" w:hAnsi="仿宋" w:eastAsia="仿宋"/>
          <w:b w:val="0"/>
          <w:bCs w:val="0"/>
          <w:spacing w:val="-4"/>
          <w:sz w:val="32"/>
          <w:szCs w:val="32"/>
        </w:rPr>
      </w:pPr>
      <w:bookmarkStart w:id="2" w:name="_Toc24324"/>
      <w:r>
        <w:rPr>
          <w:rStyle w:val="12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  <w:t>（二）项目绩效目标</w:t>
      </w:r>
      <w:bookmarkEnd w:id="2"/>
    </w:p>
    <w:p w14:paraId="7118A9C8">
      <w:pPr>
        <w:widowControl/>
        <w:spacing w:line="540" w:lineRule="exact"/>
        <w:ind w:firstLine="627" w:firstLineChars="200"/>
        <w:jc w:val="left"/>
        <w:outlineLvl w:val="2"/>
        <w:rPr>
          <w:rStyle w:val="12"/>
          <w:rFonts w:ascii="仿宋" w:hAnsi="仿宋" w:eastAsia="仿宋" w:cs="仿宋_GB2312"/>
          <w:b w:val="0"/>
          <w:bCs w:val="0"/>
          <w:spacing w:val="-4"/>
          <w:sz w:val="32"/>
          <w:szCs w:val="32"/>
        </w:rPr>
      </w:pPr>
      <w:r>
        <w:rPr>
          <w:rStyle w:val="12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1</w:t>
      </w:r>
      <w:r>
        <w:rPr>
          <w:rStyle w:val="12"/>
          <w:rFonts w:hint="eastAsia" w:ascii="仿宋_GB2312" w:hAnsi="仿宋_GB2312" w:eastAsia="仿宋_GB2312" w:cs="仿宋_GB2312"/>
          <w:b/>
          <w:bCs/>
          <w:spacing w:val="-4"/>
          <w:sz w:val="32"/>
          <w:szCs w:val="32"/>
          <w:lang w:eastAsia="zh-CN"/>
        </w:rPr>
        <w:t>、</w:t>
      </w:r>
      <w:r>
        <w:rPr>
          <w:rStyle w:val="12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总</w:t>
      </w:r>
      <w:r>
        <w:rPr>
          <w:rStyle w:val="12"/>
          <w:rFonts w:hint="eastAsia" w:ascii="仿宋_GB2312" w:hAnsi="仿宋_GB2312" w:cs="仿宋_GB2312"/>
          <w:b/>
          <w:bCs/>
          <w:spacing w:val="-4"/>
          <w:sz w:val="32"/>
          <w:szCs w:val="32"/>
          <w:lang w:eastAsia="zh-CN"/>
        </w:rPr>
        <w:t>体</w:t>
      </w:r>
      <w:r>
        <w:rPr>
          <w:rStyle w:val="12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目标</w:t>
      </w:r>
    </w:p>
    <w:p w14:paraId="0A980B9E">
      <w:pPr>
        <w:widowControl/>
        <w:spacing w:line="540" w:lineRule="exact"/>
        <w:ind w:firstLine="640" w:firstLineChars="200"/>
        <w:jc w:val="left"/>
        <w:outlineLvl w:val="2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为自治区医疗保障局、克拉玛依区政府提供异地灾难备份服务，提供24×7的恒温恒湿环境，双路高压供电，后备柴油发电机，独立ups不间断电源保障和紧急状况下第一时间的响应与支持，高灵敏度的烟雾探测系统和气体灭火系统组成的消防系统，从而确保各用户单位灾备系统安全稳定运行。</w:t>
      </w:r>
    </w:p>
    <w:p w14:paraId="5CFB2388">
      <w:pPr>
        <w:widowControl/>
        <w:spacing w:line="540" w:lineRule="exact"/>
        <w:ind w:firstLine="627" w:firstLineChars="200"/>
        <w:jc w:val="left"/>
        <w:outlineLvl w:val="2"/>
        <w:rPr>
          <w:rStyle w:val="12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Style w:val="12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2、阶段性目标</w:t>
      </w:r>
    </w:p>
    <w:p w14:paraId="63A6F163">
      <w:pPr>
        <w:spacing w:line="54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_Toc32408"/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根据工作计划，逐月开展，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自治区医疗保障局、克拉玛依区政府提供异地灾难备份服务，提供24×7的恒温恒湿环境，双路高压供电，后备柴油发电机，独立ups不间断电源保障和紧急状况下第一时间的响应与支持，高灵敏度的烟雾探测系统和气体灭火系统组成的消防系统，从而确保各用户单位灾备系统安全稳定运行。</w:t>
      </w:r>
    </w:p>
    <w:p w14:paraId="5D0DDFC3">
      <w:pPr>
        <w:spacing w:line="540" w:lineRule="exact"/>
        <w:ind w:firstLine="624" w:firstLineChars="200"/>
        <w:outlineLvl w:val="0"/>
        <w:rPr>
          <w:rStyle w:val="12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2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  <w:bookmarkEnd w:id="3"/>
    </w:p>
    <w:p w14:paraId="70CB0087">
      <w:pPr>
        <w:widowControl/>
        <w:spacing w:line="540" w:lineRule="exact"/>
        <w:ind w:firstLine="627" w:firstLineChars="200"/>
        <w:jc w:val="left"/>
        <w:outlineLvl w:val="1"/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</w:pPr>
      <w:bookmarkStart w:id="4" w:name="_Toc23205"/>
      <w:r>
        <w:rPr>
          <w:rStyle w:val="12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绩效评价目的、对象和范围</w:t>
      </w:r>
      <w:bookmarkEnd w:id="4"/>
    </w:p>
    <w:p w14:paraId="779444FA">
      <w:pPr>
        <w:widowControl/>
        <w:spacing w:line="540" w:lineRule="exact"/>
        <w:ind w:firstLine="643" w:firstLineChars="200"/>
        <w:jc w:val="left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1、绩效评价目的：</w:t>
      </w:r>
    </w:p>
    <w:p w14:paraId="713FF3C5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 w14:paraId="7B5A4BF5">
      <w:pPr>
        <w:numPr>
          <w:ilvl w:val="0"/>
          <w:numId w:val="2"/>
        </w:num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项目在实施前向项目负责人提供财政支出绩效方面的资金管理信息，促进项目支出严格按照资金管理规定进行。</w:t>
      </w:r>
    </w:p>
    <w:p w14:paraId="3CDE8D4F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（2）项目绩效管理财政支出运行提供及时、有效的信息。</w:t>
      </w:r>
    </w:p>
    <w:p w14:paraId="6722F973">
      <w:pPr>
        <w:pStyle w:val="13"/>
        <w:spacing w:line="560" w:lineRule="exact"/>
        <w:ind w:firstLine="640" w:firstLineChars="200"/>
        <w:rPr>
          <w:rFonts w:eastAsia="方正仿宋_GBK" w:cs="方正仿宋_GBK"/>
          <w:sz w:val="32"/>
          <w:szCs w:val="32"/>
        </w:rPr>
      </w:pPr>
      <w:r>
        <w:rPr>
          <w:rFonts w:eastAsia="仿宋_GB2312"/>
          <w:sz w:val="32"/>
          <w:szCs w:val="32"/>
        </w:rPr>
        <w:t>综合来看，通过开展有效的财政支出绩效评价管理，</w:t>
      </w:r>
      <w:r>
        <w:rPr>
          <w:rFonts w:hint="eastAsia" w:eastAsia="仿宋_GB2312"/>
          <w:sz w:val="32"/>
          <w:szCs w:val="32"/>
        </w:rPr>
        <w:t>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</w:p>
    <w:p w14:paraId="76294CF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2、绩效评价对象：</w:t>
      </w:r>
    </w:p>
    <w:p w14:paraId="160D9981">
      <w:pPr>
        <w:tabs>
          <w:tab w:val="left" w:pos="7500"/>
        </w:tabs>
        <w:spacing w:line="540" w:lineRule="exact"/>
        <w:ind w:firstLine="624" w:firstLineChars="200"/>
      </w:pPr>
      <w:r>
        <w:rPr>
          <w:rStyle w:val="12"/>
          <w:rFonts w:hint="eastAsia" w:ascii="仿宋_GB2312" w:hAnsi="仿宋" w:eastAsia="仿宋_GB2312"/>
          <w:b w:val="0"/>
          <w:spacing w:val="-4"/>
          <w:sz w:val="32"/>
          <w:szCs w:val="32"/>
        </w:rPr>
        <w:t>保障用户单位灾备系统安全稳定运行</w:t>
      </w:r>
      <w:r>
        <w:rPr>
          <w:rStyle w:val="12"/>
          <w:rFonts w:hint="eastAsia" w:ascii="仿宋_GB2312" w:hAnsi="仿宋"/>
          <w:b w:val="0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异地灾备中心</w:t>
      </w:r>
      <w:r>
        <w:rPr>
          <w:rFonts w:hint="eastAsia" w:ascii="仿宋_GB2312" w:hAnsi="Times New Roman" w:cs="Times New Roman"/>
        </w:rPr>
        <w:t>基础设施和技术设施运行维护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做好灾备项目电力、暖通、消防、IT等各系统日常、月度、季度巡检工作，及时处理发现故障，确保各系统安全稳定运行。</w:t>
      </w:r>
    </w:p>
    <w:p w14:paraId="2E442F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3、绩效评价范围：</w:t>
      </w:r>
    </w:p>
    <w:p w14:paraId="2946BC4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5" w:name="_Toc5900"/>
      <w:r>
        <w:rPr>
          <w:rFonts w:hint="eastAsia" w:ascii="仿宋_GB2312" w:hAnsi="仿宋_GB2312" w:eastAsia="仿宋_GB2312" w:cs="仿宋_GB2312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异地灾备收入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项目进行评价，评价核心为专项资金的支出完成情况和效果。</w:t>
      </w:r>
    </w:p>
    <w:p w14:paraId="2B0F52EB">
      <w:pPr>
        <w:widowControl/>
        <w:spacing w:line="540" w:lineRule="exact"/>
        <w:ind w:firstLine="643" w:firstLineChars="200"/>
        <w:jc w:val="left"/>
        <w:outlineLvl w:val="1"/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二）绩效评价原则、评价指标体系（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eastAsia="zh-CN"/>
        </w:rPr>
        <w:t>详情见表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）、评价方法、评价标准</w:t>
      </w:r>
      <w:bookmarkEnd w:id="5"/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eastAsia="zh-CN"/>
        </w:rPr>
        <w:t>。</w:t>
      </w:r>
    </w:p>
    <w:p w14:paraId="20A5CE13">
      <w:pPr>
        <w:spacing w:line="600" w:lineRule="exact"/>
        <w:ind w:firstLine="640"/>
        <w:outlineLvl w:val="2"/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  <w:t>1、绩效评价原则：</w:t>
      </w:r>
    </w:p>
    <w:p w14:paraId="7F0FB47E">
      <w:pPr>
        <w:spacing w:line="56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本次项目绩效评价遵循以下基本原则：</w:t>
      </w:r>
    </w:p>
    <w:p w14:paraId="4019D1AE">
      <w:pPr>
        <w:pStyle w:val="2"/>
        <w:spacing w:before="0" w:after="0" w:line="56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07EE43B4">
      <w:pPr>
        <w:pStyle w:val="2"/>
        <w:spacing w:before="0" w:after="0" w:line="56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DB938FE">
      <w:pPr>
        <w:pStyle w:val="2"/>
        <w:spacing w:before="0" w:after="0" w:line="56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10AA221F">
      <w:pPr>
        <w:pStyle w:val="2"/>
        <w:spacing w:before="0" w:after="0" w:line="56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（4）公开透明。绩效评价结果应依法依规公开，并自觉接受社会监督。</w:t>
      </w:r>
    </w:p>
    <w:p w14:paraId="044E030F">
      <w:pPr>
        <w:spacing w:line="360" w:lineRule="auto"/>
        <w:outlineLvl w:val="2"/>
        <w:rPr>
          <w:b/>
          <w:bCs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/>
          <w:bCs/>
        </w:rPr>
        <w:t>2、评价指标体系</w:t>
      </w:r>
    </w:p>
    <w:p w14:paraId="50AB0341">
      <w:pPr>
        <w:spacing w:line="560" w:lineRule="exact"/>
        <w:rPr>
          <w:color w:val="000000"/>
          <w:spacing w:val="17"/>
          <w:sz w:val="32"/>
          <w:szCs w:val="32"/>
        </w:rPr>
      </w:pPr>
      <w:r>
        <w:rPr>
          <w:rFonts w:hint="eastAsia"/>
          <w:color w:val="000000"/>
          <w:spacing w:val="17"/>
          <w:sz w:val="32"/>
          <w:szCs w:val="32"/>
          <w:lang w:val="en-US" w:eastAsia="zh-CN"/>
        </w:rPr>
        <w:t xml:space="preserve">   </w:t>
      </w:r>
      <w:r>
        <w:rPr>
          <w:rFonts w:eastAsia="仿宋_GB2312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7705DB82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（1）确定评价指标</w:t>
      </w:r>
    </w:p>
    <w:p w14:paraId="2B960E15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46362B10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（2）确定权重</w:t>
      </w:r>
    </w:p>
    <w:p w14:paraId="0A34D58B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5F2E1ADD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（3）确定指标标准值</w:t>
      </w:r>
    </w:p>
    <w:p w14:paraId="182BA93E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19FB5D3E">
      <w:pPr>
        <w:pStyle w:val="2"/>
        <w:spacing w:before="0" w:after="0" w:line="560" w:lineRule="exact"/>
        <w:ind w:firstLine="708" w:firstLineChars="200"/>
        <w:jc w:val="both"/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 w14:paraId="132793B3">
      <w:pPr>
        <w:pStyle w:val="2"/>
        <w:widowControl w:val="0"/>
        <w:spacing w:before="0" w:after="0" w:line="560" w:lineRule="exact"/>
        <w:ind w:firstLine="708" w:firstLineChars="200"/>
        <w:jc w:val="both"/>
        <w:outlineLvl w:val="9"/>
        <w:rPr>
          <w:rFonts w:ascii="Times New Roman" w:hAnsi="Times New Roman" w:eastAsia="仿宋_GB2312"/>
          <w:b w:val="0"/>
          <w:bCs w:val="0"/>
          <w:color w:val="000000"/>
          <w:spacing w:val="17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</w:rPr>
        <w:t>具体评价指标体系详情见附件1</w:t>
      </w:r>
    </w:p>
    <w:p w14:paraId="770A4D06">
      <w:pPr>
        <w:spacing w:before="0" w:after="0" w:line="240" w:lineRule="auto"/>
        <w:jc w:val="center"/>
        <w:outlineLvl w:val="9"/>
        <w:rPr>
          <w:rStyle w:val="12"/>
          <w:rFonts w:ascii="宋体" w:hAnsi="宋体" w:eastAsia="宋体" w:cs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项目支出绩效评价指标体系</w:t>
      </w:r>
    </w:p>
    <w:tbl>
      <w:tblPr>
        <w:tblStyle w:val="10"/>
        <w:tblW w:w="692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1202"/>
        <w:gridCol w:w="2420"/>
        <w:gridCol w:w="949"/>
        <w:gridCol w:w="1187"/>
      </w:tblGrid>
      <w:tr w14:paraId="1C249E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tblHeader/>
          <w:jc w:val="center"/>
        </w:trPr>
        <w:tc>
          <w:tcPr>
            <w:tcW w:w="1167" w:type="dxa"/>
            <w:shd w:val="clear" w:color="auto" w:fill="FFFFFF"/>
            <w:vAlign w:val="center"/>
          </w:tcPr>
          <w:p w14:paraId="45C397E7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02" w:type="dxa"/>
            <w:shd w:val="clear" w:color="auto" w:fill="FFFFFF"/>
            <w:vAlign w:val="center"/>
          </w:tcPr>
          <w:p w14:paraId="7AD8B657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32632415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252399A9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1B2AE8C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14:paraId="11D8AA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4F9FA06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决策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51D854C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项目立项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27B10DA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立项依据充分性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0B4E7F74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2E7B1825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14:paraId="7BA36A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11FDE32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6B8DCE1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67D76D7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立项程序规范性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6773A6CE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5E3601A5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14:paraId="607D26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152E19D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4751BB8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210F2A7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绩效目标合理性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7AAD72B4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09B259C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1CBEDE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365D816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03385A3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72BA1F2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绩效指标明确性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66B6CE20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21BEFECF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44E69A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497514C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133098B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资金投入</w:t>
            </w:r>
          </w:p>
          <w:p w14:paraId="44FD842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7FDD3C9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预算编制科学性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6573F196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2711D2BE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6D7F97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6EEFB1E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4197202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0631F69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资金分配合理性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4704EBFE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0B41915A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3A7FB5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15B6ADE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372555B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过程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076E143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资金管理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4F5E10A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资金到位率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70564B10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44FE9A10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68CC22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4EF8384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177C5C6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58DEAC8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预算执行率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62B5C6E2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555E6922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</w:tr>
      <w:tr w14:paraId="2454A6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0B97496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408EBBD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70782D9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资金使用合规性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0DE6CA3B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12D21395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7A11B5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69ACBDD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27AD52A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组织实施</w:t>
            </w:r>
          </w:p>
          <w:p w14:paraId="4F79A15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1CCEE7C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管理制度健全性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78B860F1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3945CDBB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760EDE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3D31F4D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2518A81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74D2E20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制度执行有效性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249E6287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60731177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4200CB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3923F7E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202" w:type="dxa"/>
            <w:shd w:val="clear" w:color="auto" w:fill="FFFFFF"/>
            <w:vAlign w:val="center"/>
          </w:tcPr>
          <w:p w14:paraId="53380CA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23B9600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实际完成率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13CBFCA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5FC003DD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768AD8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38B690A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2A01752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133BC3F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质量达标率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23B7324A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55B0AB4C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7AEEF3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2BE08EB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46C7282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1B8B542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完成及时性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73A77D82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14218164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6748A0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2DDDEFE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6069C49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2889FB7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成本节约率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486E87D6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755D3AE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3BF174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6E7F64E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效益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535FE65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项目效益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606832B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7B619A3A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0ECF6B55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48E09C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2C1511C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70E01AC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6E0420F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4FB3CAC2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789E33E2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</w:tbl>
    <w:p w14:paraId="2D09B96A"/>
    <w:p w14:paraId="5DFDB188">
      <w:pPr>
        <w:pStyle w:val="2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3、绩效评价方法</w:t>
      </w:r>
    </w:p>
    <w:p w14:paraId="6E03CFA0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521688B0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20C98B62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（1）比较法</w:t>
      </w:r>
    </w:p>
    <w:p w14:paraId="0E1A1834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通过对绩效目标与实施效果、历史与当期情况，综合分析绩效目标实现程度。对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最终验收情况与年度绩效目标对比、预算资金执行情况等相关因素进行比较。</w:t>
      </w:r>
    </w:p>
    <w:p w14:paraId="7E2D9253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（2）因素分析法</w:t>
      </w:r>
    </w:p>
    <w:p w14:paraId="72F61238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通过综合分析影响绩效目标实现、实施效果的内外因素，评价绩效目标实现程度。通过对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的开展情况、项目产出数量、成本控制、资金拨付文件及自评报告等相关资料的收集和审核，综合分析各因素对绩效目标实现的影响。</w:t>
      </w:r>
    </w:p>
    <w:p w14:paraId="53A14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4、评价标准</w:t>
      </w:r>
    </w:p>
    <w:p w14:paraId="4B42A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绩效评价标准通常包括计划标准、行业标准、历史标准等，用于对绩效指标完成情况进行比较。本次评价主要采用了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计划标准</w:t>
      </w:r>
      <w:r>
        <w:rPr>
          <w:rFonts w:hint="eastAsia" w:ascii="仿宋_GB2312" w:hAnsi="仿宋_GB2312" w:eastAsia="仿宋_GB2312" w:cs="仿宋_GB2312"/>
          <w:b/>
          <w:color w:val="333333"/>
          <w:sz w:val="32"/>
          <w:szCs w:val="32"/>
        </w:rPr>
        <w:t>。</w:t>
      </w:r>
    </w:p>
    <w:p w14:paraId="21E51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6" w:name="_Toc17882"/>
      <w:bookmarkStart w:id="7" w:name="_Toc31464"/>
      <w:bookmarkStart w:id="8" w:name="_Toc11614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计划标准：指以预先制定的目标、计划、预算、定额等作为评价标准。</w:t>
      </w:r>
      <w:bookmarkEnd w:id="6"/>
      <w:bookmarkEnd w:id="7"/>
    </w:p>
    <w:p w14:paraId="1E301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9" w:name="_Toc2318"/>
      <w:bookmarkStart w:id="10" w:name="_Toc5633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行业标准：指参照国家公布的行业指标数据制定的评价标准。</w:t>
      </w:r>
      <w:bookmarkEnd w:id="9"/>
      <w:bookmarkEnd w:id="10"/>
    </w:p>
    <w:p w14:paraId="53C34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11" w:name="_Toc16028"/>
      <w:bookmarkStart w:id="12" w:name="_Toc43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历史标准：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指参照历史数据制定的评价标准，为体现绩效改进的原则，在可实现的条件下应当确定相对较高的评价标准。</w:t>
      </w:r>
      <w:bookmarkEnd w:id="11"/>
      <w:bookmarkEnd w:id="12"/>
    </w:p>
    <w:p w14:paraId="5265C5AE">
      <w:pPr>
        <w:widowControl/>
        <w:spacing w:line="540" w:lineRule="exact"/>
        <w:ind w:firstLine="627" w:firstLineChars="200"/>
        <w:jc w:val="left"/>
        <w:outlineLvl w:val="1"/>
        <w:rPr>
          <w:rStyle w:val="12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2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（三）绩效评价工作过程。</w:t>
      </w:r>
      <w:bookmarkEnd w:id="8"/>
    </w:p>
    <w:p w14:paraId="77E370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1.</w:t>
      </w:r>
      <w:r>
        <w:rPr>
          <w:rFonts w:hint="eastAsia" w:eastAsia="仿宋_GB2312"/>
          <w:bCs/>
          <w:sz w:val="32"/>
          <w:szCs w:val="32"/>
        </w:rPr>
        <w:t>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6F3D04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2.</w:t>
      </w:r>
      <w:r>
        <w:rPr>
          <w:rFonts w:hint="eastAsia" w:eastAsia="仿宋_GB2312"/>
          <w:bCs/>
          <w:sz w:val="32"/>
          <w:szCs w:val="32"/>
        </w:rPr>
        <w:t>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 w14:paraId="2FC771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3.</w:t>
      </w:r>
      <w:r>
        <w:rPr>
          <w:rFonts w:hint="eastAsia" w:eastAsia="仿宋_GB2312"/>
          <w:bCs/>
          <w:sz w:val="32"/>
          <w:szCs w:val="32"/>
        </w:rPr>
        <w:t>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4CCCD311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13" w:name="_Toc4162"/>
      <w:r>
        <w:rPr>
          <w:rFonts w:hint="eastAsia" w:ascii="黑体" w:hAnsi="黑体" w:eastAsia="黑体" w:cs="黑体"/>
          <w:sz w:val="32"/>
          <w:szCs w:val="32"/>
        </w:rPr>
        <w:t>综合评价情况及评价结论</w:t>
      </w:r>
      <w:bookmarkEnd w:id="13"/>
    </w:p>
    <w:p w14:paraId="234A9EA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bookmarkStart w:id="14" w:name="_Toc7352"/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（一）评价情况</w:t>
      </w:r>
      <w:bookmarkEnd w:id="14"/>
    </w:p>
    <w:p w14:paraId="5E07B02F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</w:p>
    <w:p w14:paraId="0406BBB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楷体_GB2312" w:cs="Times New Roman"/>
          <w:lang w:val="en-US" w:eastAsia="zh-CN"/>
        </w:rPr>
      </w:pPr>
      <w:r>
        <w:rPr>
          <w:rFonts w:hint="eastAsia" w:ascii="Times New Roman" w:hAnsi="Times New Roman" w:eastAsia="楷体_GB2312" w:cs="Times New Roman"/>
          <w:lang w:eastAsia="zh-CN"/>
        </w:rPr>
        <w:t>（</w:t>
      </w:r>
      <w:r>
        <w:rPr>
          <w:rFonts w:hint="eastAsia" w:ascii="Times New Roman" w:hAnsi="Times New Roman" w:eastAsia="楷体_GB2312" w:cs="Times New Roman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lang w:eastAsia="zh-CN"/>
        </w:rPr>
        <w:t>）</w:t>
      </w:r>
      <w:r>
        <w:rPr>
          <w:rFonts w:hint="eastAsia" w:ascii="Times New Roman" w:hAnsi="Times New Roman" w:eastAsia="楷体_GB2312" w:cs="Times New Roman"/>
          <w:lang w:val="en-US" w:eastAsia="zh-CN"/>
        </w:rPr>
        <w:t>评价结论</w:t>
      </w:r>
    </w:p>
    <w:p w14:paraId="6CE4EFCD">
      <w:pPr>
        <w:pStyle w:val="2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eastAsia" w:ascii="Times New Roman" w:hAnsi="Times New Roman" w:eastAsia="仿宋_GB2312"/>
          <w:b w:val="0"/>
          <w:bCs w:val="0"/>
          <w:lang w:eastAsia="zh-CN"/>
        </w:rPr>
      </w:pPr>
      <w:r>
        <w:rPr>
          <w:rFonts w:hint="eastAsia" w:ascii="Times New Roman" w:hAnsi="Times New Roman" w:eastAsia="仿宋_GB2312"/>
          <w:b w:val="0"/>
          <w:bCs w:val="0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 xml:space="preserve">分，得分率为 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%。项目过程类指标权重为20分，得分为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%。项目产出类指标权重为40分，得分为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%。项目效益类指标权重为20分，得分为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%。具体打分情况详见：附件1综合评分表</w:t>
      </w:r>
      <w:r>
        <w:rPr>
          <w:rFonts w:hint="eastAsia" w:ascii="Times New Roman" w:hAnsi="Times New Roman" w:eastAsia="仿宋_GB2312"/>
          <w:b w:val="0"/>
          <w:bCs w:val="0"/>
          <w:lang w:eastAsia="zh-CN"/>
        </w:rPr>
        <w:t>。</w:t>
      </w:r>
    </w:p>
    <w:p w14:paraId="78A9FF51">
      <w:pPr>
        <w:pStyle w:val="7"/>
        <w:rPr>
          <w:rFonts w:hint="eastAsia"/>
          <w:color w:val="auto"/>
          <w:sz w:val="32"/>
          <w:szCs w:val="32"/>
        </w:rPr>
      </w:pPr>
    </w:p>
    <w:tbl>
      <w:tblPr>
        <w:tblStyle w:val="10"/>
        <w:tblW w:w="7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7"/>
        <w:gridCol w:w="2168"/>
        <w:gridCol w:w="2278"/>
      </w:tblGrid>
      <w:tr w14:paraId="11AF3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5BC996EF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一级指标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344D00E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权重分</w:t>
            </w:r>
          </w:p>
        </w:tc>
        <w:tc>
          <w:tcPr>
            <w:tcW w:w="2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77E08F35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得分</w:t>
            </w:r>
          </w:p>
        </w:tc>
      </w:tr>
      <w:tr w14:paraId="140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A3102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项目决策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8D3ED">
            <w:pPr>
              <w:jc w:val="center"/>
              <w:rPr>
                <w:rFonts w:hint="default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E25DB">
            <w:pPr>
              <w:jc w:val="center"/>
              <w:rPr>
                <w:rFonts w:hint="default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24</w:t>
            </w:r>
          </w:p>
        </w:tc>
      </w:tr>
      <w:tr w14:paraId="0FB4C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734C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项目过程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6B62D">
            <w:pPr>
              <w:jc w:val="center"/>
              <w:rPr>
                <w:rFonts w:hint="default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16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316C9">
            <w:pPr>
              <w:jc w:val="center"/>
              <w:rPr>
                <w:rFonts w:hint="default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16</w:t>
            </w:r>
          </w:p>
        </w:tc>
      </w:tr>
      <w:tr w14:paraId="2A50D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54242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项目产出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C2E0B">
            <w:pPr>
              <w:jc w:val="center"/>
              <w:rPr>
                <w:rFonts w:hint="default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6A1C7">
            <w:pPr>
              <w:jc w:val="center"/>
              <w:rPr>
                <w:rFonts w:hint="default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</w:t>
            </w:r>
          </w:p>
        </w:tc>
      </w:tr>
      <w:tr w14:paraId="0B4A9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F1E5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项目效益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1AAF0">
            <w:pPr>
              <w:jc w:val="center"/>
              <w:rPr>
                <w:rFonts w:hint="default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15334">
            <w:pPr>
              <w:jc w:val="center"/>
              <w:rPr>
                <w:rFonts w:hint="default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2DD82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2325E">
            <w:pPr>
              <w:jc w:val="center"/>
              <w:rPr>
                <w:rFonts w:cs="宋体"/>
                <w:b/>
                <w:bCs/>
                <w:color w:val="000000"/>
                <w:sz w:val="22"/>
              </w:rPr>
            </w:pPr>
            <w:r>
              <w:rPr>
                <w:rFonts w:hint="eastAsia" w:cs="宋体"/>
                <w:b/>
                <w:bCs/>
                <w:color w:val="000000"/>
                <w:sz w:val="22"/>
              </w:rPr>
              <w:t>合计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C73AF">
            <w:pPr>
              <w:jc w:val="center"/>
              <w:rPr>
                <w:rFonts w:hint="default" w:eastAsia="仿宋_GB2312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F5F02">
            <w:pPr>
              <w:jc w:val="center"/>
              <w:rPr>
                <w:rFonts w:hint="default" w:eastAsia="仿宋_GB2312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>100</w:t>
            </w:r>
          </w:p>
        </w:tc>
      </w:tr>
    </w:tbl>
    <w:p w14:paraId="32BD1E15">
      <w:pPr>
        <w:spacing w:line="540" w:lineRule="exact"/>
        <w:ind w:firstLine="640"/>
        <w:outlineLvl w:val="0"/>
        <w:rPr>
          <w:rStyle w:val="12"/>
          <w:rFonts w:ascii="黑体" w:hAnsi="黑体" w:eastAsia="黑体"/>
          <w:b w:val="0"/>
          <w:spacing w:val="-4"/>
          <w:sz w:val="32"/>
          <w:szCs w:val="32"/>
        </w:rPr>
      </w:pPr>
      <w:bookmarkStart w:id="15" w:name="_Toc25855"/>
      <w:r>
        <w:rPr>
          <w:rStyle w:val="12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bookmarkEnd w:id="15"/>
    </w:p>
    <w:p w14:paraId="536CFA97">
      <w:pPr>
        <w:spacing w:line="540" w:lineRule="exact"/>
        <w:ind w:firstLine="567" w:firstLineChars="181"/>
        <w:outlineLvl w:val="1"/>
        <w:rPr>
          <w:rStyle w:val="12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</w:pPr>
      <w:bookmarkStart w:id="16" w:name="_Toc18773"/>
      <w:r>
        <w:rPr>
          <w:rStyle w:val="12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  <w:t>（一）项目决策情况。</w:t>
      </w:r>
      <w:bookmarkEnd w:id="16"/>
    </w:p>
    <w:p w14:paraId="26C107B3">
      <w:pPr>
        <w:shd w:val="clear"/>
        <w:spacing w:line="600" w:lineRule="exact"/>
        <w:ind w:firstLine="600" w:firstLineChars="200"/>
        <w:outlineLvl w:val="0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bookmarkStart w:id="17" w:name="_Toc25319"/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项目决策类指标包括项目立项、绩效目标和资金投入三方面的内容，由6个三级指标构成，权重分值为20分，实际得分20分，得分率为100%。</w:t>
      </w:r>
    </w:p>
    <w:p w14:paraId="0251341A">
      <w:pPr>
        <w:pStyle w:val="1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1.项目立项</w:t>
      </w:r>
    </w:p>
    <w:p w14:paraId="66B9AE29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（1）立项依据充分性</w:t>
      </w:r>
    </w:p>
    <w:p w14:paraId="44975EB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6CB9DEAC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（2）立项程序规范性</w:t>
      </w:r>
    </w:p>
    <w:p w14:paraId="3CEE1A14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项目申请、设立过程符合相关要求，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严格按照审批流程准备符合要求的文件、材料；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4E06B33A">
      <w:pPr>
        <w:pStyle w:val="1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2.绩效目标</w:t>
      </w:r>
    </w:p>
    <w:p w14:paraId="4897DFC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（1）绩效目标合理性</w:t>
      </w:r>
    </w:p>
    <w:p w14:paraId="1BD10BFA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年初结合实际工作内容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设定绩效目标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，绩效目标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2F38E75A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（2）绩效指标明确性</w:t>
      </w:r>
    </w:p>
    <w:p w14:paraId="73AE15BA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774A0DE8">
      <w:pPr>
        <w:pStyle w:val="1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3.资金投入</w:t>
      </w:r>
    </w:p>
    <w:p w14:paraId="4711F555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（1）预算编制科学性</w:t>
      </w:r>
    </w:p>
    <w:p w14:paraId="3B322581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预算编制经过科学论证，提供充分的测算依据佐证资料，预算内容与项目内容相匹配。项目投资额与工作任务相匹配。</w:t>
      </w:r>
    </w:p>
    <w:p w14:paraId="59EAE66E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（2）资金分配合理性</w:t>
      </w:r>
    </w:p>
    <w:p w14:paraId="78B0FE11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资金分配额度与项目单位实际工作内容相适应，资金分配额度合理，资金分配依据充分。</w:t>
      </w:r>
    </w:p>
    <w:p w14:paraId="757B61E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" w:leftChars="0" w:firstLine="640" w:firstLineChars="0"/>
        <w:jc w:val="left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r>
        <w:rPr>
          <w:rFonts w:hint="eastAsia" w:ascii="楷体_GB2312" w:hAnsi="楷体_GB2312" w:eastAsia="楷体_GB2312" w:cs="楷体_GB2312"/>
          <w:b/>
          <w:bCs/>
        </w:rPr>
        <w:t>项目过程情况。</w:t>
      </w:r>
      <w:bookmarkEnd w:id="17"/>
    </w:p>
    <w:p w14:paraId="4F02ABA1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三级指标构成，权重分值为20分，实际得分20分，得分率为100%。</w:t>
      </w:r>
    </w:p>
    <w:p w14:paraId="506D14E1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04A3C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2"/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 xml:space="preserve">    1.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资金管理</w:t>
      </w:r>
    </w:p>
    <w:p w14:paraId="717B21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资金到位率</w:t>
      </w:r>
    </w:p>
    <w:p w14:paraId="2AD1F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本项目总投资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83.07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财政资金及时足额到位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eastAsia="zh-CN"/>
        </w:rPr>
        <w:t>到位</w:t>
      </w:r>
      <w:r>
        <w:rPr>
          <w:rFonts w:hint="eastAsia" w:ascii="仿宋_GB2312" w:eastAsia="仿宋_GB2312"/>
          <w:sz w:val="32"/>
          <w:szCs w:val="32"/>
        </w:rPr>
        <w:t>率为100%。</w:t>
      </w:r>
      <w:r>
        <w:rPr>
          <w:rFonts w:hint="eastAsia" w:ascii="仿宋_GB2312"/>
          <w:sz w:val="32"/>
          <w:szCs w:val="32"/>
          <w:lang w:eastAsia="zh-CN"/>
        </w:rPr>
        <w:t>预算资金按计划进度执行。</w:t>
      </w:r>
    </w:p>
    <w:p w14:paraId="1CFFE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预算执行率</w:t>
      </w:r>
    </w:p>
    <w:p w14:paraId="77BCF77F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预算编制较为详细，项目资金支出总体能够按照预算执行，预算资金支出83.07万元，预算执行率为100%。</w:t>
      </w:r>
    </w:p>
    <w:p w14:paraId="2C384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资金使用合规性</w:t>
      </w:r>
    </w:p>
    <w:p w14:paraId="19E6A2C5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</w:p>
    <w:p w14:paraId="1EA54053">
      <w:pPr>
        <w:pStyle w:val="1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726D6FE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（1）管理制度健全性</w:t>
      </w:r>
    </w:p>
    <w:p w14:paraId="2F8B9846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08ABC17F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（2）制度执行有效性</w:t>
      </w:r>
    </w:p>
    <w:p w14:paraId="3D679D69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 w14:paraId="7627EED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" w:leftChars="0" w:firstLine="640" w:firstLineChars="0"/>
        <w:contextualSpacing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18" w:name="_Toc18786"/>
      <w:r>
        <w:rPr>
          <w:rFonts w:hint="eastAsia" w:ascii="楷体_GB2312" w:hAnsi="楷体_GB2312" w:eastAsia="楷体_GB2312" w:cs="楷体_GB2312"/>
          <w:b/>
          <w:bCs/>
          <w:highlight w:val="none"/>
        </w:rPr>
        <w:t>项目产出情况。</w:t>
      </w:r>
      <w:bookmarkEnd w:id="18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 w14:paraId="16EA19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contextualSpacing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项目产出</w:t>
      </w:r>
      <w:r>
        <w:rPr>
          <w:rFonts w:hint="eastAsia" w:ascii="仿宋_GB2312" w:hAnsi="仿宋_GB2312" w:cs="仿宋_GB2312"/>
          <w:color w:val="333333"/>
          <w:sz w:val="32"/>
          <w:szCs w:val="32"/>
          <w:lang w:eastAsia="zh-CN"/>
        </w:rPr>
        <w:t>类指标包括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产出数量、产出质量、产出时效、</w:t>
      </w:r>
    </w:p>
    <w:p w14:paraId="5E6551CD">
      <w:pPr>
        <w:shd w:val="clear"/>
        <w:spacing w:line="600" w:lineRule="exact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成本情况</w:t>
      </w:r>
      <w:r>
        <w:rPr>
          <w:rFonts w:hint="eastAsia" w:ascii="仿宋_GB2312" w:hAnsi="仿宋_GB2312" w:cs="仿宋_GB2312"/>
          <w:color w:val="333333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方面</w:t>
      </w:r>
      <w:r>
        <w:rPr>
          <w:rFonts w:hint="eastAsia" w:ascii="仿宋_GB2312" w:hAnsi="仿宋_GB2312" w:cs="仿宋_GB2312"/>
          <w:color w:val="333333"/>
          <w:sz w:val="32"/>
          <w:szCs w:val="32"/>
          <w:lang w:eastAsia="zh-CN"/>
        </w:rPr>
        <w:t>内容，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级指标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，1个二级指标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构成，权重分为40分，实际得分40分，得分率为100%。具体产出指标完成情况如下：</w:t>
      </w:r>
    </w:p>
    <w:p w14:paraId="1C3557A4">
      <w:pPr>
        <w:shd w:val="clear"/>
        <w:spacing w:line="600" w:lineRule="exact"/>
        <w:ind w:firstLine="624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数量指标：</w:t>
      </w:r>
    </w:p>
    <w:p w14:paraId="3E458ACC">
      <w:pPr>
        <w:spacing w:line="540" w:lineRule="exact"/>
        <w:ind w:firstLine="608"/>
        <w:rPr>
          <w:rStyle w:val="12"/>
          <w:rFonts w:hint="eastAsia" w:ascii="仿宋_GB2312" w:hAnsi="黑体"/>
          <w:b w:val="0"/>
          <w:spacing w:val="-4"/>
          <w:sz w:val="32"/>
          <w:szCs w:val="32"/>
          <w:lang w:eastAsia="zh-CN"/>
        </w:rPr>
      </w:pP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指标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服务单位数量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  <w:lang w:eastAsia="zh-CN"/>
        </w:rPr>
        <w:t>大于等于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2户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2户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完成率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偏差原因：无偏差；</w:t>
      </w:r>
    </w:p>
    <w:p w14:paraId="435DA4E4">
      <w:pPr>
        <w:spacing w:line="540" w:lineRule="exact"/>
        <w:ind w:firstLine="608"/>
        <w:rPr>
          <w:rStyle w:val="12"/>
          <w:rFonts w:hint="default" w:ascii="仿宋_GB2312" w:hAnsi="黑体" w:eastAsia="仿宋_GB2312"/>
          <w:b w:val="0"/>
          <w:spacing w:val="-4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2：提供机柜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eastAsia="zh-CN"/>
        </w:rPr>
        <w:t>数量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  <w:lang w:eastAsia="zh-CN"/>
        </w:rPr>
        <w:t>大于等于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10台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完成值：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10台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完成率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偏差原因：无偏差。</w:t>
      </w:r>
    </w:p>
    <w:p w14:paraId="3A1F0450">
      <w:pPr>
        <w:shd w:val="clear"/>
        <w:spacing w:line="600" w:lineRule="exact"/>
        <w:ind w:firstLine="624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质量指标：</w:t>
      </w:r>
    </w:p>
    <w:p w14:paraId="2D27BBCA">
      <w:pPr>
        <w:widowControl w:val="0"/>
        <w:snapToGrid w:val="0"/>
        <w:spacing w:line="600" w:lineRule="exact"/>
        <w:rPr>
          <w:rStyle w:val="12"/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1：系统故障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率</w:t>
      </w:r>
      <w:r>
        <w:rPr>
          <w:rFonts w:hint="eastAsia" w:ascii="仿宋_GB2312" w:hAnsi="仿宋_GB2312" w:eastAsia="仿宋_GB2312" w:cs="仿宋_GB2312"/>
          <w:sz w:val="32"/>
          <w:szCs w:val="40"/>
        </w:rPr>
        <w:t>，指标值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于等于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指标完成率：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100%，偏差原因：</w:t>
      </w:r>
      <w:r>
        <w:rPr>
          <w:rFonts w:hint="eastAsia" w:ascii="仿宋_GB2312" w:hAnsi="仿宋_GB2312" w:eastAsia="仿宋_GB2312" w:cs="仿宋_GB2312"/>
          <w:sz w:val="32"/>
          <w:szCs w:val="40"/>
        </w:rPr>
        <w:t>无偏差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。</w:t>
      </w:r>
    </w:p>
    <w:p w14:paraId="6E98BA00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3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时效指标：</w:t>
      </w:r>
    </w:p>
    <w:p w14:paraId="0F25D0C1">
      <w:pPr>
        <w:widowControl w:val="0"/>
        <w:snapToGrid w:val="0"/>
        <w:spacing w:line="600" w:lineRule="exact"/>
        <w:ind w:firstLine="608"/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1：资金问题处理时间</w:t>
      </w:r>
      <w:r>
        <w:rPr>
          <w:rFonts w:hint="eastAsia" w:ascii="仿宋_GB2312" w:hAnsi="仿宋_GB2312" w:eastAsia="仿宋_GB2312" w:cs="仿宋_GB2312"/>
          <w:sz w:val="32"/>
          <w:szCs w:val="40"/>
        </w:rPr>
        <w:t>，指标值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小于等于24小时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24小时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完成率100%</w:t>
      </w:r>
      <w:r>
        <w:rPr>
          <w:rStyle w:val="12"/>
          <w:rFonts w:hint="eastAsia" w:ascii="仿宋_GB2312" w:hAnsi="黑体"/>
          <w:b w:val="0"/>
          <w:spacing w:val="-4"/>
          <w:sz w:val="32"/>
          <w:szCs w:val="32"/>
          <w:lang w:eastAsia="zh-CN"/>
        </w:rPr>
        <w:t>，偏差原因：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无偏差</w:t>
      </w:r>
      <w:r>
        <w:rPr>
          <w:rStyle w:val="12"/>
          <w:rFonts w:hint="eastAsia" w:ascii="仿宋_GB2312" w:hAnsi="黑体" w:eastAsia="仿宋_GB2312"/>
          <w:b w:val="0"/>
          <w:spacing w:val="-4"/>
          <w:sz w:val="32"/>
          <w:szCs w:val="32"/>
        </w:rPr>
        <w:t>。</w:t>
      </w:r>
    </w:p>
    <w:p w14:paraId="54F3A05D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4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成本指标：</w:t>
      </w:r>
    </w:p>
    <w:p w14:paraId="1E7AB86B">
      <w:pPr>
        <w:pStyle w:val="7"/>
        <w:ind w:firstLine="624" w:firstLineChars="200"/>
        <w:rPr>
          <w:rStyle w:val="12"/>
          <w:rFonts w:hint="eastAsia" w:ascii="仿宋_GB2312" w:hAnsi="黑体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_GB2312" w:hAnsi="黑体" w:eastAsia="仿宋_GB2312" w:cs="Times New Roman"/>
          <w:b w:val="0"/>
          <w:spacing w:val="-4"/>
          <w:kern w:val="2"/>
          <w:sz w:val="32"/>
          <w:szCs w:val="32"/>
          <w:lang w:val="en-US" w:eastAsia="zh-CN" w:bidi="ar-SA"/>
        </w:rPr>
        <w:t>指标1：预算控制率，指标值</w:t>
      </w:r>
      <w:r>
        <w:rPr>
          <w:rStyle w:val="12"/>
          <w:rFonts w:hint="eastAsia" w:ascii="仿宋_GB2312" w:hAnsi="黑体" w:cs="Times New Roman"/>
          <w:b w:val="0"/>
          <w:spacing w:val="-4"/>
          <w:kern w:val="2"/>
          <w:sz w:val="32"/>
          <w:szCs w:val="32"/>
          <w:lang w:val="en-US" w:eastAsia="zh-CN" w:bidi="ar-SA"/>
        </w:rPr>
        <w:t>：</w:t>
      </w:r>
      <w:r>
        <w:rPr>
          <w:rStyle w:val="12"/>
          <w:rFonts w:hint="eastAsia" w:ascii="仿宋_GB2312" w:hAnsi="黑体" w:eastAsia="仿宋_GB2312" w:cs="Times New Roman"/>
          <w:b w:val="0"/>
          <w:spacing w:val="-4"/>
          <w:kern w:val="2"/>
          <w:sz w:val="32"/>
          <w:szCs w:val="32"/>
          <w:lang w:val="en-US" w:eastAsia="zh-CN" w:bidi="ar-SA"/>
        </w:rPr>
        <w:t>小于等于100%，</w:t>
      </w:r>
      <w:r>
        <w:rPr>
          <w:rStyle w:val="12"/>
          <w:rFonts w:hint="eastAsia" w:ascii="仿宋_GB2312" w:hAnsi="黑体" w:cs="Times New Roman"/>
          <w:b w:val="0"/>
          <w:spacing w:val="-4"/>
          <w:kern w:val="2"/>
          <w:sz w:val="32"/>
          <w:szCs w:val="32"/>
          <w:lang w:val="en-US" w:eastAsia="zh-CN" w:bidi="ar-SA"/>
        </w:rPr>
        <w:t>实际完成值</w:t>
      </w:r>
    </w:p>
    <w:p w14:paraId="5266F4C8">
      <w:pPr>
        <w:pStyle w:val="7"/>
        <w:rPr>
          <w:rFonts w:hint="eastAsia"/>
        </w:rPr>
      </w:pPr>
      <w:r>
        <w:rPr>
          <w:rStyle w:val="12"/>
          <w:rFonts w:hint="eastAsia" w:ascii="仿宋_GB2312" w:hAnsi="黑体" w:cs="Times New Roman"/>
          <w:b w:val="0"/>
          <w:spacing w:val="-4"/>
          <w:kern w:val="2"/>
          <w:sz w:val="32"/>
          <w:szCs w:val="32"/>
          <w:lang w:val="en-US" w:eastAsia="zh-CN" w:bidi="ar-SA"/>
        </w:rPr>
        <w:t>100%，指标完成率</w:t>
      </w:r>
      <w:r>
        <w:rPr>
          <w:rStyle w:val="12"/>
          <w:rFonts w:hint="eastAsia" w:ascii="仿宋_GB2312" w:hAnsi="黑体" w:eastAsia="仿宋_GB2312" w:cs="Times New Roman"/>
          <w:b w:val="0"/>
          <w:spacing w:val="-4"/>
          <w:kern w:val="2"/>
          <w:sz w:val="32"/>
          <w:szCs w:val="32"/>
          <w:lang w:val="en-US" w:eastAsia="zh-CN" w:bidi="ar-SA"/>
        </w:rPr>
        <w:t>100%，偏差</w:t>
      </w:r>
      <w:r>
        <w:rPr>
          <w:rStyle w:val="12"/>
          <w:rFonts w:hint="eastAsia" w:ascii="仿宋_GB2312" w:hAnsi="黑体" w:cs="Times New Roman"/>
          <w:b w:val="0"/>
          <w:spacing w:val="-4"/>
          <w:kern w:val="2"/>
          <w:sz w:val="32"/>
          <w:szCs w:val="32"/>
          <w:lang w:val="en-US" w:eastAsia="zh-CN" w:bidi="ar-SA"/>
        </w:rPr>
        <w:t>原因：无偏差。</w:t>
      </w:r>
    </w:p>
    <w:p w14:paraId="714C1CFA">
      <w:pPr>
        <w:numPr>
          <w:ilvl w:val="0"/>
          <w:numId w:val="4"/>
        </w:numPr>
        <w:bidi w:val="0"/>
        <w:ind w:left="-40" w:leftChars="0" w:firstLine="640" w:firstLineChars="0"/>
        <w:jc w:val="left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9" w:name="_Toc10127"/>
      <w:r>
        <w:rPr>
          <w:rFonts w:hint="eastAsia" w:ascii="楷体_GB2312" w:hAnsi="楷体_GB2312" w:eastAsia="楷体_GB2312" w:cs="楷体_GB2312"/>
          <w:b/>
          <w:bCs/>
        </w:rPr>
        <w:t>项目效益情况</w:t>
      </w:r>
      <w:bookmarkEnd w:id="19"/>
    </w:p>
    <w:p w14:paraId="2D995C1C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项目效益类指标包括项目实施效益和满意度两方面的内容，由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级指标构成，权重分为20分，实际得分20分，得分率为100%。具体效益指标及满意度指标完成情况如下：</w:t>
      </w:r>
    </w:p>
    <w:p w14:paraId="2E3B6DBD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1.实施效益</w:t>
      </w:r>
    </w:p>
    <w:p w14:paraId="1483CF0D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经济效益指标：</w:t>
      </w:r>
    </w:p>
    <w:p w14:paraId="4E410E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</w:rPr>
        <w:t>指标1</w:t>
      </w:r>
      <w:r>
        <w:rPr>
          <w:rFonts w:hint="eastAsia" w:ascii="仿宋_GB2312" w:hAnsi="仿宋_GB2312" w:cs="仿宋_GB2312"/>
          <w:b w:val="0"/>
          <w:bCs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b w:val="0"/>
          <w:bCs/>
          <w:sz w:val="32"/>
          <w:szCs w:val="40"/>
          <w:lang w:val="en-US" w:eastAsia="zh-CN"/>
        </w:rPr>
        <w:t>满足克拉玛依区政府云桌面工作需求，为自治区医疗保障信息平台提供数据安全保障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  <w:lang w:eastAsia="zh-CN"/>
        </w:rPr>
        <w:t>指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效果明显，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效果明显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>完成率100%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eastAsia="zh-CN"/>
        </w:rPr>
        <w:t>，偏差原因：</w:t>
      </w:r>
      <w:r>
        <w:rPr>
          <w:rFonts w:hint="eastAsia" w:ascii="仿宋_GB2312" w:hAnsi="仿宋_GB2312" w:eastAsia="仿宋_GB2312" w:cs="仿宋_GB2312"/>
          <w:sz w:val="32"/>
          <w:szCs w:val="40"/>
        </w:rPr>
        <w:t>无偏差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。</w:t>
      </w:r>
    </w:p>
    <w:p w14:paraId="41AE8310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2.满意度</w:t>
      </w:r>
    </w:p>
    <w:p w14:paraId="1B0D96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kern w:val="2"/>
          <w:sz w:val="30"/>
          <w:szCs w:val="24"/>
          <w:lang w:val="en-US" w:eastAsia="zh-CN" w:bidi="ar-SA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满意度指标：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指标1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用户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满意度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，指标值</w:t>
      </w:r>
      <w:r>
        <w:rPr>
          <w:rFonts w:hint="eastAsia" w:ascii="仿宋_GB2312" w:hAnsi="宋体" w:cs="宋体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宋体" w:cs="宋体"/>
          <w:color w:val="000000"/>
          <w:kern w:val="0"/>
          <w:sz w:val="32"/>
          <w:szCs w:val="32"/>
          <w:lang w:eastAsia="zh-CN"/>
        </w:rPr>
        <w:t>大于等于</w:t>
      </w:r>
      <w:r>
        <w:rPr>
          <w:rFonts w:hint="eastAsia" w:ascii="仿宋_GB2312" w:hAnsi="宋体" w:eastAsia="宋体" w:cs="宋体"/>
          <w:color w:val="000000"/>
          <w:kern w:val="0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40"/>
        </w:rPr>
        <w:t>完成率100%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eastAsia="zh-CN"/>
        </w:rPr>
        <w:t>偏差原因：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无偏差</w:t>
      </w:r>
      <w:r>
        <w:rPr>
          <w:rFonts w:hint="eastAsia" w:ascii="仿宋_GB2312" w:hAnsi="黑体" w:eastAsia="仿宋_GB2312" w:cs="黑体"/>
          <w:bCs/>
          <w:sz w:val="32"/>
          <w:szCs w:val="32"/>
        </w:rPr>
        <w:t>。</w:t>
      </w:r>
    </w:p>
    <w:p w14:paraId="6D9C51BD">
      <w:pPr>
        <w:spacing w:line="56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eastAsia="zh-Hans"/>
        </w:rPr>
      </w:pPr>
      <w:bookmarkStart w:id="20" w:name="_Toc5793"/>
      <w:r>
        <w:rPr>
          <w:rFonts w:hint="eastAsia" w:ascii="Times New Roman" w:hAnsi="Times New Roman" w:eastAsia="黑体" w:cs="Times New Roman"/>
          <w:sz w:val="32"/>
          <w:szCs w:val="32"/>
          <w:lang w:eastAsia="zh-Hans"/>
        </w:rPr>
        <w:t>五、预算执行进度与绩效指标总体完成率偏差</w:t>
      </w:r>
    </w:p>
    <w:p w14:paraId="05B24F52">
      <w:pPr>
        <w:pStyle w:val="13"/>
        <w:spacing w:line="560" w:lineRule="exact"/>
        <w:ind w:firstLine="640"/>
        <w:rPr>
          <w:rStyle w:val="12"/>
          <w:rFonts w:hint="eastAsia" w:ascii="仿宋_GB2312" w:hAnsi="仿宋_GB2312" w:eastAsia="仿宋_GB2312" w:cs="仿宋_GB2312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_GB2312" w:hAnsi="仿宋_GB2312" w:eastAsia="仿宋_GB2312" w:cs="仿宋_GB2312"/>
          <w:b w:val="0"/>
          <w:spacing w:val="-4"/>
          <w:kern w:val="2"/>
          <w:sz w:val="32"/>
          <w:szCs w:val="32"/>
          <w:lang w:val="en-US" w:eastAsia="zh-CN" w:bidi="ar-SA"/>
        </w:rPr>
        <w:t>异地灾备服务收入项目年初预算83.07万元，全年预算83.07万元，实际支出83.07万元，预算执行率为100%，项目绩效指标总体完成率为100%，</w:t>
      </w:r>
      <w:r>
        <w:rPr>
          <w:rStyle w:val="12"/>
          <w:rFonts w:hint="eastAsia" w:ascii="仿宋_GB2312" w:hAnsi="仿宋_GB2312" w:eastAsia="仿宋_GB2312" w:cs="仿宋_GB2312"/>
          <w:b w:val="0"/>
          <w:spacing w:val="-4"/>
          <w:kern w:val="2"/>
          <w:sz w:val="32"/>
          <w:szCs w:val="32"/>
          <w:lang w:val="en-US" w:eastAsia="zh-Hans" w:bidi="ar-SA"/>
        </w:rPr>
        <w:t>总体</w:t>
      </w:r>
      <w:r>
        <w:rPr>
          <w:rStyle w:val="12"/>
          <w:rFonts w:hint="eastAsia" w:ascii="仿宋_GB2312" w:hAnsi="仿宋_GB2312" w:eastAsia="仿宋_GB2312" w:cs="仿宋_GB2312"/>
          <w:b w:val="0"/>
          <w:spacing w:val="-4"/>
          <w:kern w:val="2"/>
          <w:sz w:val="32"/>
          <w:szCs w:val="32"/>
          <w:lang w:val="en-US" w:eastAsia="zh-CN" w:bidi="ar-SA"/>
        </w:rPr>
        <w:t>偏差率为0%</w:t>
      </w:r>
      <w:r>
        <w:rPr>
          <w:rStyle w:val="12"/>
          <w:rFonts w:hint="eastAsia" w:ascii="仿宋_GB2312" w:hAnsi="仿宋_GB2312" w:cs="仿宋_GB2312"/>
          <w:b w:val="0"/>
          <w:spacing w:val="-4"/>
          <w:kern w:val="2"/>
          <w:sz w:val="32"/>
          <w:szCs w:val="32"/>
          <w:lang w:val="en-US" w:eastAsia="zh-CN" w:bidi="ar-SA"/>
        </w:rPr>
        <w:t>，</w:t>
      </w:r>
      <w:r>
        <w:rPr>
          <w:rStyle w:val="12"/>
          <w:rFonts w:hint="eastAsia" w:ascii="仿宋_GB2312" w:hAnsi="仿宋_GB2312" w:eastAsia="仿宋_GB2312" w:cs="仿宋_GB2312"/>
          <w:b w:val="0"/>
          <w:spacing w:val="-4"/>
          <w:kern w:val="2"/>
          <w:sz w:val="32"/>
          <w:szCs w:val="32"/>
          <w:lang w:val="en-US" w:eastAsia="zh-Hans" w:bidi="ar-SA"/>
        </w:rPr>
        <w:t>偏差</w:t>
      </w:r>
      <w:r>
        <w:rPr>
          <w:rStyle w:val="12"/>
          <w:rFonts w:hint="eastAsia" w:ascii="仿宋_GB2312" w:hAnsi="仿宋_GB2312" w:eastAsia="仿宋_GB2312" w:cs="仿宋_GB2312"/>
          <w:b w:val="0"/>
          <w:spacing w:val="-4"/>
          <w:kern w:val="2"/>
          <w:sz w:val="32"/>
          <w:szCs w:val="32"/>
          <w:lang w:val="en-US" w:eastAsia="zh-CN" w:bidi="ar-SA"/>
        </w:rPr>
        <w:t>原因无，</w:t>
      </w:r>
      <w:r>
        <w:rPr>
          <w:rStyle w:val="12"/>
          <w:rFonts w:hint="eastAsia" w:ascii="仿宋_GB2312" w:hAnsi="仿宋_GB2312" w:eastAsia="仿宋_GB2312" w:cs="仿宋_GB2312"/>
          <w:b w:val="0"/>
          <w:spacing w:val="-4"/>
          <w:kern w:val="2"/>
          <w:sz w:val="32"/>
          <w:szCs w:val="32"/>
          <w:lang w:val="en-US" w:eastAsia="zh-Hans" w:bidi="ar-SA"/>
        </w:rPr>
        <w:t>改进</w:t>
      </w:r>
      <w:r>
        <w:rPr>
          <w:rStyle w:val="12"/>
          <w:rFonts w:hint="eastAsia" w:ascii="仿宋_GB2312" w:hAnsi="仿宋_GB2312" w:eastAsia="仿宋_GB2312" w:cs="仿宋_GB2312"/>
          <w:b w:val="0"/>
          <w:spacing w:val="-4"/>
          <w:kern w:val="2"/>
          <w:sz w:val="32"/>
          <w:szCs w:val="32"/>
          <w:lang w:val="en-US" w:eastAsia="zh-CN" w:bidi="ar-SA"/>
        </w:rPr>
        <w:t>措施无。</w:t>
      </w:r>
    </w:p>
    <w:bookmarkEnd w:id="20"/>
    <w:p w14:paraId="30EFAB7E">
      <w:pPr>
        <w:spacing w:line="560" w:lineRule="exact"/>
        <w:ind w:firstLine="640" w:firstLineChars="200"/>
        <w:rPr>
          <w:rStyle w:val="14"/>
          <w:rFonts w:ascii="Times New Roman" w:hAnsi="Times New Roman" w:cs="Times New Roman"/>
          <w:color w:val="auto"/>
        </w:rPr>
      </w:pPr>
      <w:r>
        <w:rPr>
          <w:rFonts w:hint="eastAsia" w:eastAsia="黑体"/>
          <w:sz w:val="32"/>
          <w:szCs w:val="32"/>
          <w:lang w:eastAsia="zh-Hans"/>
        </w:rPr>
        <w:t>六</w:t>
      </w:r>
      <w:r>
        <w:rPr>
          <w:rFonts w:eastAsia="黑体"/>
          <w:sz w:val="32"/>
          <w:szCs w:val="32"/>
        </w:rPr>
        <w:t>、主要经验及做法、存在的问题及原因分析</w:t>
      </w:r>
    </w:p>
    <w:p w14:paraId="7658DE43">
      <w:pPr>
        <w:spacing w:line="560" w:lineRule="exact"/>
        <w:ind w:firstLine="627" w:firstLineChars="200"/>
        <w:rPr>
          <w:rFonts w:eastAsia="楷体"/>
          <w:b/>
          <w:spacing w:val="-4"/>
          <w:sz w:val="32"/>
          <w:szCs w:val="32"/>
        </w:rPr>
      </w:pPr>
      <w:r>
        <w:rPr>
          <w:rFonts w:eastAsia="楷体"/>
          <w:b/>
          <w:spacing w:val="-4"/>
          <w:sz w:val="32"/>
          <w:szCs w:val="32"/>
        </w:rPr>
        <w:t>（一）主要经验及做法</w:t>
      </w:r>
    </w:p>
    <w:p w14:paraId="1DF8857D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513472EB">
      <w:pPr>
        <w:pStyle w:val="2"/>
        <w:spacing w:before="0" w:after="0" w:line="560" w:lineRule="exact"/>
        <w:ind w:firstLine="640" w:firstLineChars="200"/>
        <w:jc w:val="left"/>
        <w:rPr>
          <w:rFonts w:ascii="Times New Roman" w:hAnsi="Times New Roman" w:eastAsia="仿宋_GB2312"/>
          <w:b w:val="0"/>
          <w:bCs w:val="0"/>
          <w:kern w:val="2"/>
        </w:rPr>
      </w:pPr>
      <w:r>
        <w:rPr>
          <w:rFonts w:ascii="Times New Roman" w:hAnsi="Times New Roman" w:eastAsia="仿宋_GB2312"/>
          <w:b w:val="0"/>
          <w:bCs w:val="0"/>
          <w:kern w:val="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36F79A98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存在的问题及原因分析</w:t>
      </w:r>
    </w:p>
    <w:p w14:paraId="4BFE28F1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13651ED6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2.因轮岗、调动、等因素使我单位绩效工作人员流动频繁，造成了工作衔接不到位的情况。</w:t>
      </w:r>
    </w:p>
    <w:p w14:paraId="365F62C8"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Hans"/>
        </w:rPr>
        <w:t>七、</w:t>
      </w:r>
      <w:r>
        <w:rPr>
          <w:rFonts w:eastAsia="黑体"/>
          <w:sz w:val="32"/>
          <w:szCs w:val="32"/>
        </w:rPr>
        <w:t>有关建议</w:t>
      </w:r>
    </w:p>
    <w:p w14:paraId="3958CF65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74891295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6C47F89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734C63BA">
      <w:pPr>
        <w:shd w:val="clear"/>
        <w:spacing w:line="600" w:lineRule="exact"/>
        <w:ind w:firstLine="640" w:firstLineChars="200"/>
        <w:outlineLvl w:val="0"/>
        <w:rPr>
          <w:sz w:val="2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eastAsia" w:ascii="仿宋_GB2312" w:hAnsi="仿宋_GB2312" w:eastAsia="仿宋_GB2312" w:cs="仿宋_GB2312"/>
          <w:sz w:val="36"/>
          <w:szCs w:val="32"/>
        </w:rPr>
        <w:t>。</w:t>
      </w:r>
    </w:p>
    <w:p w14:paraId="64AA2FC5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0563995E"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Hans"/>
        </w:rPr>
        <w:t>八、</w:t>
      </w:r>
      <w:r>
        <w:rPr>
          <w:rFonts w:eastAsia="黑体"/>
          <w:sz w:val="32"/>
          <w:szCs w:val="32"/>
        </w:rPr>
        <w:t>其他需要说</w:t>
      </w:r>
      <w:bookmarkStart w:id="21" w:name="page8"/>
      <w:bookmarkEnd w:id="21"/>
      <w:r>
        <w:rPr>
          <w:rFonts w:eastAsia="黑体"/>
          <w:sz w:val="32"/>
          <w:szCs w:val="32"/>
        </w:rPr>
        <w:t>明的问题</w:t>
      </w:r>
    </w:p>
    <w:p w14:paraId="550DC6DA">
      <w:pPr>
        <w:pStyle w:val="9"/>
        <w:spacing w:after="0" w:line="560" w:lineRule="exact"/>
        <w:ind w:left="0" w:leftChars="0"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本项目无其他需说明的问题。</w:t>
      </w:r>
    </w:p>
    <w:p w14:paraId="029A1925">
      <w:pPr>
        <w:pStyle w:val="7"/>
        <w:rPr>
          <w:rFonts w:hint="eastAsia"/>
        </w:rPr>
      </w:pPr>
    </w:p>
    <w:p w14:paraId="2B2FDCFA">
      <w:pPr>
        <w:pStyle w:val="7"/>
        <w:rPr>
          <w:rFonts w:hint="eastAsia"/>
        </w:rPr>
      </w:pPr>
    </w:p>
    <w:p w14:paraId="7B89555D">
      <w:pPr>
        <w:pStyle w:val="7"/>
        <w:rPr>
          <w:rFonts w:hint="eastAsia"/>
        </w:rPr>
      </w:pPr>
    </w:p>
    <w:p w14:paraId="5F39C52F">
      <w:pPr>
        <w:pStyle w:val="7"/>
        <w:rPr>
          <w:rFonts w:hint="eastAsia"/>
        </w:rPr>
      </w:pPr>
    </w:p>
    <w:p w14:paraId="313F558E">
      <w:pPr>
        <w:pStyle w:val="7"/>
        <w:rPr>
          <w:rFonts w:hint="eastAsia"/>
        </w:rPr>
      </w:pPr>
    </w:p>
    <w:p w14:paraId="6D4C7909">
      <w:pPr>
        <w:pStyle w:val="7"/>
        <w:rPr>
          <w:rFonts w:hint="eastAsia"/>
        </w:rPr>
      </w:pPr>
    </w:p>
    <w:p w14:paraId="768F0273">
      <w:pPr>
        <w:pStyle w:val="7"/>
        <w:rPr>
          <w:rFonts w:hint="eastAsia"/>
        </w:rPr>
      </w:pPr>
    </w:p>
    <w:p w14:paraId="611118E9">
      <w:pPr>
        <w:pStyle w:val="7"/>
        <w:rPr>
          <w:rFonts w:hint="eastAsia"/>
        </w:rPr>
      </w:pPr>
    </w:p>
    <w:p w14:paraId="50C3093D">
      <w:pPr>
        <w:pStyle w:val="7"/>
        <w:rPr>
          <w:rFonts w:hint="eastAsia"/>
        </w:rPr>
      </w:pPr>
    </w:p>
    <w:p w14:paraId="78960A1E">
      <w:pPr>
        <w:pStyle w:val="7"/>
        <w:rPr>
          <w:rFonts w:hint="eastAsia"/>
        </w:rPr>
      </w:pPr>
    </w:p>
    <w:p w14:paraId="5B7744C9">
      <w:pPr>
        <w:pStyle w:val="7"/>
        <w:rPr>
          <w:rFonts w:hint="eastAsia"/>
        </w:rPr>
      </w:pPr>
    </w:p>
    <w:p w14:paraId="7828EA88">
      <w:pPr>
        <w:pStyle w:val="7"/>
        <w:rPr>
          <w:rFonts w:hint="eastAsia"/>
        </w:rPr>
      </w:pPr>
    </w:p>
    <w:p w14:paraId="2C7B53B9">
      <w:pPr>
        <w:pStyle w:val="7"/>
        <w:rPr>
          <w:rFonts w:hint="eastAsia"/>
        </w:rPr>
      </w:pPr>
    </w:p>
    <w:p w14:paraId="1AD356DB">
      <w:pPr>
        <w:pStyle w:val="7"/>
        <w:rPr>
          <w:rFonts w:hint="eastAsia"/>
        </w:rPr>
      </w:pPr>
    </w:p>
    <w:p w14:paraId="2333A4EF">
      <w:pPr>
        <w:pStyle w:val="7"/>
        <w:rPr>
          <w:rFonts w:hint="eastAsia"/>
        </w:rPr>
      </w:pPr>
      <w:bookmarkStart w:id="22" w:name="_GoBack"/>
      <w:bookmarkEnd w:id="22"/>
    </w:p>
    <w:p w14:paraId="705DB366">
      <w:pPr>
        <w:pStyle w:val="7"/>
        <w:rPr>
          <w:rFonts w:hint="eastAsia"/>
        </w:rPr>
      </w:pPr>
    </w:p>
    <w:p w14:paraId="045D6B92">
      <w:pPr>
        <w:jc w:val="center"/>
        <w:rPr>
          <w:rFonts w:hint="eastAsia" w:ascii="仿宋_GB231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F60FE1"/>
    <w:multiLevelType w:val="singleLevel"/>
    <w:tmpl w:val="DEF60FE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EFBEB39"/>
    <w:multiLevelType w:val="singleLevel"/>
    <w:tmpl w:val="FEFBEB39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FF9379A8"/>
    <w:multiLevelType w:val="singleLevel"/>
    <w:tmpl w:val="FF9379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05E8741"/>
    <w:multiLevelType w:val="singleLevel"/>
    <w:tmpl w:val="105E874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79F9DAC"/>
    <w:multiLevelType w:val="singleLevel"/>
    <w:tmpl w:val="779F9DAC"/>
    <w:lvl w:ilvl="0" w:tentative="0">
      <w:start w:val="2"/>
      <w:numFmt w:val="chineseCounting"/>
      <w:suff w:val="nothing"/>
      <w:lvlText w:val="（%1）"/>
      <w:lvlJc w:val="left"/>
      <w:pPr>
        <w:ind w:left="-4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ZTk4ZThiOTlhYTkyOGVkOWQ5NDlhNjIwNjNhNzEifQ=="/>
  </w:docVars>
  <w:rsids>
    <w:rsidRoot w:val="00000000"/>
    <w:rsid w:val="023F61AC"/>
    <w:rsid w:val="044D31C4"/>
    <w:rsid w:val="06FD4082"/>
    <w:rsid w:val="14B33860"/>
    <w:rsid w:val="17AB05D7"/>
    <w:rsid w:val="1A7453E3"/>
    <w:rsid w:val="1B74422F"/>
    <w:rsid w:val="1EFD227C"/>
    <w:rsid w:val="1F0B55D3"/>
    <w:rsid w:val="20AE3CA0"/>
    <w:rsid w:val="22D36A68"/>
    <w:rsid w:val="23F65AA3"/>
    <w:rsid w:val="2E9349EF"/>
    <w:rsid w:val="3CB74E57"/>
    <w:rsid w:val="3E7C85DC"/>
    <w:rsid w:val="3FB07F8A"/>
    <w:rsid w:val="45EC0627"/>
    <w:rsid w:val="4F862111"/>
    <w:rsid w:val="52160113"/>
    <w:rsid w:val="672B093E"/>
    <w:rsid w:val="6E2B2A93"/>
    <w:rsid w:val="6F7F08C1"/>
    <w:rsid w:val="710A633E"/>
    <w:rsid w:val="741F975B"/>
    <w:rsid w:val="75B35483"/>
    <w:rsid w:val="792F76B5"/>
    <w:rsid w:val="7BDFD39F"/>
    <w:rsid w:val="7BFFDA56"/>
    <w:rsid w:val="7D1977FD"/>
    <w:rsid w:val="7DFAFFBB"/>
    <w:rsid w:val="8DFD0584"/>
    <w:rsid w:val="AD7D1309"/>
    <w:rsid w:val="DEDBE318"/>
    <w:rsid w:val="DFBEA930"/>
    <w:rsid w:val="E6F0711E"/>
    <w:rsid w:val="EFF72144"/>
    <w:rsid w:val="F6FF2585"/>
    <w:rsid w:val="FC7F7508"/>
    <w:rsid w:val="FFFE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7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9">
    <w:name w:val="Body Text First Indent 2"/>
    <w:basedOn w:val="4"/>
    <w:qFormat/>
    <w:uiPriority w:val="0"/>
    <w:pPr>
      <w:ind w:firstLine="420" w:firstLineChars="200"/>
    </w:pPr>
  </w:style>
  <w:style w:type="character" w:styleId="12">
    <w:name w:val="Strong"/>
    <w:basedOn w:val="11"/>
    <w:qFormat/>
    <w:uiPriority w:val="0"/>
    <w:rPr>
      <w:b/>
      <w:bCs/>
    </w:rPr>
  </w:style>
  <w:style w:type="paragraph" w:customStyle="1" w:styleId="13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14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6740</Words>
  <Characters>6988</Characters>
  <Lines>0</Lines>
  <Paragraphs>0</Paragraphs>
  <TotalTime>0</TotalTime>
  <ScaleCrop>false</ScaleCrop>
  <LinksUpToDate>false</LinksUpToDate>
  <CharactersWithSpaces>7041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2024-03-04T13:11:00Z</dcterms:created>
  <dc:creator>Administrator</dc:creator>
  <cp:lastModifiedBy>岁月无痕</cp:lastModifiedBy>
  <cp:lastPrinted>2024-03-04T19:32:00Z</cp:lastPrinted>
  <dcterms:modified xsi:type="dcterms:W3CDTF">2024-08-19T11:23:29Z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4CBA51F098A84EE1BF0E059B495C134A</vt:lpwstr>
  </property>
</Properties>
</file>