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61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 w:bidi="ar"/>
        </w:rPr>
      </w:pPr>
    </w:p>
    <w:p w14:paraId="69A48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="黑体" w:hAnsi="黑体" w:eastAsia="黑体"/>
        </w:rPr>
      </w:pPr>
    </w:p>
    <w:p w14:paraId="297FD2BB">
      <w:pPr>
        <w:jc w:val="center"/>
        <w:outlineLvl w:val="9"/>
        <w:rPr>
          <w:rFonts w:ascii="宋体" w:hAnsi="宋体" w:eastAsia="宋体" w:cs="Arial"/>
          <w:b/>
          <w:bCs/>
          <w:sz w:val="52"/>
          <w:szCs w:val="52"/>
        </w:rPr>
      </w:pPr>
      <w:r>
        <w:rPr>
          <w:rFonts w:hint="eastAsia" w:ascii="宋体" w:hAnsi="宋体" w:eastAsia="宋体" w:cs="Arial"/>
          <w:b/>
          <w:bCs/>
          <w:sz w:val="52"/>
          <w:szCs w:val="52"/>
        </w:rPr>
        <w:t>项目支出绩效评价报告</w:t>
      </w:r>
    </w:p>
    <w:p w14:paraId="489D0193">
      <w:pPr>
        <w:jc w:val="center"/>
        <w:rPr>
          <w:rFonts w:ascii="宋体" w:hAnsi="宋体" w:eastAsia="宋体" w:cs="Arial"/>
          <w:b/>
          <w:bCs/>
          <w:sz w:val="48"/>
          <w:szCs w:val="48"/>
        </w:rPr>
      </w:pPr>
    </w:p>
    <w:p w14:paraId="6CC68D58">
      <w:pPr>
        <w:widowControl/>
        <w:spacing w:line="560" w:lineRule="exact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（2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02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年度）</w:t>
      </w:r>
    </w:p>
    <w:p w14:paraId="14EDB105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2E40FF26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60752C7F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0789DC22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5D630CA1">
      <w:pPr>
        <w:spacing w:line="480" w:lineRule="auto"/>
        <w:jc w:val="center"/>
        <w:rPr>
          <w:rFonts w:ascii="仿宋_GB2312" w:hAnsi="仿宋_GB2312" w:cs="仿宋_GB2312"/>
          <w:b/>
          <w:kern w:val="0"/>
          <w:sz w:val="50"/>
          <w:szCs w:val="50"/>
          <w:lang w:bidi="en-US"/>
        </w:rPr>
      </w:pPr>
    </w:p>
    <w:p w14:paraId="50AFBE55">
      <w:pPr>
        <w:spacing w:line="560" w:lineRule="exact"/>
        <w:ind w:firstLine="321" w:firstLineChars="100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异地灾备中心运维成本运维工作经费</w:t>
      </w:r>
    </w:p>
    <w:p w14:paraId="4F2ED31F">
      <w:pPr>
        <w:spacing w:line="560" w:lineRule="exact"/>
        <w:ind w:firstLine="321" w:firstLineChars="100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实施单位（公章）：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自治区重要信息系统灾难备份中心</w:t>
      </w:r>
    </w:p>
    <w:p w14:paraId="1E37D20D">
      <w:pPr>
        <w:spacing w:line="560" w:lineRule="exact"/>
        <w:ind w:firstLine="321" w:firstLineChars="100"/>
        <w:rPr>
          <w:rFonts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主管部门（公章）：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eastAsia="zh-CN"/>
        </w:rPr>
        <w:t>自治区工业和信息化厅</w:t>
      </w:r>
    </w:p>
    <w:p w14:paraId="38CDF07E">
      <w:pPr>
        <w:spacing w:line="560" w:lineRule="exact"/>
        <w:ind w:firstLine="321" w:firstLineChars="100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项目负责人（签章）：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张磊</w:t>
      </w:r>
    </w:p>
    <w:p w14:paraId="5B6838AB">
      <w:pPr>
        <w:spacing w:line="560" w:lineRule="exact"/>
        <w:ind w:firstLine="321" w:firstLineChars="100"/>
        <w:rPr>
          <w:rFonts w:ascii="宋体" w:hAnsi="宋体" w:eastAsia="宋体" w:cs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填报时间：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年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月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  <w:lang w:val="en-US" w:eastAsia="zh-CN"/>
        </w:rPr>
        <w:t>11</w:t>
      </w:r>
      <w:r>
        <w:rPr>
          <w:rFonts w:hint="eastAsia" w:ascii="宋体" w:hAnsi="宋体" w:eastAsia="宋体" w:cs="仿宋_GB2312"/>
          <w:b/>
          <w:bCs/>
          <w:color w:val="000000"/>
          <w:kern w:val="0"/>
          <w:sz w:val="32"/>
          <w:szCs w:val="32"/>
        </w:rPr>
        <w:t>日</w:t>
      </w:r>
    </w:p>
    <w:p w14:paraId="5698922B">
      <w:pPr>
        <w:jc w:val="center"/>
        <w:rPr>
          <w:rFonts w:ascii="宋体" w:hAnsi="宋体" w:eastAsia="宋体" w:cs="Arial"/>
          <w:b/>
          <w:bCs/>
          <w:sz w:val="36"/>
          <w:szCs w:val="36"/>
        </w:rPr>
      </w:pPr>
    </w:p>
    <w:p w14:paraId="129177D8">
      <w:pPr>
        <w:widowControl/>
        <w:jc w:val="left"/>
        <w:rPr>
          <w:rFonts w:ascii="宋体" w:hAnsi="宋体" w:eastAsia="宋体" w:cs="Arial"/>
          <w:b/>
          <w:bCs/>
          <w:sz w:val="36"/>
          <w:szCs w:val="36"/>
        </w:rPr>
      </w:pPr>
      <w:r>
        <w:rPr>
          <w:rFonts w:ascii="宋体" w:hAnsi="宋体" w:eastAsia="宋体" w:cs="Arial"/>
          <w:b/>
          <w:bCs/>
          <w:sz w:val="36"/>
          <w:szCs w:val="36"/>
        </w:rPr>
        <w:br w:type="page"/>
      </w:r>
    </w:p>
    <w:p w14:paraId="0C5BC0D9">
      <w:pPr>
        <w:pStyle w:val="9"/>
      </w:pPr>
    </w:p>
    <w:p w14:paraId="5401CF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 w:firstLine="320" w:firstLineChars="100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Toc29712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一、基本情况</w:t>
      </w:r>
      <w:bookmarkEnd w:id="0"/>
    </w:p>
    <w:p w14:paraId="4DBA1D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1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/>
        </w:rPr>
      </w:pPr>
      <w:bookmarkStart w:id="1" w:name="_Toc1393"/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（一）项目概况</w:t>
      </w:r>
      <w:bookmarkEnd w:id="1"/>
    </w:p>
    <w:p w14:paraId="19E39D9B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both"/>
        <w:textAlignment w:val="auto"/>
        <w:outlineLvl w:val="2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1、</w:t>
      </w:r>
      <w:r>
        <w:rPr>
          <w:rFonts w:hint="eastAsia" w:ascii="仿宋_GB2312"/>
          <w:sz w:val="32"/>
          <w:szCs w:val="32"/>
        </w:rPr>
        <w:t>项目背景</w:t>
      </w:r>
    </w:p>
    <w:p w14:paraId="51DF0D34">
      <w:pPr>
        <w:spacing w:line="600" w:lineRule="exact"/>
        <w:ind w:firstLine="600" w:firstLineChars="200"/>
        <w:outlineLvl w:val="0"/>
        <w:rPr>
          <w:rFonts w:hint="eastAsia" w:ascii="仿宋_GB2312"/>
        </w:rPr>
      </w:pPr>
      <w:r>
        <w:rPr>
          <w:rFonts w:hint="eastAsia" w:ascii="仿宋_GB2312"/>
        </w:rPr>
        <w:t>自治区重要信息系统异地灾难备份中心，是自治区信息安全管理的一项基础性工作，该项目对于保障各级重要信息系统畅通运行，加快资源节约型、环境友好型社会的建设具有十分重要的作用。灾备中心主要的职责任务是：承担自治区重要信息系统异地灾难备份中心的规划、建设、运行维护等工作；承担各行业云计算、信息数据业务等增值服务；承担自治区网络与信息安全咨询、评测等服务。目前异地灾备中心已建成并投入使用，建成了电子政务外网灾备平台、互联网云灾备平台，为包括自治区财政厅、商务厅、工信厅等自治区各委办局提供电子政务外网灾备业务，与自治区农业农村厅等多家单位商洽了电子政务专网数据、互联网数据异地业务需求。</w:t>
      </w:r>
    </w:p>
    <w:p w14:paraId="45E6F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2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/>
          <w:sz w:val="32"/>
          <w:szCs w:val="32"/>
        </w:rPr>
        <w:t>2</w:t>
      </w:r>
      <w:r>
        <w:rPr>
          <w:rFonts w:hint="eastAsia" w:ascii="仿宋_GB2312"/>
          <w:sz w:val="32"/>
          <w:szCs w:val="32"/>
          <w:lang w:eastAsia="zh-CN"/>
        </w:rPr>
        <w:t>、项目</w:t>
      </w:r>
      <w:r>
        <w:rPr>
          <w:rFonts w:hint="eastAsia" w:ascii="仿宋_GB2312"/>
          <w:sz w:val="32"/>
          <w:szCs w:val="32"/>
        </w:rPr>
        <w:t>主要内容</w:t>
      </w:r>
    </w:p>
    <w:p w14:paraId="3E13B41C">
      <w:pPr>
        <w:spacing w:line="600" w:lineRule="exact"/>
        <w:ind w:firstLine="600" w:firstLineChars="200"/>
        <w:outlineLvl w:val="0"/>
        <w:rPr>
          <w:rFonts w:hint="eastAsia" w:ascii="仿宋_GB2312" w:hAnsi="Times New Roman" w:cs="Times New Roman"/>
        </w:rPr>
      </w:pPr>
      <w:r>
        <w:rPr>
          <w:rFonts w:hint="eastAsia" w:ascii="仿宋_GB2312" w:cs="Times New Roman"/>
          <w:lang w:eastAsia="zh-CN"/>
        </w:rPr>
        <w:t>项目</w:t>
      </w:r>
      <w:r>
        <w:rPr>
          <w:rFonts w:hint="eastAsia" w:ascii="仿宋_GB2312" w:hAnsi="Times New Roman" w:cs="Times New Roman"/>
        </w:rPr>
        <w:t>主要内容：根据</w:t>
      </w:r>
      <w:r>
        <w:rPr>
          <w:rFonts w:hint="eastAsia" w:ascii="仿宋_GB2312" w:hAnsi="Times New Roman" w:cs="Times New Roman"/>
          <w:lang w:val="en-US" w:eastAsia="zh-CN"/>
        </w:rPr>
        <w:t>自治区重要信息系统灾难备份中心</w:t>
      </w:r>
      <w:r>
        <w:rPr>
          <w:rFonts w:hint="eastAsia" w:ascii="仿宋_GB2312" w:hAnsi="Times New Roman" w:cs="Times New Roman"/>
        </w:rPr>
        <w:t>工作总体要求，结合</w:t>
      </w:r>
      <w:r>
        <w:rPr>
          <w:rFonts w:hint="eastAsia" w:ascii="仿宋_GB2312" w:hAnsi="Times New Roman" w:cs="Times New Roman"/>
          <w:lang w:val="en-US" w:eastAsia="zh-CN"/>
        </w:rPr>
        <w:t>2023</w:t>
      </w:r>
      <w:r>
        <w:rPr>
          <w:rFonts w:hint="eastAsia" w:ascii="仿宋_GB2312" w:hAnsi="Times New Roman" w:cs="Times New Roman"/>
        </w:rPr>
        <w:t>工作计划纳入年部门预算，申报</w:t>
      </w:r>
      <w:r>
        <w:rPr>
          <w:rFonts w:hint="eastAsia" w:ascii="仿宋_GB2312" w:hAnsi="Times New Roman" w:cs="Times New Roman"/>
          <w:lang w:val="en-US" w:eastAsia="zh-CN"/>
        </w:rPr>
        <w:t>异地灾备中心运维工作经费</w:t>
      </w:r>
      <w:r>
        <w:rPr>
          <w:rFonts w:hint="eastAsia" w:ascii="仿宋_GB2312" w:hAnsi="Times New Roman" w:cs="Times New Roman"/>
        </w:rPr>
        <w:t>项目预算</w:t>
      </w:r>
      <w:r>
        <w:rPr>
          <w:rFonts w:hint="eastAsia" w:ascii="仿宋_GB2312" w:hAnsi="Times New Roman" w:cs="Times New Roman"/>
          <w:lang w:val="en-US" w:eastAsia="zh-CN"/>
        </w:rPr>
        <w:t>300</w:t>
      </w:r>
      <w:r>
        <w:rPr>
          <w:rFonts w:hint="eastAsia" w:ascii="仿宋_GB2312" w:hAnsi="Times New Roman" w:cs="Times New Roman"/>
        </w:rPr>
        <w:t>万元，</w:t>
      </w:r>
      <w:r>
        <w:rPr>
          <w:rFonts w:hint="eastAsia" w:ascii="仿宋_GB2312" w:hAnsi="Times New Roman" w:cs="Times New Roman"/>
          <w:lang w:eastAsia="zh-CN"/>
        </w:rPr>
        <w:t>用于</w:t>
      </w:r>
      <w:r>
        <w:rPr>
          <w:rFonts w:hint="eastAsia" w:ascii="仿宋_GB2312" w:hAnsi="Times New Roman" w:cs="Times New Roman"/>
          <w:lang w:val="en-US" w:eastAsia="zh-CN"/>
        </w:rPr>
        <w:t>保障异地灾备中心正常运转</w:t>
      </w:r>
      <w:r>
        <w:rPr>
          <w:rFonts w:hint="eastAsia" w:ascii="仿宋_GB2312" w:hAnsi="Times New Roman" w:cs="Times New Roman"/>
        </w:rPr>
        <w:t>，</w:t>
      </w:r>
      <w:r>
        <w:rPr>
          <w:rFonts w:hint="eastAsia" w:ascii="仿宋_GB2312" w:hAnsi="Times New Roman" w:cs="Times New Roman"/>
          <w:lang w:eastAsia="zh-CN"/>
        </w:rPr>
        <w:t>用于列支</w:t>
      </w:r>
      <w:r>
        <w:rPr>
          <w:rFonts w:hint="eastAsia" w:ascii="仿宋_GB2312" w:hAnsi="Times New Roman" w:cs="Times New Roman"/>
          <w:lang w:val="en-US" w:eastAsia="zh-CN"/>
        </w:rPr>
        <w:t>异地灾备中心</w:t>
      </w:r>
      <w:r>
        <w:rPr>
          <w:rFonts w:hint="eastAsia" w:ascii="仿宋_GB2312" w:hAnsi="Times New Roman" w:cs="Times New Roman"/>
        </w:rPr>
        <w:t>基础设施和技术设施运行维护支出</w:t>
      </w:r>
      <w:r>
        <w:rPr>
          <w:rFonts w:hint="eastAsia" w:ascii="仿宋_GB2312" w:hAnsi="Times New Roman" w:cs="Times New Roman"/>
          <w:lang w:val="en-US" w:eastAsia="zh-CN"/>
        </w:rPr>
        <w:t>等</w:t>
      </w:r>
      <w:r>
        <w:rPr>
          <w:rFonts w:hint="eastAsia" w:ascii="仿宋_GB2312" w:hAnsi="Times New Roman" w:cs="Times New Roman"/>
        </w:rPr>
        <w:t>工作经费。</w:t>
      </w:r>
    </w:p>
    <w:p w14:paraId="10BD7262">
      <w:pPr>
        <w:spacing w:line="600" w:lineRule="exact"/>
        <w:ind w:firstLine="600" w:firstLineChars="200"/>
        <w:outlineLvl w:val="0"/>
        <w:rPr>
          <w:rFonts w:hint="eastAsia" w:ascii="仿宋_GB2312" w:hAnsi="Times New Roman" w:cs="Times New Roman"/>
        </w:rPr>
      </w:pPr>
      <w:r>
        <w:rPr>
          <w:rFonts w:hint="eastAsia" w:ascii="仿宋_GB2312"/>
          <w:lang w:eastAsia="zh-CN"/>
        </w:rPr>
        <w:t>项目</w:t>
      </w:r>
      <w:r>
        <w:rPr>
          <w:rFonts w:hint="eastAsia" w:ascii="仿宋_GB2312"/>
        </w:rPr>
        <w:t>实施情况：</w:t>
      </w:r>
      <w:r>
        <w:rPr>
          <w:rFonts w:eastAsia="仿宋_GB2312"/>
          <w:sz w:val="32"/>
          <w:szCs w:val="32"/>
        </w:rPr>
        <w:t>项目目前已经完成实际设立的目标，项目在实施过程中严格按照目标设立的各阶段任务进行开展工作，在前期立项过程中严格把质量关，建立安全防护机制，保证项目实施各阶段安全顺利进行。</w:t>
      </w:r>
    </w:p>
    <w:p w14:paraId="6593F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outlineLvl w:val="2"/>
        <w:rPr>
          <w:rFonts w:ascii="仿宋_GB2312"/>
        </w:rPr>
      </w:pPr>
      <w:r>
        <w:rPr>
          <w:rFonts w:hint="eastAsia" w:ascii="仿宋_GB2312"/>
          <w:lang w:val="en-US" w:eastAsia="zh-CN"/>
        </w:rPr>
        <w:t>3</w:t>
      </w:r>
      <w:r>
        <w:rPr>
          <w:rFonts w:hint="eastAsia" w:ascii="仿宋_GB2312"/>
        </w:rPr>
        <w:t>、资金投入和使用情况</w:t>
      </w:r>
    </w:p>
    <w:p w14:paraId="5A066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资金投入情况</w:t>
      </w:r>
    </w:p>
    <w:p w14:paraId="7F09E5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eastAsia="仿宋_GB2312"/>
          <w:color w:val="auto"/>
          <w:lang w:eastAsia="zh-CN"/>
        </w:rPr>
      </w:pPr>
      <w:r>
        <w:rPr>
          <w:rFonts w:hint="eastAsia"/>
          <w:color w:val="auto"/>
        </w:rPr>
        <w:t>该项目</w:t>
      </w:r>
      <w:r>
        <w:rPr>
          <w:rFonts w:hint="eastAsia"/>
          <w:color w:val="auto"/>
          <w:lang w:eastAsia="zh-CN"/>
        </w:rPr>
        <w:t>年初</w:t>
      </w:r>
      <w:r>
        <w:rPr>
          <w:rFonts w:hint="eastAsia"/>
          <w:color w:val="auto"/>
        </w:rPr>
        <w:t>预算数</w:t>
      </w:r>
      <w:r>
        <w:rPr>
          <w:rFonts w:hint="eastAsia"/>
          <w:color w:val="auto"/>
          <w:lang w:val="en-US" w:eastAsia="zh-CN"/>
        </w:rPr>
        <w:t>300万元，全年预算数300</w:t>
      </w:r>
      <w:r>
        <w:rPr>
          <w:rFonts w:hint="eastAsia"/>
          <w:color w:val="auto"/>
        </w:rPr>
        <w:t>万元，实际总投入</w:t>
      </w:r>
      <w:r>
        <w:rPr>
          <w:rFonts w:hint="eastAsia"/>
          <w:color w:val="auto"/>
          <w:lang w:val="en-US" w:eastAsia="zh-CN"/>
        </w:rPr>
        <w:t>300</w:t>
      </w:r>
      <w:r>
        <w:rPr>
          <w:rFonts w:hint="eastAsia"/>
          <w:color w:val="auto"/>
        </w:rPr>
        <w:t>万元，该项目资金已全部落实到位</w:t>
      </w:r>
      <w:r>
        <w:rPr>
          <w:rFonts w:hint="eastAsia"/>
          <w:color w:val="auto"/>
          <w:lang w:eastAsia="zh-CN"/>
        </w:rPr>
        <w:t>，</w:t>
      </w:r>
      <w:r>
        <w:rPr>
          <w:rFonts w:hint="eastAsia" w:ascii="仿宋_GB2312" w:hAnsi="Times New Roman" w:cs="Times New Roman"/>
          <w:lang w:eastAsia="zh-CN"/>
        </w:rPr>
        <w:t>资金来源为</w:t>
      </w:r>
      <w:r>
        <w:rPr>
          <w:rFonts w:hint="eastAsia" w:ascii="仿宋_GB2312" w:hAnsi="Times New Roman" w:cs="Times New Roman"/>
        </w:rPr>
        <w:t>一般公共预算拨款</w:t>
      </w:r>
      <w:r>
        <w:rPr>
          <w:rFonts w:hint="eastAsia" w:ascii="仿宋_GB2312" w:cs="Times New Roman"/>
          <w:lang w:eastAsia="zh-CN"/>
        </w:rPr>
        <w:t>。</w:t>
      </w:r>
    </w:p>
    <w:p w14:paraId="6E544E9C">
      <w:pPr>
        <w:numPr>
          <w:ilvl w:val="0"/>
          <w:numId w:val="1"/>
        </w:numPr>
        <w:spacing w:line="600" w:lineRule="exact"/>
        <w:ind w:firstLine="600" w:firstLineChars="200"/>
        <w:outlineLvl w:val="0"/>
        <w:rPr>
          <w:rFonts w:hint="eastAsia"/>
        </w:rPr>
      </w:pPr>
      <w:r>
        <w:rPr>
          <w:rFonts w:hint="eastAsia"/>
        </w:rPr>
        <w:t>资金使用情况</w:t>
      </w:r>
    </w:p>
    <w:p w14:paraId="1F05E09B">
      <w:pPr>
        <w:numPr>
          <w:ilvl w:val="0"/>
          <w:numId w:val="0"/>
        </w:numPr>
        <w:spacing w:line="600" w:lineRule="exact"/>
        <w:ind w:firstLine="600" w:firstLineChars="200"/>
        <w:outlineLvl w:val="0"/>
        <w:rPr>
          <w:rFonts w:hint="eastAsia" w:ascii="仿宋_GB2312" w:hAnsi="Times New Roman" w:cs="Times New Roman"/>
        </w:rPr>
      </w:pPr>
      <w:r>
        <w:rPr>
          <w:rFonts w:hint="eastAsia"/>
          <w:color w:val="auto"/>
        </w:rPr>
        <w:t>该项目</w:t>
      </w:r>
      <w:r>
        <w:rPr>
          <w:rFonts w:hint="eastAsia"/>
          <w:color w:val="auto"/>
          <w:lang w:val="en-US" w:eastAsia="zh-CN"/>
        </w:rPr>
        <w:t>年初</w:t>
      </w:r>
      <w:r>
        <w:rPr>
          <w:rFonts w:hint="eastAsia"/>
          <w:color w:val="auto"/>
        </w:rPr>
        <w:t>预算</w:t>
      </w:r>
      <w:r>
        <w:rPr>
          <w:rFonts w:hint="eastAsia"/>
          <w:color w:val="auto"/>
          <w:lang w:eastAsia="zh-CN"/>
        </w:rPr>
        <w:t>数</w:t>
      </w:r>
      <w:r>
        <w:rPr>
          <w:rFonts w:hint="eastAsia"/>
          <w:color w:val="auto"/>
          <w:lang w:val="en-US" w:eastAsia="zh-CN"/>
        </w:rPr>
        <w:t>300万元</w:t>
      </w:r>
      <w:r>
        <w:rPr>
          <w:rFonts w:hint="eastAsia"/>
          <w:color w:val="auto"/>
        </w:rPr>
        <w:t>，全年预算数</w:t>
      </w:r>
      <w:r>
        <w:rPr>
          <w:rFonts w:hint="eastAsia"/>
          <w:color w:val="auto"/>
          <w:lang w:val="en-US" w:eastAsia="zh-CN"/>
        </w:rPr>
        <w:t>300</w:t>
      </w:r>
      <w:r>
        <w:rPr>
          <w:rFonts w:hint="eastAsia"/>
          <w:color w:val="auto"/>
        </w:rPr>
        <w:t>万元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全年执行数</w:t>
      </w:r>
      <w:r>
        <w:rPr>
          <w:rFonts w:hint="eastAsia"/>
          <w:color w:val="auto"/>
          <w:lang w:val="en-US" w:eastAsia="zh-CN"/>
        </w:rPr>
        <w:t>300</w:t>
      </w:r>
      <w:r>
        <w:rPr>
          <w:rFonts w:hint="eastAsia"/>
          <w:color w:val="auto"/>
        </w:rPr>
        <w:t>万元，预算执行率为</w:t>
      </w:r>
      <w:r>
        <w:rPr>
          <w:rFonts w:hint="eastAsia"/>
          <w:color w:val="auto"/>
          <w:lang w:val="en-US" w:eastAsia="zh-CN"/>
        </w:rPr>
        <w:t>100</w:t>
      </w:r>
      <w:r>
        <w:rPr>
          <w:rFonts w:hint="eastAsia"/>
          <w:color w:val="auto"/>
        </w:rPr>
        <w:t>%</w:t>
      </w:r>
      <w:r>
        <w:rPr>
          <w:rFonts w:hint="eastAsia"/>
          <w:color w:val="auto"/>
          <w:lang w:eastAsia="zh-CN"/>
        </w:rPr>
        <w:t>，主要</w:t>
      </w:r>
      <w:r>
        <w:rPr>
          <w:rFonts w:hint="eastAsia"/>
          <w:color w:val="auto"/>
        </w:rPr>
        <w:t>用于</w:t>
      </w:r>
      <w:r>
        <w:rPr>
          <w:rFonts w:hint="eastAsia"/>
          <w:color w:val="auto"/>
          <w:lang w:val="en-US" w:eastAsia="zh-CN"/>
        </w:rPr>
        <w:t>保障异地灾备中心正常运转，</w:t>
      </w:r>
      <w:r>
        <w:rPr>
          <w:rFonts w:hint="eastAsia" w:ascii="仿宋_GB2312" w:hAnsi="Times New Roman" w:cs="Times New Roman"/>
          <w:lang w:val="en-US" w:eastAsia="zh-CN"/>
        </w:rPr>
        <w:t>支付异地灾备中心水费0.5万元、电费10.8万元、维修（护）费8.35万元、委托业务费21</w:t>
      </w:r>
      <w:r>
        <w:rPr>
          <w:rFonts w:hint="eastAsia" w:ascii="仿宋_GB2312" w:cs="Times New Roman"/>
          <w:lang w:val="en-US" w:eastAsia="zh-CN"/>
        </w:rPr>
        <w:t>2</w:t>
      </w:r>
      <w:r>
        <w:rPr>
          <w:rFonts w:hint="eastAsia" w:ascii="仿宋_GB2312" w:hAnsi="Times New Roman" w:cs="Times New Roman"/>
          <w:lang w:val="en-US" w:eastAsia="zh-CN"/>
        </w:rPr>
        <w:t>.5</w:t>
      </w:r>
      <w:r>
        <w:rPr>
          <w:rFonts w:hint="eastAsia" w:ascii="仿宋_GB2312" w:cs="Times New Roman"/>
          <w:lang w:val="en-US" w:eastAsia="zh-CN"/>
        </w:rPr>
        <w:t>1</w:t>
      </w:r>
      <w:r>
        <w:rPr>
          <w:rFonts w:hint="eastAsia" w:ascii="仿宋_GB2312" w:hAnsi="Times New Roman" w:cs="Times New Roman"/>
          <w:lang w:val="en-US" w:eastAsia="zh-CN"/>
        </w:rPr>
        <w:t>万元、通讯链路租赁费67.84万元。</w:t>
      </w:r>
    </w:p>
    <w:p w14:paraId="2A1F3479">
      <w:pPr>
        <w:spacing w:line="540" w:lineRule="exact"/>
        <w:ind w:firstLine="567"/>
        <w:outlineLvl w:val="1"/>
        <w:rPr>
          <w:rStyle w:val="14"/>
          <w:rFonts w:ascii="仿宋" w:hAnsi="仿宋" w:eastAsia="仿宋"/>
          <w:b w:val="0"/>
          <w:bCs w:val="0"/>
          <w:spacing w:val="-4"/>
          <w:sz w:val="32"/>
          <w:szCs w:val="32"/>
        </w:rPr>
      </w:pPr>
      <w:bookmarkStart w:id="2" w:name="_Toc24324"/>
      <w:r>
        <w:rPr>
          <w:rStyle w:val="14"/>
          <w:rFonts w:hint="eastAsia" w:ascii="楷体_GB2312" w:hAnsi="楷体_GB2312" w:eastAsia="楷体_GB2312" w:cs="楷体_GB2312"/>
          <w:b/>
          <w:bCs/>
          <w:spacing w:val="-4"/>
          <w:sz w:val="32"/>
          <w:szCs w:val="32"/>
        </w:rPr>
        <w:t>（二）项目绩效目标</w:t>
      </w:r>
      <w:bookmarkEnd w:id="2"/>
    </w:p>
    <w:p w14:paraId="1E181B1D">
      <w:pPr>
        <w:widowControl/>
        <w:spacing w:line="540" w:lineRule="exact"/>
        <w:ind w:firstLine="627" w:firstLineChars="200"/>
        <w:jc w:val="left"/>
        <w:outlineLvl w:val="2"/>
        <w:rPr>
          <w:rStyle w:val="14"/>
          <w:rFonts w:ascii="仿宋" w:hAnsi="仿宋" w:eastAsia="仿宋" w:cs="仿宋_GB2312"/>
          <w:b w:val="0"/>
          <w:bCs w:val="0"/>
          <w:spacing w:val="-4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1</w:t>
      </w:r>
      <w:r>
        <w:rPr>
          <w:rStyle w:val="14"/>
          <w:rFonts w:hint="eastAsia" w:ascii="仿宋_GB2312" w:hAnsi="仿宋_GB2312" w:eastAsia="仿宋_GB2312" w:cs="仿宋_GB2312"/>
          <w:b/>
          <w:bCs/>
          <w:spacing w:val="-4"/>
          <w:sz w:val="32"/>
          <w:szCs w:val="32"/>
          <w:lang w:eastAsia="zh-CN"/>
        </w:rPr>
        <w:t>、</w:t>
      </w:r>
      <w:r>
        <w:rPr>
          <w:rStyle w:val="14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总</w:t>
      </w:r>
      <w:r>
        <w:rPr>
          <w:rStyle w:val="14"/>
          <w:rFonts w:hint="eastAsia" w:ascii="仿宋_GB2312" w:hAnsi="仿宋_GB2312" w:cs="仿宋_GB2312"/>
          <w:b/>
          <w:bCs/>
          <w:spacing w:val="-4"/>
          <w:sz w:val="32"/>
          <w:szCs w:val="32"/>
          <w:lang w:eastAsia="zh-CN"/>
        </w:rPr>
        <w:t>体</w:t>
      </w:r>
      <w:r>
        <w:rPr>
          <w:rStyle w:val="14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目标</w:t>
      </w:r>
    </w:p>
    <w:p w14:paraId="530D038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为自治区党政部门等重要单位和部门、行业提供了具备国家标准1到5级灾难恢复能力的信息系统数据灾难备份服务，并具备灾难恢复能力。提供云计算、信息安全相关服务。提升重要信息系统抵御风险的水平，增强防御灾害的能力。保障异地重要信息系统灾难备份中心各系统正常运行，做好灾备项目电力、暖通、消防、IT等各系统日常、月度、季度巡检工作，及时处理发现故障，确保各系统安全稳定运行。</w:t>
      </w:r>
    </w:p>
    <w:p w14:paraId="2E2CEAFB">
      <w:pPr>
        <w:spacing w:line="560" w:lineRule="exact"/>
        <w:ind w:firstLine="627" w:firstLineChars="200"/>
        <w:rPr>
          <w:rStyle w:val="14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</w:pPr>
      <w:r>
        <w:rPr>
          <w:rStyle w:val="14"/>
          <w:rFonts w:hint="eastAsia" w:ascii="仿宋_GB2312" w:hAnsi="仿宋_GB2312" w:eastAsia="仿宋_GB2312" w:cs="仿宋_GB2312"/>
          <w:b/>
          <w:bCs/>
          <w:spacing w:val="-4"/>
          <w:sz w:val="32"/>
          <w:szCs w:val="32"/>
        </w:rPr>
        <w:t>2、阶段性目标</w:t>
      </w:r>
    </w:p>
    <w:p w14:paraId="1C02132C">
      <w:pPr>
        <w:spacing w:line="540" w:lineRule="exact"/>
        <w:ind w:firstLine="640" w:firstLineChars="200"/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根据工作计划，按月逐步开展工作，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自治区党政部门等重要单位和部门、行业提供了具备国家标准1到5级灾难恢复能力的信息系统数据灾难备份服务，并具备灾难恢复能力。保障异地重要信息系统灾难备份中心各系统正常运行，做好灾备项目电力、暖通、消防、IT等各系统日常、月度、季度巡检工作，及时处理发现故障，确保各系统安全稳定运行。</w:t>
      </w:r>
    </w:p>
    <w:p w14:paraId="3732A052">
      <w:pPr>
        <w:spacing w:line="540" w:lineRule="exact"/>
        <w:ind w:firstLine="936" w:firstLineChars="300"/>
        <w:outlineLvl w:val="0"/>
        <w:rPr>
          <w:rStyle w:val="14"/>
          <w:rFonts w:ascii="黑体" w:hAnsi="黑体" w:eastAsia="黑体"/>
          <w:b w:val="0"/>
          <w:spacing w:val="-4"/>
          <w:sz w:val="32"/>
          <w:szCs w:val="32"/>
        </w:rPr>
      </w:pPr>
      <w:bookmarkStart w:id="3" w:name="_Toc32408"/>
      <w:r>
        <w:rPr>
          <w:rStyle w:val="14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  <w:bookmarkEnd w:id="3"/>
    </w:p>
    <w:p w14:paraId="6B6BA5CA">
      <w:pPr>
        <w:widowControl/>
        <w:spacing w:line="540" w:lineRule="exact"/>
        <w:ind w:firstLine="627" w:firstLineChars="200"/>
        <w:jc w:val="left"/>
        <w:outlineLvl w:val="1"/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</w:pPr>
      <w:bookmarkStart w:id="4" w:name="_Toc23205"/>
      <w:r>
        <w:rPr>
          <w:rStyle w:val="14"/>
          <w:rFonts w:hint="eastAsia" w:ascii="楷体_GB2312" w:hAnsi="楷体_GB2312" w:eastAsia="楷体_GB2312" w:cs="楷体_GB2312"/>
          <w:b/>
          <w:bCs w:val="0"/>
          <w:spacing w:val="-4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  <w:t>绩效评价目的、对象和范围</w:t>
      </w:r>
      <w:bookmarkEnd w:id="4"/>
    </w:p>
    <w:p w14:paraId="1C99C8C8">
      <w:pPr>
        <w:widowControl/>
        <w:spacing w:line="540" w:lineRule="exact"/>
        <w:ind w:firstLine="643" w:firstLineChars="200"/>
        <w:jc w:val="left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1、绩效评价</w:t>
      </w: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目的</w:t>
      </w:r>
    </w:p>
    <w:p w14:paraId="26146202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</w:p>
    <w:p w14:paraId="5001E2DD">
      <w:pPr>
        <w:numPr>
          <w:ilvl w:val="0"/>
          <w:numId w:val="2"/>
        </w:num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项目在实施前向项目负责人提供财政支出绩效方面的资金管理信息，促进项目支出严格按照资金管理规定进行。</w:t>
      </w:r>
    </w:p>
    <w:p w14:paraId="2A5733D0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（2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eastAsia="仿宋_GB2312"/>
          <w:sz w:val="32"/>
          <w:szCs w:val="32"/>
        </w:rPr>
        <w:t>项目绩效管理财政支出运行提供及时、有效的信息。</w:t>
      </w:r>
    </w:p>
    <w:p w14:paraId="7B62A8E2">
      <w:pPr>
        <w:pStyle w:val="15"/>
        <w:spacing w:line="560" w:lineRule="exact"/>
        <w:ind w:firstLine="640" w:firstLineChars="200"/>
        <w:rPr>
          <w:rFonts w:eastAsia="方正仿宋_GBK" w:cs="方正仿宋_GBK"/>
          <w:sz w:val="32"/>
          <w:szCs w:val="32"/>
        </w:rPr>
      </w:pPr>
      <w:r>
        <w:rPr>
          <w:rFonts w:eastAsia="仿宋_GB2312"/>
          <w:sz w:val="32"/>
          <w:szCs w:val="32"/>
        </w:rPr>
        <w:t>综合来看，通过开展有效的财政支出绩效评价管理，</w:t>
      </w:r>
      <w:r>
        <w:rPr>
          <w:rFonts w:hint="eastAsia" w:eastAsia="仿宋_GB2312"/>
          <w:sz w:val="32"/>
          <w:szCs w:val="32"/>
        </w:rPr>
        <w:t>全面了解该项目预算编制合理性、资金使用合规性、项目管理的规范性、项目目标的实现情况、服务对象的满意度等，通过本次项目绩效评价来总结经验和教训，促进项目成果转化和应用，为今后类似项目的长效管理，提供可行性参考建议。也为下一年预算编制与评审提供充分有效的依据，以达到改进预算管理、控制节约成本，优化资源配置、提高预算资金使用效益的目的。</w:t>
      </w:r>
    </w:p>
    <w:p w14:paraId="29136F7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2、绩效评价</w:t>
      </w: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对象：</w:t>
      </w:r>
    </w:p>
    <w:p w14:paraId="2EFC1879">
      <w:pPr>
        <w:spacing w:line="54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保障异地重要信息系统灾难备份中心各系统正常运行，</w:t>
      </w:r>
      <w:r>
        <w:rPr>
          <w:rFonts w:hint="eastAsia" w:ascii="仿宋_GB2312" w:hAnsi="Times New Roman" w:cs="Times New Roman"/>
          <w:lang w:val="en-US" w:eastAsia="zh-CN"/>
        </w:rPr>
        <w:t>异地灾备中心</w:t>
      </w:r>
      <w:r>
        <w:rPr>
          <w:rFonts w:hint="eastAsia" w:ascii="仿宋_GB2312" w:hAnsi="Times New Roman" w:cs="Times New Roman"/>
        </w:rPr>
        <w:t>基础设施和技术设施运行维护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做好灾备项目电力、暖通、消防、IT等各系统日常、月度、季度巡检工作，及时处理发现故障，确保各系统安全稳定运行。</w:t>
      </w:r>
    </w:p>
    <w:p w14:paraId="625DA61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3、绩效评价范围：</w:t>
      </w:r>
    </w:p>
    <w:p w14:paraId="4BEADF16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本次评价从项目决策（包括绩效目标、决策过程）、项目管理（包括项目资金、项目实施）、项目产出（包括项目产出数量、产出质量、产出时效和产出成本）项目效益四个维度对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异地灾备中心运维成本工作经费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项目进行评价，评价核心为专项资金的支出完成情况和效果。</w:t>
      </w:r>
    </w:p>
    <w:p w14:paraId="64A8CE1A">
      <w:pPr>
        <w:widowControl/>
        <w:spacing w:line="540" w:lineRule="exact"/>
        <w:ind w:firstLine="643" w:firstLineChars="200"/>
        <w:jc w:val="left"/>
        <w:outlineLvl w:val="1"/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</w:pPr>
      <w:bookmarkStart w:id="5" w:name="_Toc5900"/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 w:val="0"/>
          <w:sz w:val="32"/>
          <w:szCs w:val="32"/>
        </w:rPr>
        <w:t>二）绩效评价原则、评价指标体系（附表说明）、评价方法、评价标准等</w:t>
      </w:r>
      <w:bookmarkEnd w:id="5"/>
    </w:p>
    <w:p w14:paraId="15895094">
      <w:pPr>
        <w:spacing w:line="600" w:lineRule="exact"/>
        <w:ind w:firstLine="640"/>
        <w:outlineLvl w:val="2"/>
        <w:rPr>
          <w:rFonts w:hint="eastAsia" w:ascii="仿宋_GB2312" w:hAnsi="仿宋_GB2312" w:cs="仿宋_GB2312"/>
          <w:b/>
          <w:bCs/>
          <w:color w:val="333333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sz w:val="32"/>
          <w:szCs w:val="32"/>
        </w:rPr>
        <w:t>1</w:t>
      </w:r>
      <w:r>
        <w:rPr>
          <w:rFonts w:hint="eastAsia" w:ascii="仿宋_GB2312" w:hAnsi="仿宋_GB2312" w:cs="仿宋_GB2312"/>
          <w:b/>
          <w:bCs/>
          <w:color w:val="333333"/>
          <w:sz w:val="32"/>
          <w:szCs w:val="32"/>
          <w:lang w:eastAsia="zh-CN"/>
        </w:rPr>
        <w:t>、绩效评价原则</w:t>
      </w:r>
    </w:p>
    <w:p w14:paraId="55AAE75E">
      <w:pPr>
        <w:spacing w:line="600" w:lineRule="exact"/>
        <w:ind w:firstLine="640"/>
        <w:outlineLvl w:val="2"/>
        <w:rPr>
          <w:rFonts w:hint="eastAsia" w:ascii="仿宋_GB2312" w:hAnsi="仿宋_GB2312" w:eastAsia="仿宋_GB2312" w:cs="仿宋_GB2312"/>
          <w:b/>
          <w:bCs/>
          <w:color w:val="333333"/>
          <w:sz w:val="32"/>
          <w:szCs w:val="32"/>
        </w:rPr>
      </w:pPr>
      <w:r>
        <w:rPr>
          <w:rFonts w:hint="eastAsia" w:ascii="仿宋_GB2312" w:hAnsi="仿宋_GB2312" w:cs="仿宋_GB2312"/>
          <w:b/>
          <w:bCs/>
          <w:color w:val="333333"/>
          <w:sz w:val="32"/>
          <w:szCs w:val="32"/>
          <w:lang w:eastAsia="zh-CN"/>
        </w:rPr>
        <w:t>本次项目</w:t>
      </w:r>
      <w:r>
        <w:rPr>
          <w:rFonts w:hint="eastAsia" w:ascii="仿宋_GB2312" w:hAnsi="仿宋_GB2312" w:eastAsia="仿宋_GB2312" w:cs="仿宋_GB2312"/>
          <w:b/>
          <w:bCs/>
          <w:color w:val="333333"/>
          <w:sz w:val="32"/>
          <w:szCs w:val="32"/>
        </w:rPr>
        <w:t>绩效评价主要遵循原则：</w:t>
      </w:r>
    </w:p>
    <w:p w14:paraId="30300EC6">
      <w:pPr>
        <w:spacing w:line="600" w:lineRule="exact"/>
        <w:ind w:firstLine="640"/>
        <w:rPr>
          <w:rFonts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r>
        <w:rPr>
          <w:rFonts w:hint="eastAsia" w:ascii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/>
          <w:bCs/>
          <w:sz w:val="32"/>
          <w:szCs w:val="32"/>
        </w:rPr>
        <w:t>）科学公正。绩效评价应当运用科学合理的方法，按照规范的程序，对项目绩效进行客观、公正的反映。</w:t>
      </w:r>
    </w:p>
    <w:p w14:paraId="09BD4E26">
      <w:pPr>
        <w:spacing w:line="600" w:lineRule="exact"/>
        <w:ind w:firstLine="640" w:firstLineChars="200"/>
        <w:rPr>
          <w:rFonts w:hint="eastAsia"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r>
        <w:rPr>
          <w:rFonts w:hint="eastAsia" w:ascii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/>
          <w:bCs/>
          <w:sz w:val="32"/>
          <w:szCs w:val="32"/>
        </w:rPr>
        <w:t>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</w:p>
    <w:p w14:paraId="1215E089">
      <w:pPr>
        <w:spacing w:line="600" w:lineRule="exact"/>
        <w:ind w:firstLine="640"/>
        <w:rPr>
          <w:rFonts w:hint="eastAsia"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r>
        <w:rPr>
          <w:rFonts w:hint="eastAsia" w:ascii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/>
          <w:bCs/>
          <w:sz w:val="32"/>
          <w:szCs w:val="32"/>
        </w:rPr>
        <w:t>）激励约束。绩效评价结果应与预算安排、政策调整、改进管理实质性挂钩，体现奖优罚劣和激励相容导向，有效要安排、低效要压减、无效要问责。</w:t>
      </w:r>
    </w:p>
    <w:p w14:paraId="0F84ACA7">
      <w:pPr>
        <w:spacing w:line="600" w:lineRule="exact"/>
        <w:ind w:firstLine="640"/>
        <w:rPr>
          <w:rFonts w:hint="eastAsia" w:ascii="仿宋_GB2312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r>
        <w:rPr>
          <w:rFonts w:hint="eastAsia" w:ascii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/>
          <w:bCs/>
          <w:sz w:val="32"/>
          <w:szCs w:val="32"/>
        </w:rPr>
        <w:t>）公开透明。绩效评价结果应依法依规公开，并自觉接受社会监督。</w:t>
      </w:r>
    </w:p>
    <w:p w14:paraId="72901537">
      <w:pPr>
        <w:spacing w:line="360" w:lineRule="auto"/>
        <w:ind w:firstLine="602" w:firstLineChars="200"/>
        <w:outlineLvl w:val="2"/>
        <w:rPr>
          <w:b/>
          <w:bCs/>
        </w:rPr>
      </w:pPr>
      <w:r>
        <w:rPr>
          <w:rFonts w:hint="eastAsia"/>
          <w:b/>
          <w:bCs/>
        </w:rPr>
        <w:t>2、评价指标体系</w:t>
      </w:r>
    </w:p>
    <w:p w14:paraId="4541F894">
      <w:pPr>
        <w:spacing w:line="560" w:lineRule="exact"/>
        <w:ind w:firstLine="708" w:firstLineChars="200"/>
        <w:rPr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3E40EDF4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（1）确定评价指标</w:t>
      </w:r>
    </w:p>
    <w:p w14:paraId="329AFA09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0BFD26CD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（2）确定权重</w:t>
      </w:r>
    </w:p>
    <w:p w14:paraId="446C5380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30594C8E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（3）确定指标标准值</w:t>
      </w:r>
    </w:p>
    <w:p w14:paraId="27CC737D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74DD6D3F">
      <w:pPr>
        <w:pStyle w:val="2"/>
        <w:spacing w:before="0" w:after="0" w:line="560" w:lineRule="exact"/>
        <w:ind w:firstLine="708" w:firstLineChars="200"/>
        <w:jc w:val="both"/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  <w:kern w:val="2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</w:p>
    <w:p w14:paraId="7FC28884">
      <w:pPr>
        <w:pStyle w:val="2"/>
        <w:widowControl w:val="0"/>
        <w:spacing w:before="0" w:after="0" w:line="560" w:lineRule="exact"/>
        <w:ind w:firstLine="708" w:firstLineChars="200"/>
        <w:jc w:val="both"/>
        <w:outlineLvl w:val="9"/>
        <w:rPr>
          <w:rFonts w:ascii="Times New Roman" w:hAnsi="Times New Roman" w:eastAsia="仿宋_GB2312"/>
          <w:b w:val="0"/>
          <w:bCs w:val="0"/>
          <w:color w:val="000000"/>
          <w:spacing w:val="17"/>
        </w:rPr>
      </w:pPr>
      <w:r>
        <w:rPr>
          <w:rFonts w:ascii="Times New Roman" w:hAnsi="Times New Roman" w:eastAsia="仿宋_GB2312"/>
          <w:b w:val="0"/>
          <w:bCs w:val="0"/>
          <w:color w:val="000000"/>
          <w:spacing w:val="17"/>
        </w:rPr>
        <w:t>具体评价指标体系详情见附件1</w:t>
      </w:r>
    </w:p>
    <w:p w14:paraId="1D6AA6D7">
      <w:pPr>
        <w:spacing w:before="0" w:after="0" w:line="240" w:lineRule="auto"/>
        <w:jc w:val="center"/>
        <w:outlineLvl w:val="9"/>
        <w:rPr>
          <w:rStyle w:val="14"/>
          <w:rFonts w:ascii="宋体" w:hAnsi="宋体" w:eastAsia="宋体" w:cs="宋体"/>
          <w:b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/>
          <w:sz w:val="28"/>
          <w:szCs w:val="28"/>
        </w:rPr>
        <w:t>项目支出绩效评价指标体系</w:t>
      </w:r>
    </w:p>
    <w:tbl>
      <w:tblPr>
        <w:tblStyle w:val="12"/>
        <w:tblW w:w="692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1202"/>
        <w:gridCol w:w="2420"/>
        <w:gridCol w:w="949"/>
        <w:gridCol w:w="1187"/>
      </w:tblGrid>
      <w:tr w14:paraId="1DEE80A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tblHeader/>
          <w:jc w:val="center"/>
        </w:trPr>
        <w:tc>
          <w:tcPr>
            <w:tcW w:w="1167" w:type="dxa"/>
            <w:shd w:val="clear" w:color="auto" w:fill="FFFFFF"/>
            <w:vAlign w:val="center"/>
          </w:tcPr>
          <w:p w14:paraId="4553834A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202" w:type="dxa"/>
            <w:shd w:val="clear" w:color="auto" w:fill="FFFFFF"/>
            <w:vAlign w:val="center"/>
          </w:tcPr>
          <w:p w14:paraId="73E6B540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4B093BE3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7972196B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17F511F9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 w14:paraId="4120A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167" w:type="dxa"/>
            <w:vMerge w:val="restart"/>
            <w:shd w:val="clear" w:color="auto" w:fill="FFFFFF"/>
            <w:vAlign w:val="center"/>
          </w:tcPr>
          <w:p w14:paraId="71B8E9D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决策　</w:t>
            </w: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7A09608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项目立项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7C9E0A1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立项依据充分性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383E3AD3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51CDE11C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14:paraId="113C82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5E0F95B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16CC464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37158BB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立项程序规范性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65387E37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56E8C0BE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14:paraId="44457DB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0CF5CD5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5784E43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绩效目标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74F97C8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绩效目标合理性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1C3DE3C8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3084DFE3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14:paraId="0E52C67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2887F17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1BA24E9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6C7838A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绩效指标明确性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2C239839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17CDF18B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14:paraId="3BFCBD9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6FD745E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6CDA8C2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资金投入</w:t>
            </w:r>
          </w:p>
          <w:p w14:paraId="454E630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57AC2BB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预算编制科学性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0501E1E6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169EFEE7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5E104C2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4AA0E26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595A688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67FE8A9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资金分配合理性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469BD70D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3AA7950C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5F044E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167" w:type="dxa"/>
            <w:vMerge w:val="restart"/>
            <w:shd w:val="clear" w:color="auto" w:fill="FFFFFF"/>
            <w:vAlign w:val="center"/>
          </w:tcPr>
          <w:p w14:paraId="6AB31C4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790D8E5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过程　</w:t>
            </w: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1207544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资金管理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6CA0DCE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资金到位率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182B7947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7FFFDD3A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306FA0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31FCD46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525858E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2BFE8AC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预算执行率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1C8E848F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5DD294AC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</w:tr>
      <w:tr w14:paraId="30FFE2D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46DDE29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2125DB6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28CC18A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资金使用合规性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5859F126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2CF13D5B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14:paraId="2654630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645CD03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0310042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组织实施</w:t>
            </w:r>
          </w:p>
          <w:p w14:paraId="4D64ABD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42E9855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管理制度健全性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091F6A1C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75D9B449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1384C5B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31FC9A3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1497353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59D7E4E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制度执行有效性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18016B67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4483D2A4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14:paraId="14BB0F0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167" w:type="dxa"/>
            <w:vMerge w:val="restart"/>
            <w:shd w:val="clear" w:color="auto" w:fill="FFFFFF"/>
            <w:vAlign w:val="center"/>
          </w:tcPr>
          <w:p w14:paraId="6892600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1202" w:type="dxa"/>
            <w:shd w:val="clear" w:color="auto" w:fill="FFFFFF"/>
            <w:vAlign w:val="center"/>
          </w:tcPr>
          <w:p w14:paraId="144AEDF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2D66E80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实际完成率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7D62BE15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4DBB5EBC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1F1426B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476687A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4BBCF8A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5EC991D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质量达标率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02C6C34F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0A1ECF5C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1B51E80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29889E9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416C74B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75A3D41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完成及时性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1942FDC9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6EF0F523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280E1E9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1F308E5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 w14:paraId="629DEB0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5FC4285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成本节约率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44BD25EE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4964AA41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1EDB85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167" w:type="dxa"/>
            <w:vMerge w:val="restart"/>
            <w:shd w:val="clear" w:color="auto" w:fill="FFFFFF"/>
            <w:vAlign w:val="center"/>
          </w:tcPr>
          <w:p w14:paraId="4C61C70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效益　</w:t>
            </w:r>
          </w:p>
        </w:tc>
        <w:tc>
          <w:tcPr>
            <w:tcW w:w="1202" w:type="dxa"/>
            <w:vMerge w:val="restart"/>
            <w:shd w:val="clear" w:color="auto" w:fill="FFFFFF"/>
            <w:vAlign w:val="center"/>
          </w:tcPr>
          <w:p w14:paraId="02AB787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项目效益　</w:t>
            </w:r>
          </w:p>
        </w:tc>
        <w:tc>
          <w:tcPr>
            <w:tcW w:w="2420" w:type="dxa"/>
            <w:shd w:val="clear" w:color="auto" w:fill="FFFFFF"/>
            <w:vAlign w:val="center"/>
          </w:tcPr>
          <w:p w14:paraId="443652B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实施效益</w:t>
            </w:r>
          </w:p>
        </w:tc>
        <w:tc>
          <w:tcPr>
            <w:tcW w:w="949" w:type="dxa"/>
            <w:shd w:val="clear" w:color="auto" w:fill="FFFFFF"/>
            <w:vAlign w:val="center"/>
          </w:tcPr>
          <w:p w14:paraId="38186942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1C0487A5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14:paraId="1622997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167" w:type="dxa"/>
            <w:vMerge w:val="continue"/>
            <w:shd w:val="clear" w:color="auto" w:fill="FFFFFF"/>
            <w:vAlign w:val="center"/>
          </w:tcPr>
          <w:p w14:paraId="0E3ECFB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 w:val="continue"/>
            <w:shd w:val="clear" w:color="auto" w:fill="FFFFFF"/>
            <w:vAlign w:val="center"/>
          </w:tcPr>
          <w:p w14:paraId="3E5A0DD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FFFFFF"/>
            <w:vAlign w:val="center"/>
          </w:tcPr>
          <w:p w14:paraId="120873E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949" w:type="dxa"/>
            <w:shd w:val="clear" w:color="000000" w:fill="FFFFFF"/>
            <w:vAlign w:val="center"/>
          </w:tcPr>
          <w:p w14:paraId="29BFDD75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187" w:type="dxa"/>
            <w:shd w:val="clear" w:color="000000" w:fill="FFFFFF"/>
            <w:vAlign w:val="center"/>
          </w:tcPr>
          <w:p w14:paraId="137A416B">
            <w:pPr>
              <w:snapToGrid w:val="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</w:tbl>
    <w:p w14:paraId="0D7E6CF9"/>
    <w:p w14:paraId="55613661">
      <w:pPr>
        <w:pStyle w:val="2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3、绩效评价方法</w:t>
      </w:r>
    </w:p>
    <w:p w14:paraId="6BD944DC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796F1C13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6A62CB59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（1）比较法</w:t>
      </w:r>
    </w:p>
    <w:p w14:paraId="0C892F0E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通过对绩效目标与实施效果、历史与当期情况，综合分析绩效目标实现程度。对</w:t>
      </w:r>
      <w:r>
        <w:rPr>
          <w:rFonts w:eastAsia="仿宋_GB2312"/>
          <w:sz w:val="32"/>
          <w:szCs w:val="32"/>
        </w:rPr>
        <w:t>项目</w:t>
      </w:r>
      <w:r>
        <w:rPr>
          <w:rFonts w:eastAsia="仿宋_GB2312"/>
          <w:color w:val="000000"/>
          <w:spacing w:val="17"/>
          <w:sz w:val="32"/>
          <w:szCs w:val="32"/>
        </w:rPr>
        <w:t>最终验收情况与年度绩效目标对比、预算资金执行情况等相关因素进行比较。</w:t>
      </w:r>
    </w:p>
    <w:p w14:paraId="3DAC6E88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（2）因素分析法</w:t>
      </w:r>
    </w:p>
    <w:p w14:paraId="1C33EA93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r>
        <w:rPr>
          <w:rFonts w:eastAsia="仿宋_GB2312"/>
          <w:color w:val="000000"/>
          <w:spacing w:val="17"/>
          <w:sz w:val="32"/>
          <w:szCs w:val="32"/>
        </w:rPr>
        <w:t>通过综合分析影响绩效目标实现、实施效果的内外因素，评价绩效目标实现程度。通过对</w:t>
      </w:r>
      <w:r>
        <w:rPr>
          <w:rFonts w:eastAsia="仿宋_GB2312"/>
          <w:sz w:val="32"/>
          <w:szCs w:val="32"/>
        </w:rPr>
        <w:t>项目</w:t>
      </w:r>
      <w:r>
        <w:rPr>
          <w:rFonts w:eastAsia="仿宋_GB2312"/>
          <w:color w:val="000000"/>
          <w:spacing w:val="17"/>
          <w:sz w:val="32"/>
          <w:szCs w:val="32"/>
        </w:rPr>
        <w:t>的开展情况、项目产出数量、成本控制、资金拨付文件及自评报告等相关资料的收集和审核，综合分析各因素对绩效目标实现的影响。</w:t>
      </w:r>
    </w:p>
    <w:p w14:paraId="665FEB6E">
      <w:pPr>
        <w:pStyle w:val="2"/>
        <w:widowControl w:val="0"/>
        <w:spacing w:before="0" w:after="0" w:line="560" w:lineRule="exact"/>
        <w:ind w:firstLine="640" w:firstLineChars="200"/>
        <w:jc w:val="both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ascii="Times New Roman" w:hAnsi="Times New Roman" w:eastAsia="仿宋_GB2312"/>
          <w:b w:val="0"/>
          <w:bCs w:val="0"/>
        </w:rPr>
        <w:t>4、评价标准</w:t>
      </w:r>
    </w:p>
    <w:p w14:paraId="32649D4B">
      <w:pPr>
        <w:spacing w:line="560" w:lineRule="exact"/>
        <w:ind w:firstLine="708" w:firstLineChars="200"/>
        <w:rPr>
          <w:rFonts w:hint="eastAsia" w:eastAsia="仿宋_GB2312"/>
          <w:color w:val="000000"/>
          <w:spacing w:val="17"/>
          <w:sz w:val="32"/>
          <w:szCs w:val="32"/>
        </w:rPr>
      </w:pPr>
      <w:r>
        <w:rPr>
          <w:rFonts w:hint="eastAsia" w:eastAsia="仿宋_GB2312"/>
          <w:color w:val="000000"/>
          <w:spacing w:val="17"/>
          <w:sz w:val="32"/>
          <w:szCs w:val="32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eastAsia="仿宋_GB2312"/>
          <w:color w:val="000000"/>
          <w:spacing w:val="17"/>
          <w:sz w:val="32"/>
          <w:szCs w:val="32"/>
          <w:lang w:eastAsia="zh-CN"/>
        </w:rPr>
        <w:t>计划</w:t>
      </w:r>
      <w:r>
        <w:rPr>
          <w:rFonts w:hint="eastAsia" w:eastAsia="仿宋_GB2312"/>
          <w:color w:val="000000"/>
          <w:spacing w:val="17"/>
          <w:sz w:val="32"/>
          <w:szCs w:val="32"/>
        </w:rPr>
        <w:t>标准。</w:t>
      </w:r>
    </w:p>
    <w:p w14:paraId="75B50994">
      <w:pPr>
        <w:spacing w:line="560" w:lineRule="exact"/>
        <w:ind w:firstLine="708" w:firstLineChars="200"/>
        <w:rPr>
          <w:rFonts w:hint="eastAsia" w:eastAsia="仿宋_GB2312"/>
          <w:color w:val="000000"/>
          <w:spacing w:val="17"/>
          <w:sz w:val="32"/>
          <w:szCs w:val="32"/>
        </w:rPr>
      </w:pPr>
      <w:bookmarkStart w:id="6" w:name="_Toc17882"/>
      <w:bookmarkStart w:id="7" w:name="_Toc31464"/>
      <w:r>
        <w:rPr>
          <w:rFonts w:hint="eastAsia" w:eastAsia="仿宋_GB2312"/>
          <w:color w:val="000000"/>
          <w:spacing w:val="17"/>
          <w:sz w:val="32"/>
          <w:szCs w:val="32"/>
        </w:rPr>
        <w:t>计划标准：指以预先制定的目标、计划、预算、定额等作为评价标准。</w:t>
      </w:r>
      <w:bookmarkEnd w:id="6"/>
      <w:bookmarkEnd w:id="7"/>
    </w:p>
    <w:p w14:paraId="73AD5F8D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bookmarkStart w:id="8" w:name="_Toc2318"/>
      <w:bookmarkStart w:id="9" w:name="_Toc5633"/>
      <w:r>
        <w:rPr>
          <w:rFonts w:hint="eastAsia" w:eastAsia="仿宋_GB2312"/>
          <w:color w:val="000000"/>
          <w:spacing w:val="17"/>
          <w:sz w:val="32"/>
          <w:szCs w:val="32"/>
        </w:rPr>
        <w:t>行业标准：指参照国家公布的行业指标数据制定的评价标准。</w:t>
      </w:r>
      <w:bookmarkEnd w:id="8"/>
      <w:bookmarkEnd w:id="9"/>
    </w:p>
    <w:p w14:paraId="04EDFE3D">
      <w:pPr>
        <w:spacing w:line="560" w:lineRule="exact"/>
        <w:ind w:firstLine="708" w:firstLineChars="200"/>
        <w:rPr>
          <w:rFonts w:eastAsia="仿宋_GB2312"/>
          <w:color w:val="000000"/>
          <w:spacing w:val="17"/>
          <w:sz w:val="32"/>
          <w:szCs w:val="32"/>
        </w:rPr>
      </w:pPr>
      <w:bookmarkStart w:id="10" w:name="_Toc430"/>
      <w:bookmarkStart w:id="11" w:name="_Toc16028"/>
      <w:r>
        <w:rPr>
          <w:rFonts w:hint="eastAsia" w:eastAsia="仿宋_GB2312"/>
          <w:color w:val="000000"/>
          <w:spacing w:val="17"/>
          <w:sz w:val="32"/>
          <w:szCs w:val="32"/>
        </w:rPr>
        <w:t>历史标准：指参照历史数据制定的评价标准，为体现绩效改进的原则，在可实现的条件下应当确定相对较高的评价标准。</w:t>
      </w:r>
      <w:bookmarkEnd w:id="10"/>
      <w:bookmarkEnd w:id="11"/>
    </w:p>
    <w:p w14:paraId="2BABA5DB">
      <w:pPr>
        <w:pStyle w:val="2"/>
        <w:numPr>
          <w:ilvl w:val="0"/>
          <w:numId w:val="3"/>
        </w:numPr>
        <w:spacing w:before="0" w:after="0" w:line="560" w:lineRule="exact"/>
        <w:ind w:firstLine="711" w:firstLineChars="200"/>
        <w:jc w:val="both"/>
        <w:rPr>
          <w:rFonts w:ascii="楷体" w:hAnsi="楷体" w:eastAsia="楷体" w:cs="楷体"/>
          <w:color w:val="000000"/>
          <w:spacing w:val="17"/>
        </w:rPr>
      </w:pPr>
      <w:r>
        <w:rPr>
          <w:rFonts w:hint="eastAsia" w:ascii="楷体" w:hAnsi="楷体" w:eastAsia="楷体" w:cs="楷体"/>
          <w:color w:val="000000"/>
          <w:spacing w:val="17"/>
        </w:rPr>
        <w:t>绩效评价工作过程</w:t>
      </w:r>
    </w:p>
    <w:p w14:paraId="02E417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1.</w:t>
      </w:r>
      <w:r>
        <w:rPr>
          <w:rFonts w:hint="eastAsia" w:eastAsia="仿宋_GB2312"/>
          <w:bCs/>
          <w:sz w:val="32"/>
          <w:szCs w:val="32"/>
        </w:rPr>
        <w:t>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</w:p>
    <w:p w14:paraId="077352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2.</w:t>
      </w:r>
      <w:r>
        <w:rPr>
          <w:rFonts w:hint="eastAsia" w:eastAsia="仿宋_GB2312"/>
          <w:bCs/>
          <w:sz w:val="32"/>
          <w:szCs w:val="32"/>
        </w:rPr>
        <w:t>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</w:p>
    <w:p w14:paraId="7F1841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sz w:val="32"/>
          <w:szCs w:val="32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3.</w:t>
      </w:r>
      <w:r>
        <w:rPr>
          <w:rFonts w:hint="eastAsia" w:eastAsia="仿宋_GB2312"/>
          <w:bCs/>
          <w:sz w:val="32"/>
          <w:szCs w:val="32"/>
        </w:rPr>
        <w:t>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 w14:paraId="54263CC9">
      <w:pPr>
        <w:numPr>
          <w:ilvl w:val="0"/>
          <w:numId w:val="4"/>
        </w:num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综合评价情况及评价结论（附相关评分表）</w:t>
      </w:r>
    </w:p>
    <w:p w14:paraId="4AE061B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eastAsia" w:ascii="Times New Roman" w:hAnsi="Times New Roman" w:eastAsia="楷体_GB2312"/>
          <w:lang w:val="en-US" w:eastAsia="zh-CN"/>
        </w:rPr>
      </w:pPr>
      <w:r>
        <w:rPr>
          <w:rFonts w:hint="eastAsia" w:ascii="Times New Roman" w:hAnsi="Times New Roman" w:eastAsia="楷体_GB2312"/>
          <w:lang w:eastAsia="zh-CN"/>
        </w:rPr>
        <w:t>（</w:t>
      </w:r>
      <w:r>
        <w:rPr>
          <w:rFonts w:hint="eastAsia" w:ascii="Times New Roman" w:hAnsi="Times New Roman" w:eastAsia="楷体_GB2312"/>
          <w:lang w:val="en-US" w:eastAsia="zh-CN"/>
        </w:rPr>
        <w:t>一</w:t>
      </w:r>
      <w:r>
        <w:rPr>
          <w:rFonts w:hint="eastAsia" w:ascii="Times New Roman" w:hAnsi="Times New Roman" w:eastAsia="楷体_GB2312"/>
          <w:lang w:eastAsia="zh-CN"/>
        </w:rPr>
        <w:t>）</w:t>
      </w:r>
      <w:r>
        <w:rPr>
          <w:rFonts w:hint="eastAsia" w:ascii="Times New Roman" w:hAnsi="Times New Roman" w:eastAsia="楷体_GB2312"/>
          <w:lang w:val="en-US" w:eastAsia="zh-CN"/>
        </w:rPr>
        <w:t>评价情况</w:t>
      </w:r>
    </w:p>
    <w:p w14:paraId="5228A0DD">
      <w:pPr>
        <w:shd w:val="clear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项目总体组织规范，在项目实施过程做到认真履职，监督到位。按照相关制度的要求，项目负责人对项目绩效监控执行情况进行跟踪监督，有效完成了本项目的工作目标，确保资金使用安全和最大效益的发挥，保障项目如期按要求完成。规范了项目档案资料的整理。项目的实施达到项目预期效果。</w:t>
      </w:r>
    </w:p>
    <w:p w14:paraId="11D2856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eastAsia" w:ascii="Times New Roman" w:hAnsi="Times New Roman" w:eastAsia="楷体_GB2312" w:cs="Times New Roman"/>
          <w:lang w:val="en-US" w:eastAsia="zh-CN"/>
        </w:rPr>
      </w:pPr>
      <w:r>
        <w:rPr>
          <w:rFonts w:hint="eastAsia" w:ascii="Times New Roman" w:hAnsi="Times New Roman" w:eastAsia="楷体_GB2312" w:cs="Times New Roman"/>
          <w:lang w:eastAsia="zh-CN"/>
        </w:rPr>
        <w:t>（</w:t>
      </w:r>
      <w:r>
        <w:rPr>
          <w:rFonts w:hint="eastAsia" w:ascii="Times New Roman" w:hAnsi="Times New Roman" w:eastAsia="楷体_GB2312" w:cs="Times New Roman"/>
          <w:lang w:val="en-US" w:eastAsia="zh-CN"/>
        </w:rPr>
        <w:t>二</w:t>
      </w:r>
      <w:r>
        <w:rPr>
          <w:rFonts w:hint="eastAsia" w:ascii="Times New Roman" w:hAnsi="Times New Roman" w:eastAsia="楷体_GB2312" w:cs="Times New Roman"/>
          <w:lang w:eastAsia="zh-CN"/>
        </w:rPr>
        <w:t>）</w:t>
      </w:r>
      <w:r>
        <w:rPr>
          <w:rFonts w:hint="eastAsia" w:ascii="Times New Roman" w:hAnsi="Times New Roman" w:eastAsia="楷体_GB2312" w:cs="Times New Roman"/>
          <w:lang w:val="en-US" w:eastAsia="zh-CN"/>
        </w:rPr>
        <w:t>评价结论</w:t>
      </w:r>
    </w:p>
    <w:p w14:paraId="57B4A867">
      <w:pPr>
        <w:pStyle w:val="2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eastAsia" w:ascii="Times New Roman" w:hAnsi="Times New Roman" w:eastAsia="仿宋_GB2312"/>
          <w:b w:val="0"/>
          <w:bCs w:val="0"/>
          <w:lang w:eastAsia="zh-CN"/>
        </w:rPr>
      </w:pPr>
      <w:r>
        <w:rPr>
          <w:rFonts w:hint="eastAsia" w:ascii="Times New Roman" w:hAnsi="Times New Roman" w:eastAsia="仿宋_GB2312"/>
          <w:b w:val="0"/>
          <w:bCs w:val="0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>分，属于“优”。其中，项目决策类指标权重为20分，得分为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20</w:t>
      </w:r>
      <w:r>
        <w:rPr>
          <w:rFonts w:hint="eastAsia" w:ascii="Times New Roman" w:hAnsi="Times New Roman" w:eastAsia="仿宋_GB2312"/>
          <w:b w:val="0"/>
          <w:bCs w:val="0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>%。项目过程类指标权重为20分，得分为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20</w:t>
      </w:r>
      <w:r>
        <w:rPr>
          <w:rFonts w:hint="eastAsia" w:ascii="Times New Roman" w:hAnsi="Times New Roman" w:eastAsia="仿宋_GB2312"/>
          <w:b w:val="0"/>
          <w:bCs w:val="0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>%。项目效益类指标权重为20分，得分为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20</w:t>
      </w:r>
      <w:r>
        <w:rPr>
          <w:rFonts w:hint="eastAsia" w:ascii="Times New Roman" w:hAnsi="Times New Roman" w:eastAsia="仿宋_GB2312"/>
          <w:b w:val="0"/>
          <w:bCs w:val="0"/>
        </w:rPr>
        <w:t>分，得分率为</w:t>
      </w: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100</w:t>
      </w:r>
      <w:r>
        <w:rPr>
          <w:rFonts w:hint="eastAsia" w:ascii="Times New Roman" w:hAnsi="Times New Roman" w:eastAsia="仿宋_GB2312"/>
          <w:b w:val="0"/>
          <w:bCs w:val="0"/>
        </w:rPr>
        <w:t>%。具体打分情况详见：附件1综合评分表</w:t>
      </w:r>
      <w:r>
        <w:rPr>
          <w:rFonts w:hint="eastAsia" w:ascii="Times New Roman" w:hAnsi="Times New Roman" w:eastAsia="仿宋_GB2312"/>
          <w:b w:val="0"/>
          <w:bCs w:val="0"/>
          <w:lang w:eastAsia="zh-CN"/>
        </w:rPr>
        <w:t>。</w:t>
      </w:r>
    </w:p>
    <w:p w14:paraId="19238BE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表1综合评分表</w:t>
      </w:r>
    </w:p>
    <w:tbl>
      <w:tblPr>
        <w:tblStyle w:val="12"/>
        <w:tblW w:w="75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7"/>
        <w:gridCol w:w="2168"/>
        <w:gridCol w:w="2278"/>
      </w:tblGrid>
      <w:tr w14:paraId="29C79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1DE34854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一级指标</w:t>
            </w:r>
          </w:p>
        </w:tc>
        <w:tc>
          <w:tcPr>
            <w:tcW w:w="21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41349863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权重分</w:t>
            </w:r>
          </w:p>
        </w:tc>
        <w:tc>
          <w:tcPr>
            <w:tcW w:w="2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 w:themeFill="background1" w:themeFillShade="BF"/>
            <w:vAlign w:val="center"/>
          </w:tcPr>
          <w:p w14:paraId="36B708E2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得分</w:t>
            </w:r>
          </w:p>
        </w:tc>
      </w:tr>
      <w:tr w14:paraId="7D546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B3EB6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项目决策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ABA24">
            <w:pPr>
              <w:jc w:val="center"/>
              <w:rPr>
                <w:rFonts w:hint="default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8C487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</w:tr>
      <w:tr w14:paraId="146C4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F766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项目过程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46922">
            <w:pPr>
              <w:jc w:val="center"/>
              <w:rPr>
                <w:rFonts w:hint="default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F05F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</w:tr>
      <w:tr w14:paraId="08DE83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F1D1B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项目产出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36859">
            <w:pPr>
              <w:jc w:val="center"/>
              <w:rPr>
                <w:rFonts w:hint="default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D5BCA">
            <w:pPr>
              <w:jc w:val="center"/>
              <w:rPr>
                <w:rFonts w:hint="eastAsia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40</w:t>
            </w:r>
          </w:p>
        </w:tc>
      </w:tr>
      <w:tr w14:paraId="371AD6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41A1D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项目效益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5DDF0D">
            <w:pPr>
              <w:jc w:val="center"/>
              <w:rPr>
                <w:rFonts w:hint="default" w:eastAsia="宋体"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B8D032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  <w:lang w:val="en-US" w:eastAsia="zh-CN"/>
              </w:rPr>
              <w:t>20</w:t>
            </w:r>
          </w:p>
        </w:tc>
      </w:tr>
      <w:tr w14:paraId="5AD66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CBFBBA">
            <w:pPr>
              <w:jc w:val="center"/>
              <w:rPr>
                <w:rFonts w:cs="宋体"/>
                <w:b/>
                <w:bCs/>
                <w:color w:val="000000"/>
                <w:sz w:val="22"/>
              </w:rPr>
            </w:pPr>
            <w:r>
              <w:rPr>
                <w:rFonts w:hint="eastAsia" w:cs="宋体"/>
                <w:b/>
                <w:bCs/>
                <w:color w:val="000000"/>
                <w:sz w:val="22"/>
              </w:rPr>
              <w:t>合计</w:t>
            </w:r>
          </w:p>
        </w:tc>
        <w:tc>
          <w:tcPr>
            <w:tcW w:w="21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372E9">
            <w:pPr>
              <w:jc w:val="center"/>
              <w:rPr>
                <w:rFonts w:hint="default" w:eastAsia="宋体"/>
                <w:b/>
                <w:bCs/>
                <w:color w:val="000000"/>
                <w:sz w:val="22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2"/>
                <w:lang w:val="en-US" w:eastAsia="zh-CN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54017">
            <w:pPr>
              <w:jc w:val="center"/>
              <w:rPr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lang w:val="en-US" w:eastAsia="zh-CN"/>
              </w:rPr>
              <w:t>100</w:t>
            </w:r>
          </w:p>
        </w:tc>
      </w:tr>
    </w:tbl>
    <w:p w14:paraId="10DC99AC">
      <w:pPr>
        <w:spacing w:line="540" w:lineRule="exact"/>
        <w:ind w:firstLine="640"/>
        <w:outlineLvl w:val="0"/>
        <w:rPr>
          <w:rStyle w:val="14"/>
          <w:rFonts w:ascii="黑体" w:hAnsi="黑体" w:eastAsia="黑体"/>
          <w:b w:val="0"/>
          <w:spacing w:val="-4"/>
          <w:sz w:val="32"/>
          <w:szCs w:val="32"/>
        </w:rPr>
      </w:pPr>
      <w:bookmarkStart w:id="12" w:name="_Toc25855"/>
      <w:r>
        <w:rPr>
          <w:rStyle w:val="14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bookmarkEnd w:id="12"/>
    </w:p>
    <w:p w14:paraId="46537C06">
      <w:pPr>
        <w:spacing w:line="540" w:lineRule="exact"/>
        <w:ind w:firstLine="567" w:firstLineChars="181"/>
        <w:outlineLvl w:val="1"/>
        <w:rPr>
          <w:rStyle w:val="14"/>
          <w:rFonts w:hint="eastAsia" w:ascii="楷体_GB2312" w:hAnsi="楷体_GB2312" w:eastAsia="楷体_GB2312" w:cs="楷体_GB2312"/>
          <w:b/>
          <w:bCs/>
          <w:spacing w:val="-4"/>
          <w:sz w:val="32"/>
          <w:szCs w:val="32"/>
        </w:rPr>
      </w:pPr>
      <w:bookmarkStart w:id="13" w:name="_Toc18773"/>
      <w:r>
        <w:rPr>
          <w:rStyle w:val="14"/>
          <w:rFonts w:hint="eastAsia" w:ascii="楷体_GB2312" w:hAnsi="楷体_GB2312" w:eastAsia="楷体_GB2312" w:cs="楷体_GB2312"/>
          <w:b/>
          <w:bCs/>
          <w:spacing w:val="-4"/>
          <w:sz w:val="32"/>
          <w:szCs w:val="32"/>
        </w:rPr>
        <w:t>（一）项目决策情况。</w:t>
      </w:r>
      <w:bookmarkEnd w:id="13"/>
    </w:p>
    <w:p w14:paraId="74845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项目决策类指标包括项目立项、绩效目标和资金投入三方面的内容，由6个三级指标构成，权重分值为20分，实际得分20分，得分率为100%。</w:t>
      </w:r>
    </w:p>
    <w:p w14:paraId="62F65C8B">
      <w:pPr>
        <w:pStyle w:val="15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1.项目立项</w:t>
      </w:r>
    </w:p>
    <w:p w14:paraId="033F7E40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（1）立项依据充分性</w:t>
      </w:r>
    </w:p>
    <w:p w14:paraId="0F12EAD9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613B8896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（2）立项程序规范性</w:t>
      </w:r>
    </w:p>
    <w:p w14:paraId="127AC059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项目申请、设立过程符合相关要求，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严格按照审批流程准备符合要求的文件、材料；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6B835DBB">
      <w:pPr>
        <w:pStyle w:val="15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2.绩效目标</w:t>
      </w:r>
    </w:p>
    <w:p w14:paraId="0BBDD1AB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（1）绩效目标合理性</w:t>
      </w:r>
    </w:p>
    <w:p w14:paraId="373E90F3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年初结合实际工作内容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设定绩效目标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Hans"/>
        </w:rPr>
        <w:t>，绩效目标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0575E34E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（2）绩效指标明确性</w:t>
      </w:r>
    </w:p>
    <w:p w14:paraId="621A0A7B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034CA593">
      <w:pPr>
        <w:pStyle w:val="15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3.资金投入</w:t>
      </w:r>
    </w:p>
    <w:p w14:paraId="2058E318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（1）预算编制科学性</w:t>
      </w:r>
    </w:p>
    <w:p w14:paraId="600A1FBA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预算编制经过科学论证，提供充分的测算依据佐证资料，预算内容与项目内容相匹配。项目投资额与工作任务相匹配。</w:t>
      </w:r>
    </w:p>
    <w:p w14:paraId="483922E2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（2）资金分配合理性</w:t>
      </w:r>
    </w:p>
    <w:p w14:paraId="37A6ECDE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资金分配额度与项目单位实际工作内容相适应，资金分配额度合理，资金分配依据充分。</w:t>
      </w:r>
    </w:p>
    <w:p w14:paraId="34B24D08">
      <w:pPr>
        <w:pStyle w:val="2"/>
        <w:numPr>
          <w:ilvl w:val="0"/>
          <w:numId w:val="5"/>
        </w:numPr>
        <w:spacing w:before="0" w:after="0" w:line="560" w:lineRule="exact"/>
        <w:ind w:firstLine="643" w:firstLineChars="200"/>
        <w:jc w:val="both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项目过程情况</w:t>
      </w:r>
    </w:p>
    <w:p w14:paraId="42EAA2FF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三级指标构成，权重分值为20分，实际得分20分，得分率为100%。</w:t>
      </w:r>
    </w:p>
    <w:p w14:paraId="4AA7F53B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49F2B827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0" w:leftChars="0" w:firstLine="640" w:firstLineChars="0"/>
        <w:jc w:val="left"/>
        <w:textAlignment w:val="auto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14" w:name="_Toc25319"/>
      <w:r>
        <w:rPr>
          <w:rFonts w:hint="eastAsia" w:ascii="楷体_GB2312" w:hAnsi="楷体_GB2312" w:eastAsia="楷体_GB2312" w:cs="楷体_GB2312"/>
          <w:b/>
          <w:bCs/>
        </w:rPr>
        <w:t>项目过程情况。</w:t>
      </w:r>
      <w:bookmarkEnd w:id="14"/>
    </w:p>
    <w:p w14:paraId="3F5E1A0E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三级指标构成，权重分值为20分，实际得分20分，得分率为100%。</w:t>
      </w:r>
    </w:p>
    <w:p w14:paraId="5C8AB736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5C909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</w:t>
      </w: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资金管理</w:t>
      </w:r>
    </w:p>
    <w:p w14:paraId="5E9D8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outlineLvl w:val="2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1）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资金到位率</w:t>
      </w:r>
    </w:p>
    <w:p w14:paraId="5A0E9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本项目总投资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财政</w:t>
      </w:r>
      <w:r>
        <w:rPr>
          <w:rFonts w:hint="eastAsia" w:ascii="仿宋_GB2312" w:eastAsia="仿宋_GB2312"/>
          <w:sz w:val="32"/>
          <w:szCs w:val="32"/>
        </w:rPr>
        <w:t>资金</w:t>
      </w:r>
      <w:r>
        <w:rPr>
          <w:rFonts w:hint="eastAsia" w:ascii="仿宋_GB2312"/>
          <w:sz w:val="32"/>
          <w:szCs w:val="32"/>
          <w:lang w:eastAsia="zh-CN"/>
        </w:rPr>
        <w:t>及时足额到位，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到位率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，预算资金按计划进度执行。</w:t>
      </w:r>
    </w:p>
    <w:p w14:paraId="486F0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2）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预算执行率</w:t>
      </w:r>
    </w:p>
    <w:p w14:paraId="7A00C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预算编制较为详细，项目资金支出总体能够按照预算执行，预算资金支出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万元，预算执行率为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%</w:t>
      </w:r>
    </w:p>
    <w:p w14:paraId="55560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资金使用合规性</w:t>
      </w:r>
    </w:p>
    <w:p w14:paraId="05121FDE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严格按照预期绩效目标执行预算资金。制定了相关的制度和管理规定，对项目经费使用进行规范管理，财务制度健全、执行严格。资金的拨付有完整的审批程序和手续，在项目资金拨付和使用过程中，为确保项目资金的安全性，提高项目资金使用效率，严格遵循项目资金的拨付程序，认真审核项目实施各阶段的相关材料和手续，根据项目实施进展情况拨付资金。资金使用符合该项目的立项批复。资金不存在截留、挤占、挪用、虚列支出等情况。</w:t>
      </w:r>
    </w:p>
    <w:p w14:paraId="49879DF6">
      <w:pPr>
        <w:pStyle w:val="15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2.组织实施</w:t>
      </w:r>
    </w:p>
    <w:p w14:paraId="2DD2BD8D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（1）管理制度健全性</w:t>
      </w:r>
    </w:p>
    <w:p w14:paraId="18EBC976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定了相关管理办法，对财政资金进行严格管理，做到专款专用，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64B7AD5E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（2）制度执行有效性</w:t>
      </w:r>
    </w:p>
    <w:p w14:paraId="01D34A0F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对资金使用的合法合规性进行监督，年末对资金使用效果进行评价。项目管理、实施人员落实到位，有效按照计划执行。项目执行情况等资料齐全，项目相关手续完备，及时进行归档。</w:t>
      </w:r>
    </w:p>
    <w:p w14:paraId="594FF947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0" w:leftChars="0" w:firstLine="640" w:firstLineChars="0"/>
        <w:contextualSpacing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15" w:name="_Toc18786"/>
      <w:r>
        <w:rPr>
          <w:rFonts w:hint="eastAsia" w:ascii="楷体_GB2312" w:hAnsi="楷体_GB2312" w:eastAsia="楷体_GB2312" w:cs="楷体_GB2312"/>
          <w:b/>
          <w:bCs/>
          <w:highlight w:val="none"/>
        </w:rPr>
        <w:t>项目产出情况。</w:t>
      </w:r>
      <w:bookmarkEnd w:id="15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</w:t>
      </w:r>
    </w:p>
    <w:p w14:paraId="577796AA">
      <w:pPr>
        <w:shd w:val="clear"/>
        <w:spacing w:line="600" w:lineRule="exact"/>
        <w:ind w:firstLine="640" w:firstLineChars="200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、1个一级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指标构成，权重分为40分，实际得分37.6分，得分率为94%。具体产出指标完成情况如下：</w:t>
      </w:r>
    </w:p>
    <w:p w14:paraId="2641E2D5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= 1 \* GB3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数量指标：</w:t>
      </w:r>
    </w:p>
    <w:p w14:paraId="5E723CC8">
      <w:pPr>
        <w:spacing w:line="540" w:lineRule="exact"/>
        <w:ind w:firstLine="312" w:firstLineChars="100"/>
        <w:rPr>
          <w:rStyle w:val="14"/>
          <w:rFonts w:hint="eastAsia" w:ascii="仿宋_GB2312" w:hAnsi="黑体"/>
          <w:b w:val="0"/>
          <w:spacing w:val="-4"/>
          <w:sz w:val="32"/>
          <w:szCs w:val="32"/>
          <w:lang w:eastAsia="zh-CN"/>
        </w:rPr>
      </w:pP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1：系统维护数量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40"/>
        </w:rPr>
        <w:t>为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  <w:lang w:eastAsia="zh-CN"/>
        </w:rPr>
        <w:t>大于等于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4个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4个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完成率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10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  <w:lang w:val="en-US" w:eastAsia="zh-CN"/>
        </w:rPr>
        <w:t>0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%，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eastAsia="zh-CN"/>
        </w:rPr>
        <w:t>偏差原因：无偏差；</w:t>
      </w:r>
    </w:p>
    <w:p w14:paraId="1C521F98">
      <w:pPr>
        <w:spacing w:line="540" w:lineRule="exact"/>
        <w:ind w:firstLine="320" w:firstLineChars="100"/>
        <w:rPr>
          <w:rStyle w:val="14"/>
          <w:rFonts w:hint="default" w:ascii="仿宋_GB2312" w:hAnsi="黑体" w:eastAsia="仿宋_GB2312"/>
          <w:b w:val="0"/>
          <w:spacing w:val="-4"/>
          <w:sz w:val="32"/>
          <w:szCs w:val="32"/>
          <w:lang w:val="en-US"/>
        </w:rPr>
      </w:pP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2：租用通讯链路数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  <w:lang w:eastAsia="zh-CN"/>
        </w:rPr>
        <w:t>大于等于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4条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4条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完成率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10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  <w:lang w:val="en-US" w:eastAsia="zh-CN"/>
        </w:rPr>
        <w:t>0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%，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eastAsia="zh-CN"/>
        </w:rPr>
        <w:t>偏差原因：无偏差。</w:t>
      </w:r>
    </w:p>
    <w:p w14:paraId="2266D183">
      <w:pPr>
        <w:widowControl w:val="0"/>
        <w:snapToGrid w:val="0"/>
        <w:spacing w:line="600" w:lineRule="exact"/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</w:pP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= 2 \* GB3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质量指标：</w:t>
      </w:r>
    </w:p>
    <w:p w14:paraId="7A2DD691">
      <w:pPr>
        <w:widowControl w:val="0"/>
        <w:snapToGrid w:val="0"/>
        <w:spacing w:line="600" w:lineRule="exact"/>
        <w:ind w:firstLine="608"/>
        <w:rPr>
          <w:rFonts w:hint="eastAsia" w:ascii="仿宋_GB2312" w:hAnsi="仿宋_GB2312" w:cs="仿宋_GB2312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1：达到等保三级要求的系统的安全</w:t>
      </w:r>
      <w:r>
        <w:rPr>
          <w:rFonts w:hint="eastAsia" w:ascii="仿宋_GB2312" w:hAnsi="仿宋_GB2312" w:eastAsia="仿宋_GB2312" w:cs="仿宋_GB2312"/>
          <w:sz w:val="32"/>
          <w:szCs w:val="40"/>
        </w:rPr>
        <w:t>，指标值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大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于等于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sz w:val="32"/>
          <w:szCs w:val="40"/>
        </w:rPr>
        <w:t>，实际完成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%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eastAsia="zh-CN"/>
        </w:rPr>
        <w:t>偏差原因：</w:t>
      </w:r>
      <w:r>
        <w:rPr>
          <w:rFonts w:hint="eastAsia" w:ascii="仿宋_GB2312" w:hAnsi="仿宋_GB2312" w:eastAsia="仿宋_GB2312" w:cs="仿宋_GB2312"/>
          <w:sz w:val="32"/>
          <w:szCs w:val="40"/>
        </w:rPr>
        <w:t>无偏差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；</w:t>
      </w:r>
    </w:p>
    <w:p w14:paraId="400909D9">
      <w:pPr>
        <w:widowControl w:val="0"/>
        <w:snapToGrid w:val="0"/>
        <w:spacing w:line="600" w:lineRule="exact"/>
        <w:ind w:firstLine="608"/>
        <w:rPr>
          <w:rStyle w:val="14"/>
          <w:rFonts w:hint="eastAsia" w:ascii="仿宋_GB2312" w:hAnsi="仿宋_GB2312" w:eastAsia="仿宋_GB2312" w:cs="仿宋_GB2312"/>
          <w:b w:val="0"/>
          <w:bCs w:val="0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2：系统故障率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小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  <w:lang w:eastAsia="zh-CN"/>
        </w:rPr>
        <w:t>于等于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5%，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5%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实际完成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eastAsia="zh-CN"/>
        </w:rPr>
        <w:t>值：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10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  <w:lang w:val="en-US" w:eastAsia="zh-CN"/>
        </w:rPr>
        <w:t>0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%，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eastAsia="zh-CN"/>
        </w:rPr>
        <w:t>偏差原因：无偏差。</w:t>
      </w:r>
    </w:p>
    <w:p w14:paraId="6D626F3C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= 3 \* GB3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时效指标：</w:t>
      </w:r>
    </w:p>
    <w:p w14:paraId="5606F8BF">
      <w:pPr>
        <w:widowControl w:val="0"/>
        <w:snapToGrid w:val="0"/>
        <w:spacing w:line="600" w:lineRule="exact"/>
        <w:ind w:firstLine="608"/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1：系统运行维护响应时间</w:t>
      </w:r>
      <w:r>
        <w:rPr>
          <w:rFonts w:hint="eastAsia" w:ascii="仿宋_GB2312" w:hAnsi="仿宋_GB2312" w:eastAsia="仿宋_GB2312" w:cs="仿宋_GB2312"/>
          <w:sz w:val="32"/>
          <w:szCs w:val="40"/>
        </w:rPr>
        <w:t>，指标值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小于等于24小时</w:t>
      </w:r>
      <w:r>
        <w:rPr>
          <w:rFonts w:hint="eastAsia" w:ascii="仿宋_GB2312" w:hAnsi="仿宋_GB2312" w:eastAsia="仿宋_GB2312" w:cs="仿宋_GB2312"/>
          <w:sz w:val="32"/>
          <w:szCs w:val="40"/>
        </w:rPr>
        <w:t>，实际完成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24小时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完成率100%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eastAsia="zh-CN"/>
        </w:rPr>
        <w:t>，偏差原因：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无偏</w:t>
      </w:r>
      <w:r>
        <w:rPr>
          <w:rFonts w:hint="eastAsia" w:ascii="仿宋_GB2312" w:hAnsi="仿宋_GB2312" w:eastAsia="仿宋_GB2312" w:cs="仿宋_GB2312"/>
          <w:sz w:val="32"/>
          <w:szCs w:val="40"/>
        </w:rPr>
        <w:t>差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。</w:t>
      </w:r>
    </w:p>
    <w:p w14:paraId="3432E60F">
      <w:pPr>
        <w:widowControl w:val="0"/>
        <w:snapToGrid w:val="0"/>
        <w:spacing w:line="600" w:lineRule="exact"/>
        <w:ind w:firstLine="608"/>
        <w:rPr>
          <w:rStyle w:val="14"/>
          <w:rFonts w:hint="eastAsia" w:ascii="仿宋_GB2312" w:hAnsi="黑体"/>
          <w:b w:val="0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2：系统故障修复处理时间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小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  <w:lang w:eastAsia="zh-CN"/>
        </w:rPr>
        <w:t>于等于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3天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3天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完成率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val="en-US" w:eastAsia="zh-CN"/>
        </w:rPr>
        <w:t>10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  <w:lang w:val="en-US" w:eastAsia="zh-CN"/>
        </w:rPr>
        <w:t>0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</w:rPr>
        <w:t>%，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eastAsia="zh-CN"/>
        </w:rPr>
        <w:t>偏差原因：无偏差。</w:t>
      </w:r>
    </w:p>
    <w:p w14:paraId="6A2ED00C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instrText xml:space="preserve"> = 4 \* GB3 </w:instrTex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成本指标：</w:t>
      </w:r>
    </w:p>
    <w:p w14:paraId="22E72982">
      <w:pPr>
        <w:widowControl w:val="0"/>
        <w:snapToGrid w:val="0"/>
        <w:spacing w:line="600" w:lineRule="exact"/>
        <w:ind w:firstLine="608"/>
        <w:rPr>
          <w:rStyle w:val="14"/>
          <w:rFonts w:hint="eastAsia" w:ascii="仿宋_GB2312" w:hAnsi="黑体"/>
          <w:b w:val="0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1：年度维护成本增长率，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：小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于等于10%</w:t>
      </w:r>
      <w:r>
        <w:rPr>
          <w:rStyle w:val="14"/>
          <w:rFonts w:hint="eastAsia" w:ascii="仿宋_GB2312" w:hAnsi="黑体" w:eastAsia="仿宋_GB2312"/>
          <w:b w:val="0"/>
          <w:spacing w:val="-4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10%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指标完成率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100%，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eastAsia="zh-CN"/>
        </w:rPr>
        <w:t>偏差原因：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40"/>
        </w:rPr>
        <w:t>偏差</w:t>
      </w:r>
      <w:r>
        <w:rPr>
          <w:rStyle w:val="14"/>
          <w:rFonts w:hint="eastAsia" w:ascii="仿宋_GB2312" w:hAnsi="黑体"/>
          <w:b w:val="0"/>
          <w:spacing w:val="-4"/>
          <w:sz w:val="32"/>
          <w:szCs w:val="32"/>
          <w:lang w:eastAsia="zh-CN"/>
        </w:rPr>
        <w:t>；</w:t>
      </w:r>
    </w:p>
    <w:p w14:paraId="0419FA9D">
      <w:pPr>
        <w:widowControl w:val="0"/>
        <w:snapToGrid w:val="0"/>
        <w:spacing w:line="600" w:lineRule="exact"/>
        <w:ind w:firstLine="608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指标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2：通讯链路租赁费，指标值：小于等于72.34万元，实际完成值：67.84万元，指标完成率94%，偏差原因：节约成本4.5万元。</w:t>
      </w:r>
    </w:p>
    <w:p w14:paraId="58343549">
      <w:pPr>
        <w:numPr>
          <w:ilvl w:val="0"/>
          <w:numId w:val="6"/>
        </w:numPr>
        <w:bidi w:val="0"/>
        <w:ind w:left="-40" w:leftChars="0" w:firstLine="640" w:firstLineChars="0"/>
        <w:jc w:val="left"/>
        <w:outlineLvl w:val="1"/>
        <w:rPr>
          <w:rFonts w:hint="eastAsia" w:ascii="楷体_GB2312" w:hAnsi="楷体_GB2312" w:eastAsia="楷体_GB2312" w:cs="楷体_GB2312"/>
          <w:b/>
          <w:bCs/>
        </w:rPr>
      </w:pPr>
      <w:bookmarkStart w:id="16" w:name="_Toc10127"/>
      <w:r>
        <w:rPr>
          <w:rFonts w:hint="eastAsia" w:ascii="楷体_GB2312" w:hAnsi="楷体_GB2312" w:eastAsia="楷体_GB2312" w:cs="楷体_GB2312"/>
          <w:b/>
          <w:bCs/>
        </w:rPr>
        <w:t>项目效益情况</w:t>
      </w:r>
      <w:bookmarkEnd w:id="16"/>
    </w:p>
    <w:p w14:paraId="3CC1C411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项目效益类指标包括项目实施效益和满意度两方面的内容，由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级指标构成，权重分为20分，实际得分20分，得分率为100%。具体效益指标及满意度指标完成情况如下：</w:t>
      </w:r>
    </w:p>
    <w:p w14:paraId="35786E4A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1.实施效益</w:t>
      </w:r>
    </w:p>
    <w:p w14:paraId="2069DF6B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经济效益指标：</w:t>
      </w:r>
    </w:p>
    <w:p w14:paraId="59F2AB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color w:val="000000"/>
          <w:spacing w:val="-4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40"/>
        </w:rPr>
        <w:t>指标1</w:t>
      </w:r>
      <w:r>
        <w:rPr>
          <w:rFonts w:hint="eastAsia" w:ascii="仿宋_GB2312" w:hAnsi="仿宋_GB2312" w:cs="仿宋_GB2312"/>
          <w:b w:val="0"/>
          <w:bCs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b w:val="0"/>
          <w:bCs/>
          <w:sz w:val="32"/>
          <w:szCs w:val="40"/>
          <w:lang w:val="en-US" w:eastAsia="zh-CN"/>
        </w:rPr>
        <w:t>降低系统用户重要信息数据损失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40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40"/>
          <w:lang w:eastAsia="zh-CN"/>
        </w:rPr>
        <w:t>指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标值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有效降低，</w:t>
      </w:r>
      <w:r>
        <w:rPr>
          <w:rFonts w:hint="eastAsia" w:ascii="仿宋_GB2312" w:hAnsi="仿宋_GB2312" w:eastAsia="仿宋_GB2312" w:cs="仿宋_GB2312"/>
          <w:sz w:val="32"/>
          <w:szCs w:val="40"/>
        </w:rPr>
        <w:t>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有效降低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Fonts w:hint="eastAsia" w:ascii="仿宋_GB2312" w:hAnsi="仿宋" w:eastAsia="仿宋_GB2312"/>
          <w:color w:val="000000"/>
          <w:spacing w:val="-4"/>
          <w:sz w:val="32"/>
          <w:szCs w:val="32"/>
          <w:shd w:val="clear" w:color="auto" w:fill="FFFFFF"/>
        </w:rPr>
        <w:t>完成率100%</w:t>
      </w:r>
      <w:r>
        <w:rPr>
          <w:rFonts w:hint="eastAsia" w:ascii="仿宋_GB2312" w:hAnsi="仿宋"/>
          <w:color w:val="000000"/>
          <w:spacing w:val="-4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</w:rPr>
        <w:t>无偏差</w:t>
      </w:r>
      <w:r>
        <w:rPr>
          <w:rFonts w:hint="eastAsia" w:ascii="仿宋_GB2312" w:hAnsi="仿宋" w:eastAsia="仿宋_GB2312"/>
          <w:color w:val="000000"/>
          <w:spacing w:val="-4"/>
          <w:sz w:val="32"/>
          <w:szCs w:val="32"/>
          <w:shd w:val="clear" w:color="auto" w:fill="FFFFFF"/>
        </w:rPr>
        <w:t>；</w:t>
      </w:r>
    </w:p>
    <w:p w14:paraId="00C01E4B">
      <w:pPr>
        <w:shd w:val="clear"/>
        <w:spacing w:line="600" w:lineRule="exact"/>
        <w:ind w:firstLine="624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000000"/>
          <w:spacing w:val="-4"/>
          <w:sz w:val="32"/>
          <w:szCs w:val="32"/>
          <w:shd w:val="clear" w:color="auto" w:fill="FFFFFF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②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满意度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指标：</w:t>
      </w:r>
    </w:p>
    <w:p w14:paraId="75661959">
      <w:pPr>
        <w:spacing w:line="540" w:lineRule="exact"/>
        <w:rPr>
          <w:rFonts w:ascii="Times New Roman" w:hAnsi="Times New Roman" w:eastAsia="仿宋_GB2312" w:cs="Times New Roman"/>
          <w:kern w:val="2"/>
          <w:sz w:val="30"/>
          <w:szCs w:val="24"/>
          <w:lang w:val="en-US" w:eastAsia="zh-CN" w:bidi="ar-SA"/>
        </w:rPr>
      </w:pP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40"/>
        </w:rPr>
        <w:t>指标1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使用人员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满意度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，指标值</w:t>
      </w:r>
      <w:r>
        <w:rPr>
          <w:rFonts w:hint="eastAsia" w:ascii="仿宋_GB2312" w:hAnsi="宋体" w:cs="宋体"/>
          <w:color w:val="000000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宋体" w:cs="宋体"/>
          <w:color w:val="000000"/>
          <w:kern w:val="0"/>
          <w:sz w:val="32"/>
          <w:szCs w:val="32"/>
          <w:lang w:eastAsia="zh-CN"/>
        </w:rPr>
        <w:t>大于等于</w:t>
      </w:r>
      <w:r>
        <w:rPr>
          <w:rFonts w:hint="eastAsia" w:ascii="仿宋_GB2312" w:hAnsi="宋体" w:eastAsia="宋体" w:cs="宋体"/>
          <w:color w:val="000000"/>
          <w:kern w:val="0"/>
          <w:sz w:val="32"/>
          <w:szCs w:val="32"/>
          <w:lang w:val="en-US" w:eastAsia="zh-CN"/>
        </w:rPr>
        <w:t>95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40"/>
        </w:rPr>
        <w:t>，实际完成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值：</w:t>
      </w:r>
      <w:r>
        <w:rPr>
          <w:rFonts w:hint="eastAsia" w:ascii="仿宋_GB2312" w:hAnsi="仿宋_GB2312" w:cs="仿宋_GB2312"/>
          <w:sz w:val="32"/>
          <w:szCs w:val="40"/>
          <w:lang w:val="en-US" w:eastAsia="zh-CN"/>
        </w:rPr>
        <w:t>95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40"/>
        </w:rPr>
        <w:t>，</w:t>
      </w:r>
      <w:r>
        <w:rPr>
          <w:rFonts w:hint="eastAsia" w:ascii="仿宋_GB2312" w:hAnsi="仿宋_GB2312" w:cs="仿宋_GB2312"/>
          <w:sz w:val="32"/>
          <w:szCs w:val="40"/>
          <w:lang w:eastAsia="zh-CN"/>
        </w:rPr>
        <w:t>指标</w:t>
      </w:r>
      <w:r>
        <w:rPr>
          <w:rFonts w:hint="eastAsia" w:ascii="仿宋_GB2312" w:hAnsi="仿宋_GB2312" w:eastAsia="仿宋_GB2312" w:cs="仿宋_GB2312"/>
          <w:sz w:val="32"/>
          <w:szCs w:val="40"/>
        </w:rPr>
        <w:t>完成率100%</w:t>
      </w:r>
      <w:r>
        <w:rPr>
          <w:rFonts w:hint="eastAsia" w:ascii="仿宋_GB2312" w:hAnsi="仿宋" w:eastAsia="仿宋_GB2312"/>
          <w:color w:val="000000"/>
          <w:spacing w:val="-4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"/>
          <w:color w:val="000000"/>
          <w:spacing w:val="-4"/>
          <w:sz w:val="32"/>
          <w:szCs w:val="32"/>
          <w:shd w:val="clear" w:color="auto" w:fill="FFFFFF"/>
          <w:lang w:eastAsia="zh-CN"/>
        </w:rPr>
        <w:t>偏差原因：</w:t>
      </w:r>
      <w:r>
        <w:rPr>
          <w:rFonts w:hint="eastAsia" w:ascii="仿宋_GB2312" w:hAnsi="仿宋"/>
          <w:color w:val="000000"/>
          <w:spacing w:val="-4"/>
          <w:sz w:val="32"/>
          <w:szCs w:val="32"/>
          <w:shd w:val="clear" w:color="auto" w:fill="FFFFFF"/>
          <w:lang w:val="en-US" w:eastAsia="zh-CN"/>
        </w:rPr>
        <w:t>无偏差</w:t>
      </w:r>
      <w:r>
        <w:rPr>
          <w:rFonts w:hint="eastAsia" w:ascii="仿宋_GB2312" w:hAnsi="黑体" w:eastAsia="仿宋_GB2312" w:cs="黑体"/>
          <w:bCs/>
          <w:sz w:val="32"/>
          <w:szCs w:val="32"/>
        </w:rPr>
        <w:t>。</w:t>
      </w:r>
    </w:p>
    <w:p w14:paraId="08D70215">
      <w:pPr>
        <w:spacing w:line="560" w:lineRule="exact"/>
        <w:ind w:firstLine="640" w:firstLineChars="200"/>
        <w:rPr>
          <w:rFonts w:hint="eastAsia" w:ascii="Times New Roman" w:hAnsi="Times New Roman" w:eastAsia="黑体" w:cs="Times New Roman"/>
          <w:sz w:val="32"/>
          <w:szCs w:val="32"/>
          <w:lang w:eastAsia="zh-Hans"/>
        </w:rPr>
      </w:pPr>
      <w:bookmarkStart w:id="17" w:name="_Toc5793"/>
      <w:r>
        <w:rPr>
          <w:rFonts w:hint="eastAsia" w:ascii="Times New Roman" w:hAnsi="Times New Roman" w:eastAsia="黑体" w:cs="Times New Roman"/>
          <w:sz w:val="32"/>
          <w:szCs w:val="32"/>
          <w:lang w:eastAsia="zh-Hans"/>
        </w:rPr>
        <w:t>五、预算执行进度与绩效指标总体完成率偏差</w:t>
      </w:r>
    </w:p>
    <w:p w14:paraId="450B2B30">
      <w:pPr>
        <w:pStyle w:val="15"/>
        <w:spacing w:line="560" w:lineRule="exact"/>
        <w:ind w:firstLine="640"/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异地灾备中心运维成本运维工作经费项目年初预算300万元，全年预算300万元，实际支出300万元，预算执行率为100%，项目绩效指标总体完成率为88.48%，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Hans" w:bidi="ar-SA"/>
        </w:rPr>
        <w:t>总体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偏差率为11.52%，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Hans" w:bidi="ar-SA"/>
        </w:rPr>
        <w:t>偏差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原因节约成本4.5万元，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Hans" w:bidi="ar-SA"/>
        </w:rPr>
        <w:t>改进</w:t>
      </w:r>
      <w:r>
        <w:rPr>
          <w:rFonts w:hint="eastAsia" w:ascii="仿宋_GB2312" w:hAnsi="仿宋_GB2312" w:eastAsia="仿宋_GB2312" w:cs="仿宋_GB2312"/>
          <w:kern w:val="2"/>
          <w:sz w:val="32"/>
          <w:szCs w:val="40"/>
          <w:lang w:val="en-US" w:eastAsia="zh-CN" w:bidi="ar-SA"/>
        </w:rPr>
        <w:t>措施按预算要求执行。</w:t>
      </w:r>
    </w:p>
    <w:p w14:paraId="2077BB90">
      <w:pPr>
        <w:spacing w:line="560" w:lineRule="exact"/>
        <w:ind w:firstLine="640" w:firstLineChars="200"/>
        <w:rPr>
          <w:rStyle w:val="16"/>
          <w:rFonts w:ascii="Times New Roman" w:hAnsi="Times New Roman" w:cs="Times New Roman"/>
          <w:color w:val="auto"/>
        </w:rPr>
      </w:pPr>
      <w:r>
        <w:rPr>
          <w:rFonts w:hint="eastAsia" w:eastAsia="黑体"/>
          <w:sz w:val="32"/>
          <w:szCs w:val="32"/>
          <w:lang w:eastAsia="zh-Hans"/>
        </w:rPr>
        <w:t>六</w:t>
      </w:r>
      <w:r>
        <w:rPr>
          <w:rFonts w:eastAsia="黑体"/>
          <w:sz w:val="32"/>
          <w:szCs w:val="32"/>
        </w:rPr>
        <w:t>、主要经验及做法、存在的问题及原因分析</w:t>
      </w:r>
    </w:p>
    <w:p w14:paraId="27971A1F">
      <w:pPr>
        <w:spacing w:line="560" w:lineRule="exact"/>
        <w:ind w:firstLine="627" w:firstLineChars="200"/>
        <w:rPr>
          <w:rFonts w:eastAsia="楷体"/>
          <w:b/>
          <w:spacing w:val="-4"/>
          <w:sz w:val="32"/>
          <w:szCs w:val="32"/>
        </w:rPr>
      </w:pPr>
      <w:r>
        <w:rPr>
          <w:rFonts w:eastAsia="楷体"/>
          <w:b/>
          <w:spacing w:val="-4"/>
          <w:sz w:val="32"/>
          <w:szCs w:val="32"/>
        </w:rPr>
        <w:t>（一）主要经验及做法</w:t>
      </w:r>
    </w:p>
    <w:p w14:paraId="027577B0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366B5E77">
      <w:pPr>
        <w:pStyle w:val="2"/>
        <w:spacing w:before="0" w:after="0" w:line="560" w:lineRule="exact"/>
        <w:ind w:firstLine="640" w:firstLineChars="200"/>
        <w:jc w:val="left"/>
        <w:rPr>
          <w:rFonts w:ascii="Times New Roman" w:hAnsi="Times New Roman" w:eastAsia="仿宋_GB2312"/>
          <w:b w:val="0"/>
          <w:bCs w:val="0"/>
          <w:kern w:val="2"/>
        </w:rPr>
      </w:pPr>
      <w:r>
        <w:rPr>
          <w:rFonts w:ascii="Times New Roman" w:hAnsi="Times New Roman" w:eastAsia="仿宋_GB2312"/>
          <w:b w:val="0"/>
          <w:bCs w:val="0"/>
          <w:kern w:val="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48B624BA">
      <w:pPr>
        <w:keepNext/>
        <w:keepLines/>
        <w:numPr>
          <w:ilvl w:val="0"/>
          <w:numId w:val="7"/>
        </w:numPr>
        <w:spacing w:line="560" w:lineRule="exact"/>
        <w:ind w:firstLine="643" w:firstLineChars="200"/>
        <w:rPr>
          <w:rFonts w:eastAsia="楷体_GB2312"/>
          <w:b/>
          <w:bCs/>
          <w:sz w:val="32"/>
          <w:szCs w:val="32"/>
        </w:rPr>
      </w:pPr>
      <w:r>
        <w:rPr>
          <w:rFonts w:eastAsia="楷体_GB2312"/>
          <w:b/>
          <w:bCs/>
          <w:sz w:val="32"/>
          <w:szCs w:val="32"/>
        </w:rPr>
        <w:t>存在的问题及原因分析</w:t>
      </w:r>
    </w:p>
    <w:p w14:paraId="00ECDB36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2FD41EFF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2.因轮岗、调动、等因素使我单位绩效工作人员流动频繁，造成了工作衔接不到位的情况。</w:t>
      </w:r>
    </w:p>
    <w:p w14:paraId="4DF0D989"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Hans"/>
        </w:rPr>
        <w:t>七、</w:t>
      </w:r>
      <w:r>
        <w:rPr>
          <w:rFonts w:eastAsia="黑体"/>
          <w:sz w:val="32"/>
          <w:szCs w:val="32"/>
        </w:rPr>
        <w:t>有关建议</w:t>
      </w:r>
    </w:p>
    <w:p w14:paraId="4EAA3D69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02C187DC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0A71018F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0414EEFC">
      <w:pPr>
        <w:shd w:val="clear"/>
        <w:spacing w:line="600" w:lineRule="exact"/>
        <w:ind w:firstLine="640" w:firstLineChars="200"/>
        <w:outlineLvl w:val="0"/>
        <w:rPr>
          <w:sz w:val="2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4.进一步完善项目评价过程中有关数据和资料的收集、整理、审核及分析。项目启动时同步做好档案的归纳与整理，及时整理、收集、汇总，健全档案资料。项目后续管理有待加强和跟踪</w:t>
      </w:r>
      <w:r>
        <w:rPr>
          <w:rFonts w:hint="eastAsia" w:ascii="仿宋_GB2312" w:hAnsi="仿宋_GB2312" w:eastAsia="仿宋_GB2312" w:cs="仿宋_GB2312"/>
          <w:sz w:val="36"/>
          <w:szCs w:val="32"/>
        </w:rPr>
        <w:t>。</w:t>
      </w:r>
    </w:p>
    <w:p w14:paraId="676B1DE6">
      <w:pPr>
        <w:shd w:val="clear"/>
        <w:spacing w:line="60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0B8A51BD">
      <w:pPr>
        <w:spacing w:line="56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Hans"/>
        </w:rPr>
        <w:t>八、</w:t>
      </w:r>
      <w:r>
        <w:rPr>
          <w:rFonts w:eastAsia="黑体"/>
          <w:sz w:val="32"/>
          <w:szCs w:val="32"/>
        </w:rPr>
        <w:t>其他需要说</w:t>
      </w:r>
      <w:bookmarkStart w:id="18" w:name="page8"/>
      <w:bookmarkEnd w:id="18"/>
      <w:r>
        <w:rPr>
          <w:rFonts w:eastAsia="黑体"/>
          <w:sz w:val="32"/>
          <w:szCs w:val="32"/>
        </w:rPr>
        <w:t>明的问题</w:t>
      </w:r>
    </w:p>
    <w:p w14:paraId="038F590D">
      <w:pPr>
        <w:pStyle w:val="11"/>
        <w:spacing w:after="0" w:line="560" w:lineRule="exact"/>
        <w:ind w:left="0" w:leftChars="0" w:firstLine="640"/>
        <w:rPr>
          <w:rFonts w:hint="eastAsia" w:ascii="黑体" w:hAnsi="黑体" w:eastAsia="黑体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Hans"/>
        </w:rPr>
        <w:t>本项目无其他需说明的问题。</w:t>
      </w:r>
      <w:bookmarkEnd w:id="17"/>
      <w:bookmarkStart w:id="19" w:name="_GoBack"/>
      <w:bookmarkEnd w:id="19"/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F60FE1"/>
    <w:multiLevelType w:val="singleLevel"/>
    <w:tmpl w:val="DEF60FE1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FF9379A8"/>
    <w:multiLevelType w:val="singleLevel"/>
    <w:tmpl w:val="FF9379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16B29BF"/>
    <w:multiLevelType w:val="singleLevel"/>
    <w:tmpl w:val="116B29B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7813159"/>
    <w:multiLevelType w:val="singleLevel"/>
    <w:tmpl w:val="2781315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3FFDE812"/>
    <w:multiLevelType w:val="singleLevel"/>
    <w:tmpl w:val="3FFDE812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6FAA0AB1"/>
    <w:multiLevelType w:val="singleLevel"/>
    <w:tmpl w:val="6FAA0AB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779F9DAC"/>
    <w:multiLevelType w:val="singleLevel"/>
    <w:tmpl w:val="779F9DAC"/>
    <w:lvl w:ilvl="0" w:tentative="0">
      <w:start w:val="2"/>
      <w:numFmt w:val="chineseCounting"/>
      <w:suff w:val="nothing"/>
      <w:lvlText w:val="（%1）"/>
      <w:lvlJc w:val="left"/>
      <w:pPr>
        <w:ind w:left="-40"/>
      </w:pPr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4ZTk4ZThiOTlhYTkyOGVkOWQ5NDlhNjIwNjNhNzEifQ=="/>
  </w:docVars>
  <w:rsids>
    <w:rsidRoot w:val="00000000"/>
    <w:rsid w:val="047637AB"/>
    <w:rsid w:val="06FD4082"/>
    <w:rsid w:val="1081506B"/>
    <w:rsid w:val="109202F8"/>
    <w:rsid w:val="1B034F10"/>
    <w:rsid w:val="1F0B55D3"/>
    <w:rsid w:val="26284193"/>
    <w:rsid w:val="2F672BF8"/>
    <w:rsid w:val="368B6FC1"/>
    <w:rsid w:val="376B7EDD"/>
    <w:rsid w:val="3BDAFEE6"/>
    <w:rsid w:val="3D88536F"/>
    <w:rsid w:val="45EC0627"/>
    <w:rsid w:val="46062673"/>
    <w:rsid w:val="4C3C156B"/>
    <w:rsid w:val="50C1084F"/>
    <w:rsid w:val="5130358A"/>
    <w:rsid w:val="553B7CF8"/>
    <w:rsid w:val="592B1453"/>
    <w:rsid w:val="5BD73795"/>
    <w:rsid w:val="5BF4B57C"/>
    <w:rsid w:val="5E3837CF"/>
    <w:rsid w:val="5E9F8776"/>
    <w:rsid w:val="5F5D6EB1"/>
    <w:rsid w:val="66451006"/>
    <w:rsid w:val="7157173C"/>
    <w:rsid w:val="717A57AC"/>
    <w:rsid w:val="719B7EDF"/>
    <w:rsid w:val="735A57D6"/>
    <w:rsid w:val="76A01C62"/>
    <w:rsid w:val="779D5C49"/>
    <w:rsid w:val="77F50984"/>
    <w:rsid w:val="78237769"/>
    <w:rsid w:val="789E737B"/>
    <w:rsid w:val="79AE471E"/>
    <w:rsid w:val="7EFEDB6F"/>
    <w:rsid w:val="7F7F6181"/>
    <w:rsid w:val="7FED58D7"/>
    <w:rsid w:val="A07F6473"/>
    <w:rsid w:val="A0CBD1F6"/>
    <w:rsid w:val="AFFE6CB6"/>
    <w:rsid w:val="BBFB8BE4"/>
    <w:rsid w:val="BFFAB8F1"/>
    <w:rsid w:val="BFFF4317"/>
    <w:rsid w:val="C6B72A94"/>
    <w:rsid w:val="CFDF7977"/>
    <w:rsid w:val="D6CEC02F"/>
    <w:rsid w:val="D71D41DA"/>
    <w:rsid w:val="F07FD2E9"/>
    <w:rsid w:val="F511ED8B"/>
    <w:rsid w:val="F7BB9FE7"/>
    <w:rsid w:val="F7FED64A"/>
    <w:rsid w:val="F9F3903A"/>
    <w:rsid w:val="F9FF7077"/>
    <w:rsid w:val="FABFEDFF"/>
    <w:rsid w:val="FD7FC932"/>
    <w:rsid w:val="FDFE95ED"/>
    <w:rsid w:val="FE6FAA0C"/>
    <w:rsid w:val="FEE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widowControl w:val="0"/>
      <w:spacing w:before="260" w:beforeAutospacing="0" w:after="260" w:afterAutospacing="0" w:line="413" w:lineRule="auto"/>
      <w:jc w:val="both"/>
      <w:outlineLvl w:val="2"/>
    </w:pPr>
    <w:rPr>
      <w:rFonts w:ascii="Times New Roman" w:hAnsi="Times New Roman" w:eastAsia="仿宋_GB2312" w:cs="Times New Roman"/>
      <w:b/>
      <w:kern w:val="2"/>
      <w:sz w:val="32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9">
    <w:name w:val="footnote text"/>
    <w:basedOn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0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asciiTheme="minorHAnsi" w:hAnsiTheme="minorHAnsi" w:eastAsiaTheme="minorEastAsia"/>
      <w:kern w:val="0"/>
      <w:sz w:val="22"/>
      <w:szCs w:val="22"/>
    </w:rPr>
  </w:style>
  <w:style w:type="paragraph" w:styleId="11">
    <w:name w:val="Body Text First Indent 2"/>
    <w:basedOn w:val="6"/>
    <w:qFormat/>
    <w:uiPriority w:val="0"/>
    <w:pPr>
      <w:ind w:firstLine="420" w:firstLineChars="200"/>
    </w:pPr>
  </w:style>
  <w:style w:type="character" w:styleId="14">
    <w:name w:val="Strong"/>
    <w:basedOn w:val="13"/>
    <w:qFormat/>
    <w:uiPriority w:val="0"/>
    <w:rPr>
      <w:b/>
      <w:bCs/>
    </w:rPr>
  </w:style>
  <w:style w:type="paragraph" w:customStyle="1" w:styleId="15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16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7362</Words>
  <Characters>7600</Characters>
  <Lines>0</Lines>
  <Paragraphs>0</Paragraphs>
  <TotalTime>1</TotalTime>
  <ScaleCrop>false</ScaleCrop>
  <LinksUpToDate>false</LinksUpToDate>
  <CharactersWithSpaces>7626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2024-03-05T21:11:00Z</dcterms:created>
  <dc:creator>Administrator</dc:creator>
  <cp:lastModifiedBy>岁月无痕</cp:lastModifiedBy>
  <cp:lastPrinted>2024-03-06T03:32:00Z</cp:lastPrinted>
  <dcterms:modified xsi:type="dcterms:W3CDTF">2024-08-19T11:22:13Z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4CBA51F098A84EE1BF0E059B495C134A</vt:lpwstr>
  </property>
</Properties>
</file>