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17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黑体" w:hAnsi="黑体" w:eastAsia="黑体"/>
        </w:rPr>
      </w:pPr>
    </w:p>
    <w:p w14:paraId="56448891">
      <w:pPr>
        <w:jc w:val="center"/>
        <w:outlineLvl w:val="9"/>
        <w:rPr>
          <w:rFonts w:ascii="宋体" w:hAnsi="宋体" w:eastAsia="宋体" w:cs="Arial"/>
          <w:b/>
          <w:bCs/>
          <w:sz w:val="52"/>
          <w:szCs w:val="52"/>
        </w:rPr>
      </w:pPr>
      <w:r>
        <w:rPr>
          <w:rFonts w:hint="eastAsia" w:ascii="宋体" w:hAnsi="宋体" w:eastAsia="宋体" w:cs="Arial"/>
          <w:b/>
          <w:bCs/>
          <w:sz w:val="52"/>
          <w:szCs w:val="52"/>
        </w:rPr>
        <w:t>项目支出绩效评价报告</w:t>
      </w:r>
    </w:p>
    <w:p w14:paraId="76475642">
      <w:pPr>
        <w:jc w:val="center"/>
        <w:rPr>
          <w:rFonts w:ascii="宋体" w:hAnsi="宋体" w:eastAsia="宋体" w:cs="Arial"/>
          <w:b/>
          <w:bCs/>
          <w:sz w:val="48"/>
          <w:szCs w:val="48"/>
        </w:rPr>
      </w:pPr>
    </w:p>
    <w:p w14:paraId="20F5FA03">
      <w:pPr>
        <w:widowControl/>
        <w:spacing w:line="560" w:lineRule="exact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（2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年度）</w:t>
      </w:r>
    </w:p>
    <w:p w14:paraId="4B73E24C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1F792282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7B6DBD7F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0303A691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2E446F86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56CF31E1">
      <w:pPr>
        <w:spacing w:line="560" w:lineRule="exact"/>
        <w:ind w:firstLine="321" w:firstLineChars="100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hAnsi="宋体" w:cs="宋体"/>
          <w:b/>
          <w:bCs/>
          <w:kern w:val="0"/>
          <w:sz w:val="36"/>
          <w:szCs w:val="36"/>
          <w:lang w:val="en-US" w:eastAsia="zh-CN"/>
        </w:rPr>
        <w:t>视频云存储租用</w:t>
      </w: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项目</w:t>
      </w:r>
    </w:p>
    <w:p w14:paraId="0F9F14AA">
      <w:pPr>
        <w:spacing w:line="560" w:lineRule="exact"/>
        <w:ind w:firstLine="321" w:firstLineChars="100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实施单位（公章）：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自治区重要信息系统灾难备份中心</w:t>
      </w:r>
    </w:p>
    <w:p w14:paraId="49F812E3">
      <w:pPr>
        <w:spacing w:line="560" w:lineRule="exact"/>
        <w:ind w:firstLine="321" w:firstLineChars="1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主管部门（公章）：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eastAsia="zh-CN"/>
        </w:rPr>
        <w:t>自治区工业和信息化厅</w:t>
      </w:r>
    </w:p>
    <w:p w14:paraId="78A5021C">
      <w:pPr>
        <w:spacing w:line="560" w:lineRule="exact"/>
        <w:ind w:firstLine="321" w:firstLineChars="100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项目负责人（签章）：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艾克拜尔</w:t>
      </w:r>
    </w:p>
    <w:p w14:paraId="122C3E44">
      <w:pPr>
        <w:spacing w:line="560" w:lineRule="exact"/>
        <w:ind w:firstLine="321" w:firstLineChars="100"/>
        <w:rPr>
          <w:rFonts w:ascii="宋体" w:hAnsi="宋体" w:eastAsia="宋体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填报时间：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月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日</w:t>
      </w:r>
    </w:p>
    <w:p w14:paraId="460F170B">
      <w:pPr>
        <w:jc w:val="center"/>
        <w:rPr>
          <w:rFonts w:ascii="宋体" w:hAnsi="宋体" w:eastAsia="宋体" w:cs="Arial"/>
          <w:b/>
          <w:bCs/>
          <w:sz w:val="36"/>
          <w:szCs w:val="36"/>
        </w:rPr>
      </w:pPr>
    </w:p>
    <w:p w14:paraId="06736726">
      <w:pPr>
        <w:widowControl/>
        <w:jc w:val="left"/>
        <w:rPr>
          <w:rFonts w:ascii="宋体" w:hAnsi="宋体" w:eastAsia="宋体" w:cs="Arial"/>
          <w:b/>
          <w:bCs/>
          <w:sz w:val="36"/>
          <w:szCs w:val="36"/>
        </w:rPr>
      </w:pPr>
      <w:r>
        <w:rPr>
          <w:rFonts w:ascii="宋体" w:hAnsi="宋体" w:eastAsia="宋体" w:cs="Arial"/>
          <w:b/>
          <w:bCs/>
          <w:sz w:val="36"/>
          <w:szCs w:val="36"/>
        </w:rPr>
        <w:br w:type="page"/>
      </w:r>
    </w:p>
    <w:p w14:paraId="6811432B">
      <w:pPr>
        <w:pStyle w:val="11"/>
      </w:pPr>
    </w:p>
    <w:p w14:paraId="75C7E4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320" w:firstLineChars="100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Toc29712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一、基本情况</w:t>
      </w:r>
      <w:bookmarkEnd w:id="0"/>
    </w:p>
    <w:p w14:paraId="0B8FD2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/>
        </w:rPr>
      </w:pPr>
      <w:bookmarkStart w:id="1" w:name="_Toc1393"/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  <w:bookmarkEnd w:id="1"/>
    </w:p>
    <w:p w14:paraId="586B921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2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1.</w:t>
      </w:r>
      <w:r>
        <w:rPr>
          <w:rFonts w:hint="eastAsia" w:ascii="仿宋_GB2312"/>
          <w:sz w:val="32"/>
          <w:szCs w:val="32"/>
        </w:rPr>
        <w:t>项目背景</w:t>
      </w:r>
    </w:p>
    <w:p w14:paraId="090728B5">
      <w:pPr>
        <w:spacing w:line="600" w:lineRule="exact"/>
        <w:ind w:firstLine="640" w:firstLineChars="200"/>
        <w:rPr>
          <w:rStyle w:val="16"/>
          <w:rFonts w:hint="eastAsia" w:ascii="仿宋_GB2312" w:hAnsi="仿宋" w:eastAsia="仿宋_GB2312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视频云存储租用合同》内容，建立视频云存储平台，可承接全疆公安视频数据的存储服务，实现了克拉玛依市平安城市2700路视频监控数据的存储服务，该项目服务期已结束，收回项目款用于支付供应商等款项。</w:t>
      </w:r>
    </w:p>
    <w:p w14:paraId="5A15A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2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eastAsia="zh-CN"/>
        </w:rPr>
        <w:t>.项目</w:t>
      </w:r>
      <w:r>
        <w:rPr>
          <w:rFonts w:hint="eastAsia" w:ascii="仿宋_GB2312"/>
          <w:sz w:val="32"/>
          <w:szCs w:val="32"/>
        </w:rPr>
        <w:t>主要内容</w:t>
      </w:r>
      <w:r>
        <w:rPr>
          <w:rFonts w:hint="eastAsia" w:ascii="仿宋_GB2312"/>
          <w:sz w:val="32"/>
          <w:szCs w:val="32"/>
          <w:lang w:eastAsia="zh-CN"/>
        </w:rPr>
        <w:t>：</w:t>
      </w:r>
    </w:p>
    <w:p w14:paraId="45955627">
      <w:pPr>
        <w:spacing w:line="600" w:lineRule="exact"/>
        <w:ind w:firstLine="600" w:firstLineChars="200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lang w:eastAsia="zh-CN"/>
        </w:rPr>
        <w:t>项目</w:t>
      </w:r>
      <w:r>
        <w:rPr>
          <w:rFonts w:hint="eastAsia" w:ascii="仿宋_GB2312"/>
        </w:rPr>
        <w:t>主要内容：</w:t>
      </w:r>
      <w:r>
        <w:rPr>
          <w:rStyle w:val="16"/>
          <w:rFonts w:hint="eastAsia" w:ascii="仿宋_GB2312" w:hAnsi="仿宋" w:eastAsia="仿宋_GB2312"/>
          <w:b w:val="0"/>
          <w:spacing w:val="-4"/>
          <w:sz w:val="32"/>
          <w:szCs w:val="32"/>
        </w:rPr>
        <w:t>根据</w:t>
      </w:r>
      <w:r>
        <w:rPr>
          <w:rStyle w:val="16"/>
          <w:rFonts w:hint="eastAsia" w:ascii="仿宋_GB2312" w:hAnsi="仿宋"/>
          <w:b w:val="0"/>
          <w:spacing w:val="-4"/>
          <w:sz w:val="32"/>
          <w:szCs w:val="32"/>
          <w:lang w:eastAsia="zh-CN"/>
        </w:rPr>
        <w:t>《</w:t>
      </w:r>
      <w:r>
        <w:rPr>
          <w:rStyle w:val="16"/>
          <w:rFonts w:hint="eastAsia" w:ascii="仿宋_GB2312" w:hAnsi="仿宋"/>
          <w:b w:val="0"/>
          <w:spacing w:val="-4"/>
          <w:sz w:val="32"/>
          <w:szCs w:val="32"/>
          <w:lang w:val="en-US" w:eastAsia="zh-CN"/>
        </w:rPr>
        <w:t>视频云存储租用合同》内容</w:t>
      </w:r>
      <w:r>
        <w:rPr>
          <w:rStyle w:val="16"/>
          <w:rFonts w:hint="eastAsia" w:ascii="仿宋_GB2312" w:hAnsi="仿宋" w:eastAsia="仿宋_GB2312"/>
          <w:b w:val="0"/>
          <w:spacing w:val="-4"/>
          <w:sz w:val="32"/>
          <w:szCs w:val="32"/>
        </w:rPr>
        <w:t>，结合</w:t>
      </w:r>
      <w:r>
        <w:rPr>
          <w:rStyle w:val="16"/>
          <w:rFonts w:hint="eastAsia" w:ascii="仿宋_GB2312" w:hAnsi="仿宋"/>
          <w:b w:val="0"/>
          <w:spacing w:val="-4"/>
          <w:sz w:val="32"/>
          <w:szCs w:val="32"/>
          <w:lang w:val="en-US" w:eastAsia="zh-CN"/>
        </w:rPr>
        <w:t>自治区重要信息系统灾难备份中心</w:t>
      </w:r>
      <w:r>
        <w:rPr>
          <w:rStyle w:val="16"/>
          <w:rFonts w:hint="eastAsia" w:ascii="仿宋_GB2312" w:hAnsi="仿宋" w:eastAsia="仿宋_GB2312"/>
          <w:b w:val="0"/>
          <w:spacing w:val="-4"/>
          <w:sz w:val="32"/>
          <w:szCs w:val="32"/>
        </w:rPr>
        <w:t>工作计划</w:t>
      </w:r>
      <w:r>
        <w:rPr>
          <w:rStyle w:val="16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纳入20</w:t>
      </w:r>
      <w:r>
        <w:rPr>
          <w:rStyle w:val="16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val="en-US" w:eastAsia="zh-CN"/>
        </w:rPr>
        <w:t>2</w:t>
      </w:r>
      <w:r>
        <w:rPr>
          <w:rStyle w:val="16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val="en-US" w:eastAsia="zh-CN"/>
        </w:rPr>
        <w:t>3</w:t>
      </w:r>
      <w:r>
        <w:rPr>
          <w:rStyle w:val="16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年部门预算，申报</w:t>
      </w:r>
      <w:r>
        <w:rPr>
          <w:rStyle w:val="16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val="en-US" w:eastAsia="zh-CN"/>
        </w:rPr>
        <w:t>2023年视频云存储租用</w:t>
      </w:r>
      <w:r>
        <w:rPr>
          <w:rStyle w:val="16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项目预算</w:t>
      </w:r>
      <w:r>
        <w:rPr>
          <w:rStyle w:val="16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val="en-US" w:eastAsia="zh-CN"/>
        </w:rPr>
        <w:t>499.38</w:t>
      </w:r>
      <w:r>
        <w:rPr>
          <w:rStyle w:val="16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万元，</w:t>
      </w:r>
      <w:r>
        <w:rPr>
          <w:rStyle w:val="16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eastAsia="zh-CN"/>
        </w:rPr>
        <w:t>用于</w:t>
      </w:r>
      <w:r>
        <w:rPr>
          <w:rFonts w:hint="eastAsia" w:ascii="仿宋_GB2312"/>
          <w:color w:val="auto"/>
          <w:sz w:val="32"/>
          <w:szCs w:val="32"/>
          <w:lang w:eastAsia="zh-CN"/>
        </w:rPr>
        <w:t>列支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视频云存储平台</w:t>
      </w:r>
      <w:r>
        <w:rPr>
          <w:rFonts w:hint="eastAsia" w:ascii="仿宋_GB2312"/>
          <w:color w:val="auto"/>
          <w:sz w:val="32"/>
          <w:szCs w:val="32"/>
        </w:rPr>
        <w:t>基础设施和技术设施运行维护支出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/>
          <w:color w:val="auto"/>
          <w:sz w:val="32"/>
          <w:szCs w:val="32"/>
        </w:rPr>
        <w:t>工作经费。</w:t>
      </w:r>
    </w:p>
    <w:p w14:paraId="2C73F0E8">
      <w:pPr>
        <w:spacing w:line="600" w:lineRule="exact"/>
        <w:ind w:firstLine="600" w:firstLineChars="200"/>
        <w:rPr>
          <w:rStyle w:val="16"/>
          <w:rFonts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/>
          <w:lang w:eastAsia="zh-CN"/>
        </w:rPr>
        <w:t>项目</w:t>
      </w:r>
      <w:r>
        <w:rPr>
          <w:rFonts w:hint="eastAsia" w:ascii="仿宋_GB2312"/>
        </w:rPr>
        <w:t>实施情况：</w:t>
      </w: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20</w:t>
      </w: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</w:t>
      </w: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3</w:t>
      </w: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年度内完成了</w:t>
      </w: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视频云存储租用项目运维工作经费</w:t>
      </w:r>
      <w:r>
        <w:rPr>
          <w:rStyle w:val="16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eastAsia="zh-CN"/>
        </w:rPr>
        <w:t>支出</w:t>
      </w:r>
      <w:r>
        <w:rPr>
          <w:rStyle w:val="16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val="en-US" w:eastAsia="zh-CN"/>
        </w:rPr>
        <w:t>499.38万元</w:t>
      </w: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，</w:t>
      </w: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包括技术服务费482万元，电费、税金等</w:t>
      </w: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</w:p>
    <w:p w14:paraId="1F4FA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outlineLvl w:val="2"/>
        <w:rPr>
          <w:rFonts w:ascii="仿宋_GB2312"/>
        </w:rPr>
      </w:pP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、资金投入和使用情况</w:t>
      </w:r>
    </w:p>
    <w:p w14:paraId="69AC2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资金投入情况</w:t>
      </w:r>
    </w:p>
    <w:p w14:paraId="1ECAD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该项目</w:t>
      </w:r>
      <w:r>
        <w:rPr>
          <w:rFonts w:hint="eastAsia"/>
          <w:color w:val="auto"/>
          <w:lang w:eastAsia="zh-CN"/>
        </w:rPr>
        <w:t>年初</w:t>
      </w:r>
      <w:r>
        <w:rPr>
          <w:rFonts w:hint="eastAsia"/>
          <w:color w:val="auto"/>
        </w:rPr>
        <w:t>预算数</w:t>
      </w:r>
      <w:r>
        <w:rPr>
          <w:rFonts w:hint="eastAsia"/>
          <w:color w:val="auto"/>
          <w:lang w:val="en-US" w:eastAsia="zh-CN"/>
        </w:rPr>
        <w:t>499.38万元，全年预算数499.38</w:t>
      </w:r>
      <w:r>
        <w:rPr>
          <w:rFonts w:hint="eastAsia"/>
          <w:color w:val="auto"/>
        </w:rPr>
        <w:t>万元，实际总投入</w:t>
      </w:r>
      <w:r>
        <w:rPr>
          <w:rFonts w:hint="eastAsia"/>
          <w:color w:val="auto"/>
          <w:lang w:val="en-US" w:eastAsia="zh-CN"/>
        </w:rPr>
        <w:t>499.38</w:t>
      </w:r>
      <w:r>
        <w:rPr>
          <w:rFonts w:hint="eastAsia"/>
          <w:color w:val="auto"/>
        </w:rPr>
        <w:t>万元，该项目资金已全部落实到位，资金来源为</w:t>
      </w:r>
      <w:r>
        <w:rPr>
          <w:rFonts w:hint="eastAsia"/>
          <w:color w:val="auto"/>
          <w:lang w:val="en-US" w:eastAsia="zh-CN"/>
        </w:rPr>
        <w:t>其他资金</w:t>
      </w:r>
      <w:r>
        <w:rPr>
          <w:rFonts w:hint="eastAsia"/>
          <w:color w:val="auto"/>
        </w:rPr>
        <w:t>。</w:t>
      </w:r>
    </w:p>
    <w:p w14:paraId="4773D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资金使用情况</w:t>
      </w:r>
    </w:p>
    <w:p w14:paraId="3ED44E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    </w:t>
      </w:r>
      <w:r>
        <w:rPr>
          <w:rFonts w:hint="eastAsia"/>
          <w:color w:val="auto"/>
        </w:rPr>
        <w:t>该项目</w:t>
      </w:r>
      <w:r>
        <w:rPr>
          <w:rFonts w:hint="eastAsia"/>
          <w:color w:val="auto"/>
          <w:lang w:val="en-US" w:eastAsia="zh-CN"/>
        </w:rPr>
        <w:t>年初</w:t>
      </w:r>
      <w:r>
        <w:rPr>
          <w:rFonts w:hint="eastAsia"/>
          <w:color w:val="auto"/>
        </w:rPr>
        <w:t>预算</w:t>
      </w:r>
      <w:r>
        <w:rPr>
          <w:rFonts w:hint="eastAsia"/>
          <w:color w:val="auto"/>
          <w:lang w:eastAsia="zh-CN"/>
        </w:rPr>
        <w:t>数</w:t>
      </w:r>
      <w:r>
        <w:rPr>
          <w:rFonts w:hint="eastAsia"/>
          <w:color w:val="auto"/>
          <w:lang w:val="en-US" w:eastAsia="zh-CN"/>
        </w:rPr>
        <w:t>499.38万元</w:t>
      </w:r>
      <w:r>
        <w:rPr>
          <w:rFonts w:hint="eastAsia"/>
          <w:color w:val="auto"/>
        </w:rPr>
        <w:t>，全年预算数</w:t>
      </w:r>
      <w:r>
        <w:rPr>
          <w:rFonts w:hint="eastAsia"/>
          <w:color w:val="auto"/>
          <w:lang w:val="en-US" w:eastAsia="zh-CN"/>
        </w:rPr>
        <w:t>499.38</w:t>
      </w:r>
      <w:r>
        <w:rPr>
          <w:rFonts w:hint="eastAsia"/>
          <w:color w:val="auto"/>
        </w:rPr>
        <w:t>万元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全年执行数</w:t>
      </w:r>
      <w:r>
        <w:rPr>
          <w:rFonts w:hint="eastAsia"/>
          <w:color w:val="auto"/>
          <w:lang w:val="en-US" w:eastAsia="zh-CN"/>
        </w:rPr>
        <w:t>499.38</w:t>
      </w:r>
      <w:r>
        <w:rPr>
          <w:rFonts w:hint="eastAsia"/>
          <w:color w:val="auto"/>
        </w:rPr>
        <w:t>万元，预算执行率为</w:t>
      </w:r>
      <w:r>
        <w:rPr>
          <w:rFonts w:hint="eastAsia"/>
          <w:color w:val="auto"/>
          <w:lang w:val="en-US" w:eastAsia="zh-CN"/>
        </w:rPr>
        <w:t>100</w:t>
      </w:r>
      <w:r>
        <w:rPr>
          <w:rFonts w:hint="eastAsia"/>
          <w:color w:val="auto"/>
        </w:rPr>
        <w:t>%</w:t>
      </w:r>
      <w:r>
        <w:rPr>
          <w:rFonts w:hint="eastAsia"/>
          <w:color w:val="auto"/>
          <w:lang w:eastAsia="zh-CN"/>
        </w:rPr>
        <w:t>，主要</w:t>
      </w:r>
      <w:r>
        <w:rPr>
          <w:rFonts w:hint="eastAsia"/>
          <w:color w:val="auto"/>
        </w:rPr>
        <w:t>用于</w:t>
      </w:r>
      <w:r>
        <w:rPr>
          <w:rFonts w:hint="eastAsia"/>
          <w:color w:val="auto"/>
          <w:lang w:val="en-US" w:eastAsia="zh-CN"/>
        </w:rPr>
        <w:t>完成基础设施技术服务费499.38</w:t>
      </w: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万元；电费、</w:t>
      </w:r>
      <w:r>
        <w:rPr>
          <w:rStyle w:val="16"/>
          <w:rFonts w:hint="eastAsia" w:ascii="仿宋_GB2312" w:hAnsi="仿宋_GB2312" w:cs="仿宋_GB2312"/>
          <w:b w:val="0"/>
          <w:color w:val="auto"/>
          <w:spacing w:val="-4"/>
          <w:sz w:val="32"/>
          <w:szCs w:val="32"/>
          <w:lang w:val="en-US" w:eastAsia="zh-CN"/>
        </w:rPr>
        <w:t>税金等</w:t>
      </w:r>
      <w:r>
        <w:rPr>
          <w:rFonts w:hint="eastAsia" w:ascii="仿宋_GB2312"/>
          <w:color w:val="auto"/>
          <w:sz w:val="32"/>
          <w:szCs w:val="32"/>
        </w:rPr>
        <w:t>。</w:t>
      </w:r>
    </w:p>
    <w:p w14:paraId="3AECB6CC">
      <w:pPr>
        <w:spacing w:line="540" w:lineRule="exact"/>
        <w:ind w:firstLine="567"/>
        <w:outlineLvl w:val="1"/>
        <w:rPr>
          <w:rStyle w:val="16"/>
          <w:rFonts w:ascii="仿宋" w:hAnsi="仿宋" w:eastAsia="仿宋"/>
          <w:b w:val="0"/>
          <w:bCs w:val="0"/>
          <w:spacing w:val="-4"/>
          <w:sz w:val="32"/>
          <w:szCs w:val="32"/>
        </w:rPr>
      </w:pPr>
      <w:bookmarkStart w:id="2" w:name="_Toc24324"/>
      <w:r>
        <w:rPr>
          <w:rStyle w:val="16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  <w:t>（二）项目绩效目标</w:t>
      </w:r>
      <w:bookmarkEnd w:id="2"/>
    </w:p>
    <w:p w14:paraId="2A1711E6">
      <w:pPr>
        <w:widowControl/>
        <w:spacing w:line="540" w:lineRule="exact"/>
        <w:ind w:firstLine="627" w:firstLineChars="200"/>
        <w:jc w:val="left"/>
        <w:outlineLvl w:val="2"/>
        <w:rPr>
          <w:rStyle w:val="16"/>
          <w:rFonts w:ascii="仿宋" w:hAnsi="仿宋" w:eastAsia="仿宋" w:cs="仿宋_GB2312"/>
          <w:b w:val="0"/>
          <w:bCs w:val="0"/>
          <w:spacing w:val="-4"/>
          <w:sz w:val="32"/>
          <w:szCs w:val="32"/>
        </w:rPr>
      </w:pPr>
      <w:r>
        <w:rPr>
          <w:rStyle w:val="16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1</w:t>
      </w:r>
      <w:r>
        <w:rPr>
          <w:rStyle w:val="16"/>
          <w:rFonts w:hint="eastAsia" w:ascii="仿宋_GB2312" w:hAnsi="仿宋_GB2312" w:eastAsia="仿宋_GB2312" w:cs="仿宋_GB2312"/>
          <w:b/>
          <w:bCs/>
          <w:spacing w:val="-4"/>
          <w:sz w:val="32"/>
          <w:szCs w:val="32"/>
          <w:lang w:eastAsia="zh-CN"/>
        </w:rPr>
        <w:t>、</w:t>
      </w:r>
      <w:r>
        <w:rPr>
          <w:rStyle w:val="16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项目绩效总目标</w:t>
      </w:r>
    </w:p>
    <w:p w14:paraId="6A4BF1FD">
      <w:pPr>
        <w:spacing w:line="560" w:lineRule="exact"/>
        <w:ind w:firstLine="640" w:firstLineChars="200"/>
        <w:rPr>
          <w:rStyle w:val="16"/>
          <w:rFonts w:ascii="仿宋_GB2312" w:hAnsi="仿宋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支付克拉玛依视频云存储租用服务项目款。</w:t>
      </w:r>
    </w:p>
    <w:p w14:paraId="76A61A51">
      <w:pPr>
        <w:widowControl/>
        <w:spacing w:line="540" w:lineRule="exact"/>
        <w:ind w:firstLine="627" w:firstLineChars="200"/>
        <w:jc w:val="left"/>
        <w:outlineLvl w:val="2"/>
        <w:rPr>
          <w:rStyle w:val="16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Style w:val="16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2、阶段性目标</w:t>
      </w:r>
    </w:p>
    <w:p w14:paraId="2161719B">
      <w:pPr>
        <w:spacing w:line="540" w:lineRule="exact"/>
        <w:ind w:firstLine="624" w:firstLineChars="200"/>
      </w:pP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按照20</w:t>
      </w: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</w:t>
      </w: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3</w:t>
      </w:r>
      <w:r>
        <w:rPr>
          <w:rStyle w:val="16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年度工作计划，</w:t>
      </w: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eastAsia="zh-CN"/>
        </w:rPr>
        <w:t>逐月开展工作，尽快</w:t>
      </w: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收回克拉玛依视频云存储租用服务项目款，支付供应商基础设施技术服务费、电费等。</w:t>
      </w:r>
    </w:p>
    <w:p w14:paraId="4FDABE66">
      <w:pPr>
        <w:spacing w:line="540" w:lineRule="exact"/>
        <w:ind w:firstLine="936" w:firstLineChars="300"/>
        <w:outlineLvl w:val="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bookmarkStart w:id="3" w:name="_Toc32408"/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  <w:bookmarkEnd w:id="3"/>
    </w:p>
    <w:p w14:paraId="52EF4B1D">
      <w:pPr>
        <w:widowControl/>
        <w:spacing w:line="540" w:lineRule="exact"/>
        <w:ind w:firstLine="627" w:firstLineChars="200"/>
        <w:jc w:val="left"/>
        <w:outlineLvl w:val="1"/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</w:pPr>
      <w:bookmarkStart w:id="4" w:name="_Toc23205"/>
      <w:r>
        <w:rPr>
          <w:rStyle w:val="16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绩效评价目的、对象和范围</w:t>
      </w:r>
      <w:bookmarkEnd w:id="4"/>
    </w:p>
    <w:p w14:paraId="5D79F876">
      <w:pPr>
        <w:widowControl/>
        <w:spacing w:line="54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1、绩效评价目的</w:t>
      </w:r>
    </w:p>
    <w:p w14:paraId="27F5815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财政支出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绩效评价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运用科学、规范的绩效评价方法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，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制定统一的评价标准，使财政资金得到事前、事中、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。</w:t>
      </w:r>
    </w:p>
    <w:p w14:paraId="108B838B">
      <w:pPr>
        <w:pStyle w:val="11"/>
        <w:numPr>
          <w:ilvl w:val="0"/>
          <w:numId w:val="2"/>
        </w:numPr>
        <w:ind w:left="0" w:leftChars="0" w:firstLine="598" w:firstLineChars="187"/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项目在实施前向项目负责人提供财政支出绩效方面的资金管理信息，促进项目支出严格按照资金管理规定进行。</w:t>
      </w:r>
    </w:p>
    <w:p w14:paraId="634FCD0C">
      <w:pPr>
        <w:pStyle w:val="11"/>
        <w:numPr>
          <w:ilvl w:val="0"/>
          <w:numId w:val="2"/>
        </w:numPr>
        <w:ind w:left="0" w:leftChars="0" w:firstLine="598" w:firstLineChars="187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项目绩效管理财政支出运行提供及时、有效的信息。</w:t>
      </w:r>
    </w:p>
    <w:p w14:paraId="055373D3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、优化资源配置、提高预算资金使用效益的目的。</w:t>
      </w:r>
    </w:p>
    <w:p w14:paraId="66278A7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2、绩效评价对象：</w:t>
      </w:r>
    </w:p>
    <w:p w14:paraId="1D08F3E1">
      <w:pPr>
        <w:spacing w:line="600" w:lineRule="exact"/>
        <w:ind w:firstLine="640" w:firstLineChars="200"/>
        <w:rPr>
          <w:rStyle w:val="1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视频云存储租用项目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建立视频云存储平台，可承接全疆公安视频数据的存储服务，实现了克拉玛依市平安城市2700路视频监控数据的存储服务，项目服务期已结束，收回项目款</w:t>
      </w:r>
      <w:r>
        <w:rPr>
          <w:rStyle w:val="16"/>
          <w:rFonts w:hint="eastAsia" w:ascii="仿宋_GB2312" w:hAnsi="仿宋_GB2312" w:cs="仿宋_GB2312"/>
          <w:b w:val="0"/>
          <w:bCs w:val="0"/>
          <w:spacing w:val="-4"/>
          <w:sz w:val="32"/>
          <w:szCs w:val="32"/>
          <w:lang w:eastAsia="zh-CN"/>
        </w:rPr>
        <w:t>用于</w:t>
      </w:r>
      <w:r>
        <w:rPr>
          <w:rFonts w:hint="eastAsia" w:ascii="仿宋_GB2312"/>
          <w:color w:val="auto"/>
          <w:sz w:val="32"/>
          <w:szCs w:val="32"/>
          <w:lang w:eastAsia="zh-CN"/>
        </w:rPr>
        <w:t>支付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视频云存储平台</w:t>
      </w:r>
      <w:r>
        <w:rPr>
          <w:rFonts w:hint="eastAsia" w:ascii="仿宋_GB2312"/>
          <w:color w:val="auto"/>
          <w:sz w:val="32"/>
          <w:szCs w:val="32"/>
        </w:rPr>
        <w:t>基础设施和技术设施运行维护支出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/>
          <w:color w:val="auto"/>
          <w:sz w:val="32"/>
          <w:szCs w:val="32"/>
        </w:rPr>
        <w:t>工作经费</w:t>
      </w:r>
      <w:r>
        <w:rPr>
          <w:rFonts w:hint="eastAsia" w:ascii="仿宋_GB2312"/>
          <w:color w:val="auto"/>
          <w:sz w:val="32"/>
          <w:szCs w:val="32"/>
          <w:lang w:eastAsia="zh-CN"/>
        </w:rPr>
        <w:t>。</w:t>
      </w:r>
    </w:p>
    <w:p w14:paraId="619916D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3、绩效评价范围：</w:t>
      </w:r>
    </w:p>
    <w:p w14:paraId="5E6E81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16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次评价从项目决策（包括绩效目标、决策过程）、项目管理（包括项目资金、项目实施）、项目产出（包括项目产出数量、产出质量、产出时效和产出成本）项目效益四个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方面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对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视频云存储租用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评价，评价核心为保障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视频云平台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基础设施和技术设施运行维护支出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/>
          <w:color w:val="auto"/>
          <w:sz w:val="32"/>
          <w:szCs w:val="32"/>
        </w:rPr>
        <w:t>工作的经费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支出完成情况和效果。</w:t>
      </w:r>
    </w:p>
    <w:p w14:paraId="5BAFA662">
      <w:pPr>
        <w:widowControl/>
        <w:spacing w:line="540" w:lineRule="exact"/>
        <w:ind w:firstLine="643" w:firstLineChars="200"/>
        <w:jc w:val="left"/>
        <w:outlineLvl w:val="1"/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</w:pPr>
      <w:bookmarkStart w:id="5" w:name="_Toc5900"/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二）绩效评价原则、评价指标体系（附表说明）、评价方法、评价标准等</w:t>
      </w:r>
      <w:bookmarkEnd w:id="5"/>
    </w:p>
    <w:p w14:paraId="47B5E850">
      <w:pPr>
        <w:spacing w:line="600" w:lineRule="exact"/>
        <w:ind w:firstLine="640"/>
        <w:outlineLvl w:val="2"/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  <w:t>1、绩效评价主要遵循原则：</w:t>
      </w:r>
    </w:p>
    <w:p w14:paraId="06866ABD">
      <w:pPr>
        <w:spacing w:line="600" w:lineRule="exact"/>
        <w:ind w:firstLine="64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（一）科学公正。绩效评价应当运用科学合理的方法，按照规范的程序，对项目绩效进行客观、公正的反映。</w:t>
      </w:r>
    </w:p>
    <w:p w14:paraId="2C5377AB">
      <w:pPr>
        <w:spacing w:line="600" w:lineRule="exact"/>
        <w:ind w:firstLine="640" w:firstLineChars="200"/>
        <w:rPr>
          <w:rFonts w:hint="eastAsia"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（二）统筹兼顾。单位自评、部门评价和财政评价应职责明确，各有侧重，相互衔接。单位自评应由项目单位自主实施，即“谁支出、谁自评”。部门评价和财政评价应在单位自评的基础上开展。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5E25D3C">
      <w:pPr>
        <w:spacing w:line="600" w:lineRule="exact"/>
        <w:ind w:firstLine="640"/>
        <w:rPr>
          <w:rFonts w:hint="eastAsia"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（三）激励约束。绩效评价结果应与预算安排、政策调整、改进管理实质性挂钩，体现奖优罚劣和激励相容导向，有效要安排、低效要压减、无效要问责。</w:t>
      </w:r>
    </w:p>
    <w:p w14:paraId="228F72B0">
      <w:pPr>
        <w:spacing w:line="600" w:lineRule="exact"/>
        <w:ind w:firstLine="640"/>
        <w:rPr>
          <w:rFonts w:hint="eastAsia"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（四）公开透明。绩效评价结果应依法依规公开，并自觉接受社会监督。</w:t>
      </w:r>
    </w:p>
    <w:p w14:paraId="7471A348">
      <w:pPr>
        <w:spacing w:line="360" w:lineRule="auto"/>
        <w:ind w:firstLine="602" w:firstLineChars="200"/>
        <w:outlineLvl w:val="2"/>
        <w:rPr>
          <w:b/>
          <w:bCs/>
        </w:rPr>
      </w:pPr>
      <w:r>
        <w:rPr>
          <w:rFonts w:hint="eastAsia"/>
          <w:b/>
          <w:bCs/>
        </w:rPr>
        <w:t>2、评价指标体系（附表说明）</w:t>
      </w:r>
    </w:p>
    <w:p w14:paraId="25024EAF">
      <w:pPr>
        <w:spacing w:line="560" w:lineRule="exact"/>
        <w:ind w:firstLine="312" w:firstLineChars="100"/>
        <w:rPr>
          <w:rStyle w:val="16"/>
          <w:rFonts w:ascii="仿宋_GB2312" w:hAnsi="仿宋" w:eastAsia="仿宋_GB2312" w:cs="仿宋"/>
          <w:b w:val="0"/>
          <w:spacing w:val="-4"/>
          <w:sz w:val="32"/>
          <w:szCs w:val="32"/>
        </w:rPr>
      </w:pPr>
      <w:r>
        <w:rPr>
          <w:rStyle w:val="16"/>
          <w:rFonts w:hint="eastAsia" w:ascii="仿宋_GB2312" w:hAnsi="仿宋" w:eastAsia="仿宋_GB2312" w:cs="仿宋"/>
          <w:b w:val="0"/>
          <w:spacing w:val="-4"/>
          <w:sz w:val="32"/>
          <w:szCs w:val="32"/>
        </w:rPr>
        <w:t xml:space="preserve"> </w:t>
      </w:r>
      <w:r>
        <w:rPr>
          <w:rStyle w:val="16"/>
          <w:rFonts w:hint="eastAsia" w:ascii="仿宋_GB2312" w:hAnsi="仿宋" w:cs="仿宋"/>
          <w:b w:val="0"/>
          <w:spacing w:val="-4"/>
          <w:sz w:val="32"/>
          <w:szCs w:val="32"/>
          <w:lang w:eastAsia="zh-CN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72DD5785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确定评价指标</w:t>
      </w:r>
    </w:p>
    <w:p w14:paraId="427F7EFC">
      <w:pPr>
        <w:spacing w:line="560" w:lineRule="exact"/>
        <w:ind w:firstLine="624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Style w:val="16"/>
          <w:rFonts w:hint="eastAsia" w:ascii="仿宋_GB2312" w:hAnsi="仿宋" w:eastAsia="仿宋_GB2312" w:cs="仿宋"/>
          <w:b w:val="0"/>
          <w:spacing w:val="-4"/>
          <w:kern w:val="2"/>
          <w:sz w:val="32"/>
          <w:szCs w:val="32"/>
          <w:lang w:val="en-US" w:eastAsia="zh-CN" w:bidi="ar-SA"/>
        </w:rPr>
        <w:t>采用层次分析法：</w:t>
      </w:r>
      <w:r>
        <w:rPr>
          <w:rStyle w:val="16"/>
          <w:rFonts w:hint="eastAsia" w:ascii="仿宋_GB2312" w:hAnsi="仿宋" w:cs="仿宋"/>
          <w:b w:val="0"/>
          <w:spacing w:val="-4"/>
          <w:kern w:val="2"/>
          <w:sz w:val="32"/>
          <w:szCs w:val="32"/>
          <w:lang w:val="en-US" w:eastAsia="zh-CN" w:bidi="ar-SA"/>
        </w:rPr>
        <w:t>建立评价指标体系。绩效评价将指标分为项目决策指标、项目过程指标、项目产出指标、项目效益指标四个维度，</w:t>
      </w:r>
      <w:r>
        <w:rPr>
          <w:rFonts w:eastAsia="仿宋_GB2312"/>
          <w:color w:val="000000"/>
          <w:spacing w:val="17"/>
          <w:sz w:val="32"/>
          <w:szCs w:val="32"/>
        </w:rPr>
        <w:t>最终形成一个由多个相互联系的指标组成的多层次指标体系。</w:t>
      </w:r>
    </w:p>
    <w:p w14:paraId="0EFBB345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（2）确定权重</w:t>
      </w:r>
    </w:p>
    <w:p w14:paraId="02D865AC">
      <w:pPr>
        <w:spacing w:line="560" w:lineRule="exact"/>
        <w:ind w:firstLine="624" w:firstLineChars="200"/>
        <w:rPr>
          <w:rStyle w:val="16"/>
          <w:rFonts w:hint="eastAsia" w:ascii="仿宋_GB2312" w:hAnsi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6"/>
          <w:rFonts w:hint="eastAsia" w:ascii="仿宋_GB2312" w:hAnsi="仿宋" w:cs="仿宋"/>
          <w:b w:val="0"/>
          <w:spacing w:val="-4"/>
          <w:kern w:val="2"/>
          <w:sz w:val="32"/>
          <w:szCs w:val="32"/>
          <w:lang w:val="en-US" w:eastAsia="zh-CN" w:bidi="ar-SA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7D063ECB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（3）确定指标标准值</w:t>
      </w:r>
    </w:p>
    <w:p w14:paraId="5756FBE3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695F79E9">
      <w:pPr>
        <w:pStyle w:val="2"/>
        <w:spacing w:before="0" w:after="0" w:line="560" w:lineRule="exact"/>
        <w:ind w:firstLine="708" w:firstLineChars="200"/>
        <w:jc w:val="both"/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 w14:paraId="0D34BA8F">
      <w:pPr>
        <w:pStyle w:val="2"/>
        <w:widowControl w:val="0"/>
        <w:spacing w:before="0" w:after="0" w:line="560" w:lineRule="exact"/>
        <w:ind w:firstLine="708" w:firstLineChars="200"/>
        <w:jc w:val="both"/>
        <w:outlineLvl w:val="9"/>
        <w:rPr>
          <w:rFonts w:ascii="Times New Roman" w:hAnsi="Times New Roman" w:eastAsia="仿宋_GB2312"/>
          <w:b w:val="0"/>
          <w:bCs w:val="0"/>
          <w:color w:val="000000"/>
          <w:spacing w:val="17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</w:rPr>
        <w:t>具体评价指标体系详情见附件1</w:t>
      </w:r>
    </w:p>
    <w:p w14:paraId="2B2B94F8">
      <w:pPr>
        <w:spacing w:before="0" w:after="0" w:line="240" w:lineRule="auto"/>
        <w:jc w:val="center"/>
        <w:outlineLvl w:val="9"/>
        <w:rPr>
          <w:rStyle w:val="16"/>
          <w:rFonts w:ascii="宋体" w:hAnsi="宋体" w:eastAsia="宋体" w:cs="宋体"/>
          <w:b/>
          <w:bCs w:val="0"/>
          <w:color w:val="000000"/>
          <w:sz w:val="28"/>
          <w:szCs w:val="28"/>
        </w:rPr>
      </w:pPr>
      <w:r>
        <w:rPr>
          <w:rFonts w:hint="eastAsia"/>
          <w:lang w:eastAsia="zh-CN"/>
        </w:rPr>
        <w:tab/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项目支出绩效评价指标体系</w:t>
      </w:r>
    </w:p>
    <w:tbl>
      <w:tblPr>
        <w:tblStyle w:val="14"/>
        <w:tblW w:w="692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202"/>
        <w:gridCol w:w="2420"/>
        <w:gridCol w:w="949"/>
        <w:gridCol w:w="1187"/>
      </w:tblGrid>
      <w:tr w14:paraId="394ECF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tblHeader/>
          <w:jc w:val="center"/>
        </w:trPr>
        <w:tc>
          <w:tcPr>
            <w:tcW w:w="1167" w:type="dxa"/>
            <w:shd w:val="clear" w:color="auto" w:fill="FFFFFF"/>
            <w:vAlign w:val="center"/>
          </w:tcPr>
          <w:p w14:paraId="59049022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02" w:type="dxa"/>
            <w:shd w:val="clear" w:color="auto" w:fill="FFFFFF"/>
            <w:vAlign w:val="center"/>
          </w:tcPr>
          <w:p w14:paraId="6D45C6C6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13CC350D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355181DF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70BC704E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14:paraId="1546F9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373A2B4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决策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467388D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项目立项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3A62D26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立项依据充分性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45E68D2D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32458A9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14:paraId="2E9B31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783A85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18D50A2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51141BA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立项程序规范性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4FC320D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6452DE0D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14:paraId="3DF7E8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CF1632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4A51621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1E6D59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绩效目标合理性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2693DAB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722558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12339E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0748D7C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37E391B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4085EAE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绩效指标明确性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0BE07C5E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557EDD7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770011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37F908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175457E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资金投入</w:t>
            </w:r>
          </w:p>
          <w:p w14:paraId="71E1CE3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42BC7C8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预算编制科学性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4DAF5C5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59ECB74A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196493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704C3B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2A9D3A1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511E264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资金分配合理性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325948A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7DDAD198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4453A3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0CE318C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05AF98B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过程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46CD016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资金管理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3CDE433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资金到位率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3EBDA4FD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0E87A78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118705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9D24C5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07092F1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51845C2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预算执行率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6221B3A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0EFEC26F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</w:tr>
      <w:tr w14:paraId="580CBD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A2A46B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5B006B4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0F06779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320835BF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12F763F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1E8EA7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37CC286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3047B2F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组织实施</w:t>
            </w:r>
          </w:p>
          <w:p w14:paraId="655978E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1A3E8F1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管理制度健全性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7AE1851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329A046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7C4447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4C83CE8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3719407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0C643A2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制度执行有效性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0CE63AF3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215EDB4E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6844A9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291C258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202" w:type="dxa"/>
            <w:shd w:val="clear" w:color="auto" w:fill="FFFFFF"/>
            <w:vAlign w:val="center"/>
          </w:tcPr>
          <w:p w14:paraId="65A4369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4A38D6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实际完成率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482F4FD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1E6187FA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1F7FAF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24F973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2ED9275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54E1E09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质量达标率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3A7780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736EB31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292830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232DD0D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4C4AB52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5CAF8E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完成及时性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FCFE4C1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04DCC94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6AF704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257FB82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61311CD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3E61D92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4FC7207D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560DC72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0ED374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2FEBA20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效益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7B1EB83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项目效益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0754680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61B204E0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18D74E1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277BE7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754E930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009AD55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5C3BD3C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74594310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5DB30C5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</w:tbl>
    <w:p w14:paraId="2CF72BB9">
      <w:pPr>
        <w:tabs>
          <w:tab w:val="left" w:pos="1102"/>
        </w:tabs>
        <w:bidi w:val="0"/>
        <w:jc w:val="left"/>
        <w:rPr>
          <w:rFonts w:hint="eastAsia" w:eastAsia="仿宋_GB2312"/>
          <w:lang w:eastAsia="zh-CN"/>
        </w:rPr>
      </w:pPr>
    </w:p>
    <w:p w14:paraId="05083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绩效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评价方法</w:t>
      </w:r>
    </w:p>
    <w:p w14:paraId="65AA459B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05899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8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7BB0E7BA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（1）比较法</w:t>
      </w:r>
    </w:p>
    <w:p w14:paraId="6F83C8F0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通过对绩效目标与实施效果、历史与当期情况，综合分析绩效目标实现程度。对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最终验收情况与年度绩效目标对比、预算资金执行情况等相关因素进行比较。</w:t>
      </w:r>
    </w:p>
    <w:p w14:paraId="3A9E47BD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（2）因素分析法</w:t>
      </w:r>
    </w:p>
    <w:p w14:paraId="4042D589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通过综合分析影响绩效目标实现、实施效果的内外因素，评价绩效目标实现程度。通过对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的开展情况、项目产出数量、成本控制、资金拨付文件及自评报告等相关资料的收集和审核，综合分析各因素对绩效目标实现的影响。</w:t>
      </w:r>
    </w:p>
    <w:p w14:paraId="4780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4、评价标准</w:t>
      </w:r>
    </w:p>
    <w:p w14:paraId="0F239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绩效评价标准通常包括计划标准、行业标准、历史标准等，用于对绩效指标完成情况进行比较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、分析、评价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。本次评价主要采用了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计划标准</w:t>
      </w:r>
      <w:r>
        <w:rPr>
          <w:rFonts w:hint="eastAsia" w:ascii="仿宋_GB2312" w:hAnsi="仿宋_GB2312" w:eastAsia="仿宋_GB2312" w:cs="仿宋_GB2312"/>
          <w:b/>
          <w:color w:val="333333"/>
          <w:sz w:val="32"/>
          <w:szCs w:val="32"/>
        </w:rPr>
        <w:t>。</w:t>
      </w:r>
    </w:p>
    <w:p w14:paraId="4BE25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计划标准：指以预先制定的目标、计划、预算、定额等作为评价标准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3273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6" w:name="_Toc2318"/>
      <w:bookmarkStart w:id="7" w:name="_Toc5633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行业标准：指参照国家公布的行业指标数据制定的评价标准。</w:t>
      </w:r>
      <w:bookmarkEnd w:id="6"/>
      <w:bookmarkEnd w:id="7"/>
    </w:p>
    <w:p w14:paraId="50CE7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8" w:name="_Toc16028"/>
      <w:bookmarkStart w:id="9" w:name="_Toc43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历史标准：指参照历史数据制定的评价标准，为体现绩效改进的原则，在可实现的条件下应当确定相对较高的评价标准。</w:t>
      </w:r>
      <w:bookmarkEnd w:id="8"/>
      <w:bookmarkEnd w:id="9"/>
    </w:p>
    <w:p w14:paraId="38CDB229">
      <w:pPr>
        <w:widowControl/>
        <w:spacing w:line="540" w:lineRule="exact"/>
        <w:ind w:firstLine="627" w:firstLineChars="200"/>
        <w:jc w:val="left"/>
        <w:outlineLvl w:val="1"/>
        <w:rPr>
          <w:rStyle w:val="16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bookmarkStart w:id="10" w:name="_Toc11614"/>
      <w:r>
        <w:rPr>
          <w:rStyle w:val="16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（三）绩效评价工作过程。</w:t>
      </w:r>
      <w:bookmarkEnd w:id="10"/>
    </w:p>
    <w:p w14:paraId="0B4DECAE">
      <w:pPr>
        <w:widowControl/>
        <w:spacing w:line="540" w:lineRule="exact"/>
        <w:ind w:firstLine="627" w:firstLineChars="200"/>
        <w:jc w:val="lef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6"/>
          <w:rFonts w:hint="eastAsia" w:ascii="仿宋_GB2312" w:hAnsi="仿宋_GB2312" w:eastAsia="仿宋_GB2312" w:cs="仿宋_GB2312"/>
          <w:b/>
          <w:bCs/>
          <w:color w:val="auto"/>
          <w:spacing w:val="-4"/>
          <w:sz w:val="32"/>
          <w:szCs w:val="32"/>
        </w:rPr>
        <w:t>1</w:t>
      </w:r>
      <w:r>
        <w:rPr>
          <w:rStyle w:val="16"/>
          <w:rFonts w:hint="eastAsia" w:ascii="仿宋_GB2312" w:hAnsi="仿宋_GB2312" w:eastAsia="仿宋_GB2312" w:cs="仿宋_GB2312"/>
          <w:b/>
          <w:bCs/>
          <w:color w:val="auto"/>
          <w:spacing w:val="-4"/>
          <w:sz w:val="32"/>
          <w:szCs w:val="32"/>
          <w:lang w:eastAsia="zh-CN"/>
        </w:rPr>
        <w:t>、</w:t>
      </w:r>
      <w:r>
        <w:rPr>
          <w:rStyle w:val="16"/>
          <w:rFonts w:hint="eastAsia" w:ascii="仿宋_GB2312" w:hAnsi="仿宋_GB2312" w:eastAsia="仿宋_GB2312" w:cs="仿宋_GB2312"/>
          <w:b/>
          <w:bCs/>
          <w:color w:val="auto"/>
          <w:spacing w:val="-4"/>
          <w:sz w:val="32"/>
          <w:szCs w:val="32"/>
        </w:rPr>
        <w:t>前期准备</w:t>
      </w:r>
      <w:r>
        <w:rPr>
          <w:rStyle w:val="16"/>
          <w:rFonts w:hint="eastAsia" w:ascii="仿宋_GB2312" w:hAnsi="仿宋_GB2312" w:cs="仿宋_GB2312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eastAsia="仿宋_GB2312"/>
          <w:bCs/>
          <w:sz w:val="32"/>
          <w:szCs w:val="32"/>
        </w:rPr>
        <w:t>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24A5CD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2、组织实施</w:t>
      </w: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eastAsia="仿宋_GB2312"/>
          <w:bCs/>
          <w:sz w:val="32"/>
          <w:szCs w:val="32"/>
        </w:rPr>
        <w:t>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1080DA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3、分析评价：</w:t>
      </w:r>
      <w:r>
        <w:rPr>
          <w:rFonts w:hint="eastAsia" w:eastAsia="仿宋_GB2312"/>
          <w:bCs/>
          <w:sz w:val="32"/>
          <w:szCs w:val="32"/>
        </w:rPr>
        <w:t>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150540A0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11" w:name="_Toc4162"/>
      <w:r>
        <w:rPr>
          <w:rFonts w:hint="eastAsia" w:ascii="黑体" w:hAnsi="黑体" w:eastAsia="黑体" w:cs="黑体"/>
          <w:sz w:val="32"/>
          <w:szCs w:val="32"/>
        </w:rPr>
        <w:t>综合评价情况及评价结论</w:t>
      </w:r>
      <w:bookmarkEnd w:id="11"/>
      <w:r>
        <w:rPr>
          <w:rFonts w:eastAsia="黑体"/>
          <w:sz w:val="32"/>
          <w:szCs w:val="32"/>
        </w:rPr>
        <w:t>（附相关评分表）</w:t>
      </w:r>
    </w:p>
    <w:p w14:paraId="2D85797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bookmarkStart w:id="12" w:name="_Toc7352"/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（一）评价情况</w:t>
      </w:r>
      <w:bookmarkEnd w:id="12"/>
    </w:p>
    <w:p w14:paraId="545389CE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</w:p>
    <w:p w14:paraId="360572D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楷体_GB2312" w:cs="Times New Roman"/>
          <w:lang w:val="en-US" w:eastAsia="zh-CN"/>
        </w:rPr>
      </w:pPr>
      <w:r>
        <w:rPr>
          <w:rFonts w:hint="eastAsia" w:ascii="Times New Roman" w:hAnsi="Times New Roman" w:eastAsia="楷体_GB2312" w:cs="Times New Roman"/>
          <w:lang w:eastAsia="zh-CN"/>
        </w:rPr>
        <w:t>（</w:t>
      </w:r>
      <w:r>
        <w:rPr>
          <w:rFonts w:hint="eastAsia" w:ascii="Times New Roman" w:hAnsi="Times New Roman" w:eastAsia="楷体_GB2312" w:cs="Times New Roman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lang w:eastAsia="zh-CN"/>
        </w:rPr>
        <w:t>）</w:t>
      </w:r>
      <w:r>
        <w:rPr>
          <w:rFonts w:hint="eastAsia" w:ascii="Times New Roman" w:hAnsi="Times New Roman" w:eastAsia="楷体_GB2312" w:cs="Times New Roman"/>
          <w:lang w:val="en-US" w:eastAsia="zh-CN"/>
        </w:rPr>
        <w:t>评价结论</w:t>
      </w:r>
    </w:p>
    <w:p w14:paraId="2B053C18">
      <w:pPr>
        <w:pStyle w:val="2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/>
          <w:b w:val="0"/>
          <w:bCs w:val="0"/>
          <w:lang w:eastAsia="zh-CN"/>
        </w:rPr>
      </w:pPr>
      <w:r>
        <w:rPr>
          <w:rFonts w:hint="eastAsia" w:ascii="Times New Roman" w:hAnsi="Times New Roman" w:eastAsia="仿宋_GB2312"/>
          <w:b w:val="0"/>
          <w:bCs w:val="0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%。项目过程类指标权重为20分，得分为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%。项目产出类指标权重为40分，得分为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40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%。项目效益类指标权重为20分，得分为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%。具体打分情况详见：附件1综合评分表</w:t>
      </w:r>
      <w:r>
        <w:rPr>
          <w:rFonts w:hint="eastAsia" w:ascii="Times New Roman" w:hAnsi="Times New Roman" w:eastAsia="仿宋_GB2312"/>
          <w:b w:val="0"/>
          <w:bCs w:val="0"/>
          <w:lang w:eastAsia="zh-CN"/>
        </w:rPr>
        <w:t>。</w:t>
      </w:r>
    </w:p>
    <w:p w14:paraId="4669004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表1综合评分表</w:t>
      </w:r>
    </w:p>
    <w:tbl>
      <w:tblPr>
        <w:tblStyle w:val="14"/>
        <w:tblW w:w="7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2168"/>
        <w:gridCol w:w="2278"/>
      </w:tblGrid>
      <w:tr w14:paraId="16E17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33B4A53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一级指标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31529A20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权重分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74AC548E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得分</w:t>
            </w:r>
          </w:p>
        </w:tc>
      </w:tr>
      <w:tr w14:paraId="74648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57F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项目决策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E5D01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1D6D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58828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8DB01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项目过程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1E17F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5D57C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53133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06F8D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项目产出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B1DE2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24E44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</w:tr>
      <w:tr w14:paraId="65C7B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345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项目效益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13BFA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475C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53F915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E3467">
            <w:pPr>
              <w:jc w:val="center"/>
              <w:rPr>
                <w:rFonts w:cs="宋体"/>
                <w:b/>
                <w:bCs/>
                <w:color w:val="000000"/>
                <w:sz w:val="22"/>
              </w:rPr>
            </w:pPr>
            <w:r>
              <w:rPr>
                <w:rFonts w:hint="eastAsia" w:cs="宋体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33316">
            <w:pPr>
              <w:jc w:val="center"/>
              <w:rPr>
                <w:rFonts w:hint="default" w:eastAsia="宋体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64B22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100</w:t>
            </w:r>
          </w:p>
        </w:tc>
      </w:tr>
    </w:tbl>
    <w:p w14:paraId="0FBBD3C8">
      <w:pPr>
        <w:spacing w:line="540" w:lineRule="exact"/>
        <w:ind w:firstLine="640"/>
        <w:outlineLvl w:val="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bookmarkStart w:id="13" w:name="_Toc25855"/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bookmarkEnd w:id="13"/>
    </w:p>
    <w:p w14:paraId="04633C73">
      <w:pPr>
        <w:spacing w:line="540" w:lineRule="exact"/>
        <w:ind w:firstLine="567" w:firstLineChars="181"/>
        <w:outlineLvl w:val="1"/>
        <w:rPr>
          <w:rStyle w:val="16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</w:pPr>
      <w:bookmarkStart w:id="14" w:name="_Toc18773"/>
      <w:r>
        <w:rPr>
          <w:rStyle w:val="16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  <w:t>（一）项目决策情况。</w:t>
      </w:r>
      <w:bookmarkEnd w:id="14"/>
    </w:p>
    <w:p w14:paraId="2B71A919">
      <w:pPr>
        <w:shd w:val="clear"/>
        <w:spacing w:line="600" w:lineRule="exact"/>
        <w:ind w:firstLine="600" w:firstLineChars="200"/>
        <w:outlineLvl w:val="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项目决策类指标包括项目立项、绩效目标和资金投入三方面的内容，由6个三级指标构成，权重分值为20分，实际得分20分，得分率为100%。</w:t>
      </w:r>
    </w:p>
    <w:p w14:paraId="5221537D">
      <w:pPr>
        <w:pStyle w:val="21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1.项目立项</w:t>
      </w:r>
    </w:p>
    <w:p w14:paraId="6DB850D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（1）立项依据充分性</w:t>
      </w:r>
    </w:p>
    <w:p w14:paraId="1B09B42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4ECF412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（2）立项程序规范性</w:t>
      </w:r>
    </w:p>
    <w:p w14:paraId="1F5B50A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项目申请、设立过程符合相关要求，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严格按照审批流程准备符合要求的文件、材料；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5AE426F9">
      <w:pPr>
        <w:pStyle w:val="21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15" w:name="_Toc25319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2.绩效目标</w:t>
      </w:r>
    </w:p>
    <w:p w14:paraId="1AF7EFDB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（1）绩效目标合理性</w:t>
      </w:r>
    </w:p>
    <w:p w14:paraId="71F0983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年初结合实际工作内容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设定绩效目标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，绩效目标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84B84D2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（2）绩效指标明确性</w:t>
      </w:r>
    </w:p>
    <w:p w14:paraId="61CC225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0E77B759">
      <w:pPr>
        <w:pStyle w:val="21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3.资金投入</w:t>
      </w:r>
    </w:p>
    <w:p w14:paraId="7DD826F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（1）预算编制科学性</w:t>
      </w:r>
    </w:p>
    <w:p w14:paraId="3F8FBEB0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预算编制经过科学论证，提供充分的测算依据佐证资料，预算内容与项目内容相匹配。项目投资额与工作任务相匹配。</w:t>
      </w:r>
    </w:p>
    <w:p w14:paraId="2AA2C3D3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（2）资金分配合理性</w:t>
      </w:r>
    </w:p>
    <w:p w14:paraId="697E442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资金分配额度与项目单位实际工作内容相适应，资金分配额度合理，资金分配依据充分。</w:t>
      </w:r>
    </w:p>
    <w:p w14:paraId="1E4AEFB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" w:leftChars="0" w:firstLine="640" w:firstLineChars="0"/>
        <w:jc w:val="left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r>
        <w:rPr>
          <w:rFonts w:hint="eastAsia" w:ascii="楷体_GB2312" w:hAnsi="楷体_GB2312" w:eastAsia="楷体_GB2312" w:cs="楷体_GB2312"/>
          <w:b/>
          <w:bCs/>
        </w:rPr>
        <w:t>项目过程情况。</w:t>
      </w:r>
      <w:bookmarkEnd w:id="15"/>
    </w:p>
    <w:p w14:paraId="11B05B8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三级指标构成，权重分值为20分，实际得分20分，得分率为100%。</w:t>
      </w:r>
    </w:p>
    <w:p w14:paraId="423A2294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4B4DF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.资金管理</w:t>
      </w:r>
    </w:p>
    <w:p w14:paraId="6C559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资金到位率</w:t>
      </w:r>
    </w:p>
    <w:p w14:paraId="74073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本项目总投资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499.38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财政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资金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及时足额到位，到位率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100%，预算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资金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按计划进度执行。</w:t>
      </w:r>
    </w:p>
    <w:p w14:paraId="0ACD7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预算执行率</w:t>
      </w:r>
    </w:p>
    <w:p w14:paraId="23AF9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预算编制较为详细，项目资金支出总体能够按照预算执行，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预算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资金支出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499.38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万元，预算执行率为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。</w:t>
      </w:r>
    </w:p>
    <w:p w14:paraId="17CCA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资金使用合规性</w:t>
      </w:r>
    </w:p>
    <w:p w14:paraId="2A293861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</w:p>
    <w:p w14:paraId="5379748D">
      <w:pPr>
        <w:numPr>
          <w:ilvl w:val="0"/>
          <w:numId w:val="0"/>
        </w:numPr>
        <w:spacing w:line="560" w:lineRule="exact"/>
        <w:outlineLvl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2.组织实施</w:t>
      </w:r>
    </w:p>
    <w:p w14:paraId="30FE2BBF">
      <w:pPr>
        <w:numPr>
          <w:ilvl w:val="0"/>
          <w:numId w:val="0"/>
        </w:num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管理制度健全性</w:t>
      </w:r>
    </w:p>
    <w:p w14:paraId="098188F5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48272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sz w:val="32"/>
          <w:szCs w:val="32"/>
        </w:rPr>
        <w:t>制度执行有效性</w:t>
      </w:r>
    </w:p>
    <w:p w14:paraId="71CA38D7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6" w:name="_Toc1878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 w14:paraId="1E6B6CF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" w:leftChars="0" w:firstLine="640" w:firstLineChars="0"/>
        <w:contextualSpacing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highlight w:val="none"/>
        </w:rPr>
        <w:t>项目产出情况。</w:t>
      </w:r>
      <w:bookmarkEnd w:id="16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 w14:paraId="3EB6DA5B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1个二级指标、3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级指标构成，权重分为40分，实际得分40分，得分率为100%。具体产出指标完成情况如下：</w:t>
      </w:r>
    </w:p>
    <w:p w14:paraId="14DE9251">
      <w:pPr>
        <w:shd w:val="clear"/>
        <w:spacing w:line="600" w:lineRule="exact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数量指标：</w:t>
      </w:r>
    </w:p>
    <w:p w14:paraId="3EE1BF51">
      <w:pPr>
        <w:spacing w:line="540" w:lineRule="exact"/>
        <w:ind w:firstLine="320" w:firstLineChars="100"/>
        <w:rPr>
          <w:rStyle w:val="16"/>
          <w:rFonts w:hint="eastAsia" w:ascii="仿宋_GB2312" w:hAnsi="黑体"/>
          <w:b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1：付款单位数量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大于等于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1户，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2户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偏差原因：无偏差；</w:t>
      </w:r>
    </w:p>
    <w:p w14:paraId="0B915356">
      <w:pPr>
        <w:spacing w:line="540" w:lineRule="exact"/>
        <w:ind w:firstLine="312" w:firstLineChars="100"/>
        <w:rPr>
          <w:rStyle w:val="16"/>
          <w:rFonts w:hint="default" w:ascii="仿宋_GB2312" w:hAnsi="黑体" w:eastAsia="仿宋_GB2312"/>
          <w:b w:val="0"/>
          <w:spacing w:val="-4"/>
          <w:sz w:val="32"/>
          <w:szCs w:val="32"/>
          <w:lang w:val="en-US"/>
        </w:rPr>
      </w:pP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2：资金支付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eastAsia="zh-CN"/>
        </w:rPr>
        <w:t>数量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大于等于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2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次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次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偏差原因：无偏差。</w:t>
      </w:r>
    </w:p>
    <w:p w14:paraId="3B763550">
      <w:pPr>
        <w:shd w:val="clear"/>
        <w:spacing w:line="600" w:lineRule="exact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质量指标：</w:t>
      </w:r>
    </w:p>
    <w:p w14:paraId="731C2982">
      <w:pPr>
        <w:widowControl w:val="0"/>
        <w:snapToGrid w:val="0"/>
        <w:spacing w:line="600" w:lineRule="exact"/>
        <w:rPr>
          <w:rStyle w:val="16"/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1：系统故障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率</w:t>
      </w:r>
      <w:r>
        <w:rPr>
          <w:rFonts w:hint="eastAsia" w:ascii="仿宋_GB2312" w:hAnsi="仿宋_GB2312" w:eastAsia="仿宋_GB2312" w:cs="仿宋_GB2312"/>
          <w:sz w:val="32"/>
          <w:szCs w:val="40"/>
        </w:rPr>
        <w:t>，指标值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于等于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。</w:t>
      </w:r>
    </w:p>
    <w:p w14:paraId="7295EE1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3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时效指标：</w:t>
      </w:r>
    </w:p>
    <w:p w14:paraId="265F21F7">
      <w:pPr>
        <w:widowControl w:val="0"/>
        <w:snapToGrid w:val="0"/>
        <w:spacing w:line="600" w:lineRule="exact"/>
        <w:ind w:firstLine="608"/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1：资金支付及时率，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：大于等于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完成率100%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eastAsia="zh-CN"/>
        </w:rPr>
        <w:t>，偏差原因：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无偏</w:t>
      </w:r>
      <w:r>
        <w:rPr>
          <w:rFonts w:hint="eastAsia" w:ascii="仿宋_GB2312" w:hAnsi="仿宋_GB2312" w:eastAsia="仿宋_GB2312" w:cs="仿宋_GB2312"/>
          <w:sz w:val="32"/>
          <w:szCs w:val="40"/>
        </w:rPr>
        <w:t>差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。</w:t>
      </w:r>
    </w:p>
    <w:p w14:paraId="24829384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4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成本指标：</w:t>
      </w:r>
    </w:p>
    <w:p w14:paraId="58091D36">
      <w:pPr>
        <w:widowControl w:val="0"/>
        <w:snapToGrid w:val="0"/>
        <w:spacing w:line="600" w:lineRule="exact"/>
        <w:ind w:firstLine="608"/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</w:pPr>
      <w:r>
        <w:rPr>
          <w:rStyle w:val="16"/>
          <w:rFonts w:hint="eastAsia" w:ascii="仿宋_GB2312" w:hAnsi="黑体" w:eastAsia="仿宋_GB2312" w:cs="Times New Roman"/>
          <w:b w:val="0"/>
          <w:spacing w:val="-4"/>
          <w:kern w:val="2"/>
          <w:sz w:val="32"/>
          <w:szCs w:val="32"/>
          <w:lang w:val="en-US" w:eastAsia="zh-CN" w:bidi="ar-SA"/>
        </w:rPr>
        <w:t>指标1：预算控制率，指标值</w:t>
      </w:r>
      <w:r>
        <w:rPr>
          <w:rStyle w:val="16"/>
          <w:rFonts w:hint="eastAsia" w:ascii="仿宋_GB2312" w:hAnsi="黑体" w:cs="Times New Roman"/>
          <w:b w:val="0"/>
          <w:spacing w:val="-4"/>
          <w:kern w:val="2"/>
          <w:sz w:val="32"/>
          <w:szCs w:val="32"/>
          <w:lang w:val="en-US" w:eastAsia="zh-CN" w:bidi="ar-SA"/>
        </w:rPr>
        <w:t>：</w:t>
      </w:r>
      <w:r>
        <w:rPr>
          <w:rStyle w:val="16"/>
          <w:rFonts w:hint="eastAsia" w:ascii="仿宋_GB2312" w:hAnsi="黑体" w:eastAsia="仿宋_GB2312" w:cs="Times New Roman"/>
          <w:b w:val="0"/>
          <w:spacing w:val="-4"/>
          <w:kern w:val="2"/>
          <w:sz w:val="32"/>
          <w:szCs w:val="32"/>
          <w:lang w:val="en-US" w:eastAsia="zh-CN" w:bidi="ar-SA"/>
        </w:rPr>
        <w:t>小于等于100%，实际完成</w:t>
      </w:r>
      <w:r>
        <w:rPr>
          <w:rStyle w:val="16"/>
          <w:rFonts w:hint="eastAsia" w:ascii="仿宋_GB2312" w:hAnsi="黑体" w:cs="Times New Roman"/>
          <w:b w:val="0"/>
          <w:spacing w:val="-4"/>
          <w:kern w:val="2"/>
          <w:sz w:val="32"/>
          <w:szCs w:val="32"/>
          <w:lang w:val="en-US" w:eastAsia="zh-CN" w:bidi="ar-SA"/>
        </w:rPr>
        <w:t>值：</w:t>
      </w:r>
      <w:r>
        <w:rPr>
          <w:rStyle w:val="16"/>
          <w:rFonts w:hint="eastAsia" w:ascii="仿宋_GB2312" w:hAnsi="黑体" w:eastAsia="仿宋_GB2312" w:cs="Times New Roman"/>
          <w:b w:val="0"/>
          <w:spacing w:val="-4"/>
          <w:kern w:val="2"/>
          <w:sz w:val="32"/>
          <w:szCs w:val="32"/>
          <w:lang w:val="en-US" w:eastAsia="zh-CN" w:bidi="ar-SA"/>
        </w:rPr>
        <w:t>100%，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完成率100%</w:t>
      </w:r>
      <w:r>
        <w:rPr>
          <w:rStyle w:val="16"/>
          <w:rFonts w:hint="eastAsia" w:ascii="仿宋_GB2312" w:hAnsi="黑体"/>
          <w:b w:val="0"/>
          <w:spacing w:val="-4"/>
          <w:sz w:val="32"/>
          <w:szCs w:val="32"/>
          <w:lang w:eastAsia="zh-CN"/>
        </w:rPr>
        <w:t>，偏差原因：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无偏</w:t>
      </w:r>
      <w:r>
        <w:rPr>
          <w:rFonts w:hint="eastAsia" w:ascii="仿宋_GB2312" w:hAnsi="仿宋_GB2312" w:eastAsia="仿宋_GB2312" w:cs="仿宋_GB2312"/>
          <w:sz w:val="32"/>
          <w:szCs w:val="40"/>
        </w:rPr>
        <w:t>差</w:t>
      </w:r>
      <w:r>
        <w:rPr>
          <w:rStyle w:val="16"/>
          <w:rFonts w:hint="eastAsia" w:ascii="仿宋_GB2312" w:hAnsi="黑体" w:eastAsia="仿宋_GB2312"/>
          <w:b w:val="0"/>
          <w:spacing w:val="-4"/>
          <w:sz w:val="32"/>
          <w:szCs w:val="32"/>
        </w:rPr>
        <w:t>。</w:t>
      </w:r>
    </w:p>
    <w:p w14:paraId="5F72C0F5">
      <w:pPr>
        <w:numPr>
          <w:ilvl w:val="0"/>
          <w:numId w:val="5"/>
        </w:numPr>
        <w:bidi w:val="0"/>
        <w:ind w:left="-40" w:leftChars="0" w:firstLine="640" w:firstLineChars="0"/>
        <w:jc w:val="left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7" w:name="_Toc10127"/>
      <w:r>
        <w:rPr>
          <w:rFonts w:hint="eastAsia" w:ascii="楷体_GB2312" w:hAnsi="楷体_GB2312" w:eastAsia="楷体_GB2312" w:cs="楷体_GB2312"/>
          <w:b/>
          <w:bCs/>
        </w:rPr>
        <w:t>项目效益情况</w:t>
      </w:r>
      <w:bookmarkEnd w:id="17"/>
    </w:p>
    <w:p w14:paraId="2F699A60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项目效益类指标包括项目实施效益和满意度两方面的内容，由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级指标构成，权重分为20分，实际得分20分，得分率为100%。具体效益指标及满意度指标完成情况如下：</w:t>
      </w:r>
    </w:p>
    <w:p w14:paraId="0B5DE0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ascii="仿宋_GB2312" w:hAnsi="仿宋" w:eastAsia="仿宋_GB2312"/>
          <w:b w:val="0"/>
          <w:bCs/>
          <w:color w:val="000000"/>
          <w:spacing w:val="-4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"/>
          <w:b w:val="0"/>
          <w:bCs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_GB2312" w:hAnsi="仿宋"/>
          <w:b w:val="0"/>
          <w:bCs/>
          <w:color w:val="000000"/>
          <w:spacing w:val="-4"/>
          <w:sz w:val="32"/>
          <w:szCs w:val="32"/>
          <w:shd w:val="clear" w:color="auto" w:fill="FFFFFF"/>
          <w:lang w:eastAsia="zh-CN"/>
        </w:rPr>
        <w:t>实施效益</w:t>
      </w:r>
    </w:p>
    <w:p w14:paraId="244E4BF3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经济效益指标：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</w:rPr>
        <w:t>指标1</w:t>
      </w:r>
      <w:r>
        <w:rPr>
          <w:rFonts w:hint="eastAsia" w:ascii="仿宋_GB2312" w:hAnsi="仿宋_GB2312" w:cs="仿宋_GB2312"/>
          <w:b w:val="0"/>
          <w:bCs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b w:val="0"/>
          <w:bCs/>
          <w:sz w:val="32"/>
          <w:szCs w:val="40"/>
          <w:lang w:val="en-US" w:eastAsia="zh-CN"/>
        </w:rPr>
        <w:t>维护政府信誉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  <w:lang w:eastAsia="zh-CN"/>
        </w:rPr>
        <w:t>指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有效保障,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有效保障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实际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指标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完成率100%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，偏差原因：</w:t>
      </w:r>
      <w:r>
        <w:rPr>
          <w:rFonts w:hint="eastAsia" w:ascii="仿宋_GB2312" w:hAnsi="仿宋_GB2312" w:eastAsia="仿宋_GB2312" w:cs="仿宋_GB2312"/>
          <w:sz w:val="32"/>
          <w:szCs w:val="40"/>
        </w:rPr>
        <w:t>无偏差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。</w:t>
      </w:r>
    </w:p>
    <w:p w14:paraId="58EE4DEE">
      <w:pPr>
        <w:spacing w:line="540" w:lineRule="exact"/>
        <w:ind w:firstLine="608"/>
        <w:rPr>
          <w:rFonts w:hint="eastAsia" w:ascii="仿宋_GB2312" w:hAnsi="仿宋"/>
          <w:b w:val="0"/>
          <w:bCs w:val="0"/>
          <w:color w:val="000000"/>
          <w:spacing w:val="-4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/>
          <w:b w:val="0"/>
          <w:bCs w:val="0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2.满意度</w:t>
      </w:r>
    </w:p>
    <w:p w14:paraId="7E684FD2">
      <w:pPr>
        <w:spacing w:line="540" w:lineRule="exact"/>
        <w:ind w:firstLine="608"/>
        <w:rPr>
          <w:rFonts w:ascii="Times New Roman" w:hAnsi="Times New Roman" w:eastAsia="仿宋_GB2312" w:cs="Times New Roman"/>
          <w:kern w:val="2"/>
          <w:sz w:val="30"/>
          <w:szCs w:val="24"/>
          <w:lang w:val="en-US" w:eastAsia="zh-CN" w:bidi="ar-SA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满意度指标：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指标1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对象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满意度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，指标值</w:t>
      </w:r>
      <w:r>
        <w:rPr>
          <w:rFonts w:hint="eastAsia" w:ascii="仿宋_GB2312" w:hAnsi="宋体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lang w:eastAsia="zh-CN"/>
        </w:rPr>
        <w:t>大于等于</w:t>
      </w: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完成值：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40"/>
        </w:rPr>
        <w:t>完成率100%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偏差原因：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无偏差</w:t>
      </w:r>
      <w:r>
        <w:rPr>
          <w:rFonts w:hint="eastAsia" w:ascii="仿宋_GB2312" w:hAnsi="黑体" w:eastAsia="仿宋_GB2312" w:cs="黑体"/>
          <w:bCs/>
          <w:sz w:val="32"/>
          <w:szCs w:val="32"/>
        </w:rPr>
        <w:t>。</w:t>
      </w:r>
    </w:p>
    <w:p w14:paraId="6F2C8532">
      <w:pPr>
        <w:spacing w:line="560" w:lineRule="exact"/>
        <w:ind w:firstLine="627" w:firstLineChars="200"/>
        <w:rPr>
          <w:rFonts w:hint="eastAsia" w:ascii="Times New Roman" w:hAnsi="Times New Roman" w:eastAsia="黑体" w:cs="Times New Roman"/>
          <w:sz w:val="32"/>
          <w:szCs w:val="32"/>
          <w:lang w:eastAsia="zh-Hans"/>
        </w:rPr>
      </w:pPr>
      <w:bookmarkStart w:id="18" w:name="_Toc5793"/>
      <w:r>
        <w:rPr>
          <w:rStyle w:val="16"/>
          <w:rFonts w:hint="eastAsia" w:ascii="黑体" w:hAnsi="黑体" w:eastAsia="黑体" w:cs="黑体"/>
          <w:spacing w:val="-4"/>
          <w:sz w:val="32"/>
          <w:szCs w:val="32"/>
        </w:rPr>
        <w:t>五、</w:t>
      </w:r>
      <w:r>
        <w:rPr>
          <w:rFonts w:hint="eastAsia" w:ascii="Times New Roman" w:hAnsi="Times New Roman" w:eastAsia="黑体" w:cs="Times New Roman"/>
          <w:sz w:val="32"/>
          <w:szCs w:val="32"/>
          <w:lang w:eastAsia="zh-Hans"/>
        </w:rPr>
        <w:t>预算执行进度与绩效指标总体完成率偏差</w:t>
      </w:r>
    </w:p>
    <w:p w14:paraId="2471C2F3">
      <w:pPr>
        <w:pStyle w:val="21"/>
        <w:spacing w:line="560" w:lineRule="exact"/>
        <w:ind w:firstLine="640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Style w:val="16"/>
          <w:rFonts w:hint="eastAsia" w:ascii="仿宋_GB2312" w:hAnsi="仿宋_GB2312" w:cs="仿宋_GB2312"/>
          <w:b w:val="0"/>
          <w:spacing w:val="-4"/>
          <w:sz w:val="32"/>
          <w:szCs w:val="32"/>
          <w:lang w:val="en-US" w:eastAsia="zh-CN"/>
        </w:rPr>
        <w:t>视频云存储租用项目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年初预算499.38万元，全年预算499.38万元，实际支出499.38万元，预算执行率为100%，项目绩效指标总体完成率为100%，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Hans" w:bidi="ar-SA"/>
        </w:rPr>
        <w:t>总体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偏差率为0%,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Hans" w:bidi="ar-SA"/>
        </w:rPr>
        <w:t>偏差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原因：无偏差，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Hans" w:bidi="ar-SA"/>
        </w:rPr>
        <w:t>改进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措施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无。</w:t>
      </w:r>
    </w:p>
    <w:p w14:paraId="425D65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0"/>
        <w:rPr>
          <w:rStyle w:val="16"/>
          <w:rFonts w:hint="eastAsia" w:ascii="黑体" w:hAnsi="黑体" w:eastAsia="黑体" w:cs="黑体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 w:cs="黑体"/>
          <w:spacing w:val="-4"/>
          <w:sz w:val="32"/>
          <w:szCs w:val="32"/>
          <w:lang w:eastAsia="zh-CN"/>
        </w:rPr>
        <w:t>六、</w:t>
      </w:r>
      <w:r>
        <w:rPr>
          <w:rStyle w:val="16"/>
          <w:rFonts w:hint="eastAsia" w:ascii="黑体" w:hAnsi="黑体" w:eastAsia="黑体" w:cs="黑体"/>
          <w:spacing w:val="-4"/>
          <w:sz w:val="32"/>
          <w:szCs w:val="32"/>
        </w:rPr>
        <w:t>主要经验及做法、存在的问题及原因分析</w:t>
      </w:r>
      <w:bookmarkEnd w:id="18"/>
    </w:p>
    <w:p w14:paraId="300D08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 w:firstLineChars="181"/>
        <w:textAlignment w:val="auto"/>
        <w:outlineLvl w:val="1"/>
        <w:rPr>
          <w:rStyle w:val="16"/>
          <w:rFonts w:hint="eastAsia" w:ascii="仿宋_GB2312" w:hAnsi="仿宋_GB2312" w:eastAsia="仿宋_GB2312" w:cs="仿宋_GB2312"/>
          <w:b/>
          <w:bCs w:val="0"/>
          <w:spacing w:val="-4"/>
          <w:sz w:val="32"/>
          <w:szCs w:val="32"/>
        </w:rPr>
      </w:pPr>
      <w:bookmarkStart w:id="19" w:name="_Toc12621"/>
      <w:r>
        <w:rPr>
          <w:rStyle w:val="16"/>
          <w:rFonts w:hint="eastAsia" w:ascii="仿宋_GB2312" w:hAnsi="仿宋_GB2312" w:eastAsia="仿宋_GB2312" w:cs="仿宋_GB2312"/>
          <w:b/>
          <w:bCs w:val="0"/>
          <w:spacing w:val="-4"/>
          <w:sz w:val="32"/>
          <w:szCs w:val="32"/>
        </w:rPr>
        <w:t>（一）主要经验及做法</w:t>
      </w:r>
      <w:bookmarkEnd w:id="19"/>
    </w:p>
    <w:p w14:paraId="1522C4DF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bookmarkStart w:id="20" w:name="_Toc23439"/>
      <w:r>
        <w:rPr>
          <w:rFonts w:eastAsia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490E9426">
      <w:pPr>
        <w:pStyle w:val="2"/>
        <w:spacing w:before="0" w:after="0" w:line="560" w:lineRule="exact"/>
        <w:ind w:firstLine="640" w:firstLineChars="200"/>
        <w:jc w:val="left"/>
        <w:rPr>
          <w:rFonts w:ascii="Times New Roman" w:hAnsi="Times New Roman" w:eastAsia="仿宋_GB2312"/>
          <w:b w:val="0"/>
          <w:bCs w:val="0"/>
          <w:kern w:val="2"/>
        </w:rPr>
      </w:pPr>
      <w:r>
        <w:rPr>
          <w:rFonts w:ascii="Times New Roman" w:hAnsi="Times New Roman" w:eastAsia="仿宋_GB2312"/>
          <w:b w:val="0"/>
          <w:bCs w:val="0"/>
          <w:kern w:val="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6B85B4BE">
      <w:pPr>
        <w:spacing w:line="540" w:lineRule="exact"/>
        <w:ind w:firstLine="567" w:firstLineChars="181"/>
        <w:outlineLvl w:val="1"/>
        <w:rPr>
          <w:rStyle w:val="16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</w:pPr>
      <w:r>
        <w:rPr>
          <w:rStyle w:val="16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（二）存在的问题及原因分析</w:t>
      </w:r>
      <w:bookmarkEnd w:id="20"/>
    </w:p>
    <w:p w14:paraId="2136AA90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5CA845D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2.因轮岗、调动、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逐村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等因素使我单位绩效工作人员流动频繁，造成了工作衔接不到位的情况。</w:t>
      </w:r>
    </w:p>
    <w:p w14:paraId="59D9F36D">
      <w:pPr>
        <w:spacing w:line="540" w:lineRule="exact"/>
        <w:ind w:firstLine="640"/>
        <w:outlineLvl w:val="0"/>
        <w:rPr>
          <w:rStyle w:val="16"/>
          <w:rFonts w:ascii="黑体" w:hAnsi="黑体" w:eastAsia="黑体"/>
          <w:spacing w:val="-4"/>
          <w:sz w:val="32"/>
          <w:szCs w:val="32"/>
        </w:rPr>
      </w:pPr>
      <w:bookmarkStart w:id="21" w:name="_Toc6185"/>
      <w:r>
        <w:rPr>
          <w:rStyle w:val="16"/>
          <w:rFonts w:hint="eastAsia" w:ascii="黑体" w:hAnsi="黑体" w:eastAsia="黑体"/>
          <w:spacing w:val="-4"/>
          <w:sz w:val="32"/>
          <w:szCs w:val="32"/>
          <w:lang w:eastAsia="zh-CN"/>
        </w:rPr>
        <w:t>七</w:t>
      </w:r>
      <w:r>
        <w:rPr>
          <w:rStyle w:val="16"/>
          <w:rFonts w:hint="eastAsia" w:ascii="黑体" w:hAnsi="黑体" w:eastAsia="黑体"/>
          <w:spacing w:val="-4"/>
          <w:sz w:val="32"/>
          <w:szCs w:val="32"/>
        </w:rPr>
        <w:t>、有关建议</w:t>
      </w:r>
      <w:bookmarkEnd w:id="21"/>
    </w:p>
    <w:p w14:paraId="412C0F4F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22" w:name="_Toc29096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5C4701F9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7C415EC8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68911EEE">
      <w:pPr>
        <w:shd w:val="clear"/>
        <w:spacing w:line="600" w:lineRule="exact"/>
        <w:ind w:firstLine="640" w:firstLineChars="200"/>
        <w:outlineLvl w:val="0"/>
        <w:rPr>
          <w:sz w:val="2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eastAsia" w:ascii="仿宋_GB2312" w:hAnsi="仿宋_GB2312" w:eastAsia="仿宋_GB2312" w:cs="仿宋_GB2312"/>
          <w:sz w:val="36"/>
          <w:szCs w:val="32"/>
        </w:rPr>
        <w:t>。</w:t>
      </w:r>
    </w:p>
    <w:p w14:paraId="5EB44DE2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37AD6B21">
      <w:pPr>
        <w:spacing w:line="540" w:lineRule="exact"/>
        <w:ind w:firstLine="640"/>
        <w:outlineLvl w:val="0"/>
        <w:rPr>
          <w:rStyle w:val="16"/>
          <w:rFonts w:ascii="黑体" w:hAnsi="黑体" w:eastAsia="黑体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/>
          <w:spacing w:val="-4"/>
          <w:sz w:val="32"/>
          <w:szCs w:val="32"/>
          <w:lang w:eastAsia="zh-CN"/>
        </w:rPr>
        <w:t>八</w:t>
      </w:r>
      <w:r>
        <w:rPr>
          <w:rStyle w:val="16"/>
          <w:rFonts w:hint="eastAsia" w:ascii="黑体" w:hAnsi="黑体" w:eastAsia="黑体"/>
          <w:spacing w:val="-4"/>
          <w:sz w:val="32"/>
          <w:szCs w:val="32"/>
        </w:rPr>
        <w:t>、其他需要说明的问题</w:t>
      </w:r>
      <w:bookmarkEnd w:id="22"/>
    </w:p>
    <w:p w14:paraId="7790E925">
      <w:pPr>
        <w:pStyle w:val="13"/>
        <w:spacing w:after="0" w:line="560" w:lineRule="exact"/>
        <w:ind w:left="0" w:leftChars="0"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本项目无其他需说明的问题。</w:t>
      </w:r>
    </w:p>
    <w:p w14:paraId="49D6C740">
      <w:pPr>
        <w:pStyle w:val="11"/>
        <w:rPr>
          <w:rFonts w:hint="eastAsia"/>
        </w:rPr>
      </w:pPr>
      <w:bookmarkStart w:id="23" w:name="_GoBack"/>
      <w:bookmarkEnd w:id="23"/>
    </w:p>
    <w:sectPr>
      <w:footerReference r:id="rId3" w:type="default"/>
      <w:pgSz w:w="11906" w:h="16838"/>
      <w:pgMar w:top="1928" w:right="1531" w:bottom="1701" w:left="1531" w:header="737" w:footer="851" w:gutter="0"/>
      <w:pgNumType w:fmt="numberInDash" w:start="1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BE20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AFD398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AFD398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FCBF16"/>
    <w:multiLevelType w:val="singleLevel"/>
    <w:tmpl w:val="CFFCBF1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6F58D8D"/>
    <w:multiLevelType w:val="singleLevel"/>
    <w:tmpl w:val="F6F58D8D"/>
    <w:lvl w:ilvl="0" w:tentative="0">
      <w:start w:val="1"/>
      <w:numFmt w:val="decimal"/>
      <w:suff w:val="nothing"/>
      <w:lvlText w:val="（%1）"/>
      <w:lvlJc w:val="left"/>
      <w:pPr>
        <w:ind w:left="640" w:leftChars="0" w:firstLine="0" w:firstLineChars="0"/>
      </w:pPr>
    </w:lvl>
  </w:abstractNum>
  <w:abstractNum w:abstractNumId="2">
    <w:nsid w:val="FFF97E8D"/>
    <w:multiLevelType w:val="singleLevel"/>
    <w:tmpl w:val="FFF97E8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05E8741"/>
    <w:multiLevelType w:val="singleLevel"/>
    <w:tmpl w:val="105E874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79F9DAC"/>
    <w:multiLevelType w:val="singleLevel"/>
    <w:tmpl w:val="779F9DAC"/>
    <w:lvl w:ilvl="0" w:tentative="0">
      <w:start w:val="2"/>
      <w:numFmt w:val="chineseCounting"/>
      <w:suff w:val="nothing"/>
      <w:lvlText w:val="（%1）"/>
      <w:lvlJc w:val="left"/>
      <w:pPr>
        <w:ind w:left="-4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ZTk4ZThiOTlhYTkyOGVkOWQ5NDlhNjIwNjNhNzEifQ=="/>
  </w:docVars>
  <w:rsids>
    <w:rsidRoot w:val="00000000"/>
    <w:rsid w:val="01E22D5D"/>
    <w:rsid w:val="028134C2"/>
    <w:rsid w:val="06FD4082"/>
    <w:rsid w:val="0AA33ABE"/>
    <w:rsid w:val="0C14679B"/>
    <w:rsid w:val="0F283D96"/>
    <w:rsid w:val="1A7F7BD8"/>
    <w:rsid w:val="1A9DA8A1"/>
    <w:rsid w:val="1B566E21"/>
    <w:rsid w:val="1C4F71A2"/>
    <w:rsid w:val="1F0B55D3"/>
    <w:rsid w:val="1FC44753"/>
    <w:rsid w:val="22635F74"/>
    <w:rsid w:val="29607605"/>
    <w:rsid w:val="2CCF84CC"/>
    <w:rsid w:val="2DFF93F5"/>
    <w:rsid w:val="2FEE83A3"/>
    <w:rsid w:val="326D7CE5"/>
    <w:rsid w:val="37FF39F0"/>
    <w:rsid w:val="39FF3C4C"/>
    <w:rsid w:val="3AA7D3DC"/>
    <w:rsid w:val="3BEF521B"/>
    <w:rsid w:val="3FFB34C7"/>
    <w:rsid w:val="45EC0627"/>
    <w:rsid w:val="4B3208A5"/>
    <w:rsid w:val="4B6F5933"/>
    <w:rsid w:val="4E6C5709"/>
    <w:rsid w:val="4F946C73"/>
    <w:rsid w:val="50652DF4"/>
    <w:rsid w:val="51FFF58A"/>
    <w:rsid w:val="532A00BD"/>
    <w:rsid w:val="543237A8"/>
    <w:rsid w:val="59B66807"/>
    <w:rsid w:val="5B2415E4"/>
    <w:rsid w:val="5D771882"/>
    <w:rsid w:val="5FFF3772"/>
    <w:rsid w:val="662E149A"/>
    <w:rsid w:val="67EE1C9E"/>
    <w:rsid w:val="68F82187"/>
    <w:rsid w:val="6E970EC1"/>
    <w:rsid w:val="6EBC643A"/>
    <w:rsid w:val="70F33611"/>
    <w:rsid w:val="73B73F2F"/>
    <w:rsid w:val="741B2B7E"/>
    <w:rsid w:val="76D10824"/>
    <w:rsid w:val="76DD5C95"/>
    <w:rsid w:val="77F9FBE1"/>
    <w:rsid w:val="79842212"/>
    <w:rsid w:val="7A170370"/>
    <w:rsid w:val="7D8F40D9"/>
    <w:rsid w:val="7DC7F2BB"/>
    <w:rsid w:val="7DF72D6E"/>
    <w:rsid w:val="7DFFA215"/>
    <w:rsid w:val="7F197E6E"/>
    <w:rsid w:val="7FAEE5D1"/>
    <w:rsid w:val="7FE3F68C"/>
    <w:rsid w:val="7FFFE2E5"/>
    <w:rsid w:val="9AFC467B"/>
    <w:rsid w:val="9FF72080"/>
    <w:rsid w:val="B4D69F74"/>
    <w:rsid w:val="B577F9E7"/>
    <w:rsid w:val="BDD4A581"/>
    <w:rsid w:val="C5DF243F"/>
    <w:rsid w:val="CAEFDA3F"/>
    <w:rsid w:val="DBDD8B2B"/>
    <w:rsid w:val="DEFFF647"/>
    <w:rsid w:val="DFAF5C6F"/>
    <w:rsid w:val="EEBBFEDF"/>
    <w:rsid w:val="F37DEFDC"/>
    <w:rsid w:val="F6FB399E"/>
    <w:rsid w:val="F7E5A1AE"/>
    <w:rsid w:val="F7EF833A"/>
    <w:rsid w:val="FB5E61BC"/>
    <w:rsid w:val="FED7AD21"/>
    <w:rsid w:val="FF3D75E4"/>
    <w:rsid w:val="FFDF9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1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2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3">
    <w:name w:val="Body Text First Indent 2"/>
    <w:basedOn w:val="6"/>
    <w:qFormat/>
    <w:uiPriority w:val="0"/>
    <w:pPr>
      <w:ind w:firstLine="420" w:firstLineChars="200"/>
    </w:p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Hyperlink"/>
    <w:basedOn w:val="1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8">
    <w:name w:val="TOC Heading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customStyle="1" w:styleId="1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0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1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6519</Words>
  <Characters>6780</Characters>
  <Lines>0</Lines>
  <Paragraphs>0</Paragraphs>
  <TotalTime>0</TotalTime>
  <ScaleCrop>false</ScaleCrop>
  <LinksUpToDate>false</LinksUpToDate>
  <CharactersWithSpaces>6825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2024-03-05T21:11:00Z</dcterms:created>
  <dc:creator>Administrator</dc:creator>
  <cp:lastModifiedBy>岁月无痕</cp:lastModifiedBy>
  <cp:lastPrinted>2024-03-06T03:32:00Z</cp:lastPrinted>
  <dcterms:modified xsi:type="dcterms:W3CDTF">2024-08-19T11:19:42Z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4CBA51F098A84EE1BF0E059B495C134A</vt:lpwstr>
  </property>
</Properties>
</file>