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质量安全监督检查费</w:t>
      </w:r>
    </w:p>
    <w:p>
      <w:pPr>
        <w:spacing w:line="540" w:lineRule="exact"/>
        <w:jc w:val="center"/>
        <w:rPr>
          <w:rFonts w:eastAsia="方正小标宋_GBK"/>
          <w:kern w:val="0"/>
          <w:sz w:val="48"/>
          <w:szCs w:val="48"/>
        </w:rPr>
      </w:pP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jc w:val="both"/>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质量安全监督检查费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新疆维吾尔自治区专业建设工程质量安全监督站</w:t>
      </w:r>
    </w:p>
    <w:p>
      <w:pPr>
        <w:spacing w:line="700" w:lineRule="exact"/>
        <w:ind w:firstLine="1440" w:firstLineChars="400"/>
        <w:jc w:val="left"/>
        <w:rPr>
          <w:rFonts w:hint="eastAsia"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新疆维吾尔自治区工业和信息化厅</w:t>
      </w: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翟岭</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b w:val="0"/>
          <w:color w:val="auto"/>
          <w:spacing w:val="-4"/>
          <w:sz w:val="32"/>
          <w:szCs w:val="32"/>
          <w:shd w:val="clear" w:color="auto" w:fill="FFFFFF"/>
          <w:lang w:eastAsia="zh-CN"/>
        </w:rPr>
      </w:pPr>
      <w:r>
        <w:rPr>
          <w:rStyle w:val="16"/>
          <w:rFonts w:hint="eastAsia" w:ascii="仿宋" w:hAnsi="仿宋" w:eastAsia="仿宋" w:cs="仿宋"/>
          <w:b w:val="0"/>
          <w:bCs w:val="0"/>
          <w:color w:val="auto"/>
          <w:spacing w:val="-4"/>
          <w:sz w:val="32"/>
          <w:szCs w:val="32"/>
          <w:lang w:val="en-US" w:eastAsia="zh-CN"/>
        </w:rPr>
        <w:t>自治区专业建设工程质量安全监督站是根据《</w:t>
      </w:r>
      <w:r>
        <w:rPr>
          <w:rStyle w:val="16"/>
          <w:rFonts w:hint="eastAsia" w:ascii="仿宋" w:hAnsi="仿宋" w:eastAsia="仿宋"/>
          <w:b w:val="0"/>
          <w:color w:val="auto"/>
          <w:spacing w:val="-4"/>
          <w:sz w:val="32"/>
          <w:szCs w:val="32"/>
          <w:shd w:val="clear" w:color="auto" w:fill="FFFFFF"/>
          <w:lang w:val="en-US" w:eastAsia="zh-CN"/>
        </w:rPr>
        <w:t>关于印发</w:t>
      </w:r>
      <w:r>
        <w:rPr>
          <w:rStyle w:val="16"/>
          <w:rFonts w:hint="eastAsia" w:ascii="仿宋" w:hAnsi="仿宋" w:eastAsia="仿宋" w:cs="仿宋"/>
          <w:b w:val="0"/>
          <w:color w:val="auto"/>
          <w:spacing w:val="-4"/>
          <w:sz w:val="32"/>
          <w:szCs w:val="32"/>
          <w:shd w:val="clear" w:color="auto" w:fill="FFFFFF"/>
          <w:lang w:val="en-US" w:eastAsia="zh-CN"/>
        </w:rPr>
        <w:t>&lt;</w:t>
      </w:r>
      <w:r>
        <w:rPr>
          <w:rStyle w:val="16"/>
          <w:rFonts w:hint="eastAsia" w:ascii="仿宋" w:hAnsi="仿宋" w:eastAsia="仿宋"/>
          <w:b w:val="0"/>
          <w:color w:val="auto"/>
          <w:spacing w:val="-4"/>
          <w:sz w:val="32"/>
          <w:szCs w:val="32"/>
          <w:shd w:val="clear" w:color="auto" w:fill="FFFFFF"/>
          <w:lang w:val="en-US" w:eastAsia="zh-CN"/>
        </w:rPr>
        <w:t>新疆维吾尔自治区经济和信息化委员会(新疆维吾尔自治区国防科学技术工业办公室)所属事业单位分类改革方案</w:t>
      </w:r>
      <w:r>
        <w:rPr>
          <w:rStyle w:val="16"/>
          <w:rFonts w:hint="eastAsia" w:ascii="仿宋" w:hAnsi="仿宋" w:eastAsia="仿宋" w:cs="仿宋"/>
          <w:b w:val="0"/>
          <w:color w:val="auto"/>
          <w:spacing w:val="-4"/>
          <w:sz w:val="32"/>
          <w:szCs w:val="32"/>
          <w:shd w:val="clear" w:color="auto" w:fill="FFFFFF"/>
          <w:lang w:val="en-US" w:eastAsia="zh-CN"/>
        </w:rPr>
        <w:t>&gt;</w:t>
      </w:r>
      <w:r>
        <w:rPr>
          <w:rStyle w:val="16"/>
          <w:rFonts w:hint="eastAsia" w:ascii="仿宋" w:hAnsi="仿宋" w:eastAsia="仿宋"/>
          <w:b w:val="0"/>
          <w:color w:val="auto"/>
          <w:spacing w:val="-4"/>
          <w:sz w:val="32"/>
          <w:szCs w:val="32"/>
          <w:shd w:val="clear" w:color="auto" w:fill="FFFFFF"/>
          <w:lang w:val="en-US" w:eastAsia="zh-CN"/>
        </w:rPr>
        <w:t>的通知</w:t>
      </w:r>
      <w:r>
        <w:rPr>
          <w:rStyle w:val="16"/>
          <w:rFonts w:hint="eastAsia" w:ascii="仿宋" w:hAnsi="仿宋" w:eastAsia="仿宋" w:cs="仿宋"/>
          <w:b w:val="0"/>
          <w:bCs w:val="0"/>
          <w:color w:val="auto"/>
          <w:spacing w:val="-4"/>
          <w:sz w:val="32"/>
          <w:szCs w:val="32"/>
          <w:lang w:val="en-US" w:eastAsia="zh-CN"/>
        </w:rPr>
        <w:t>》（新事改办[2014]11号）文件明确本单位</w:t>
      </w:r>
      <w:r>
        <w:rPr>
          <w:rStyle w:val="16"/>
          <w:rFonts w:hint="eastAsia" w:ascii="仿宋" w:hAnsi="仿宋" w:eastAsia="仿宋"/>
          <w:b w:val="0"/>
          <w:color w:val="auto"/>
          <w:spacing w:val="-4"/>
          <w:sz w:val="32"/>
          <w:szCs w:val="32"/>
          <w:shd w:val="clear" w:color="auto" w:fill="FFFFFF"/>
          <w:lang w:eastAsia="zh-CN"/>
        </w:rPr>
        <w:t>主要职责任务：根据国家、自治区有关规定，承担自治区有色、</w:t>
      </w:r>
      <w:r>
        <w:rPr>
          <w:rStyle w:val="16"/>
          <w:rFonts w:hint="eastAsia" w:ascii="仿宋" w:hAnsi="仿宋" w:eastAsia="仿宋"/>
          <w:b w:val="0"/>
          <w:color w:val="auto"/>
          <w:spacing w:val="-4"/>
          <w:sz w:val="32"/>
          <w:szCs w:val="32"/>
          <w:shd w:val="clear" w:color="auto" w:fill="FFFFFF"/>
          <w:lang w:val="en-US" w:eastAsia="zh-CN"/>
        </w:rPr>
        <w:t>化工</w:t>
      </w:r>
      <w:r>
        <w:rPr>
          <w:rStyle w:val="16"/>
          <w:rFonts w:hint="eastAsia" w:ascii="仿宋" w:hAnsi="仿宋" w:eastAsia="仿宋"/>
          <w:b w:val="0"/>
          <w:color w:val="auto"/>
          <w:spacing w:val="-4"/>
          <w:sz w:val="32"/>
          <w:szCs w:val="32"/>
          <w:shd w:val="clear" w:color="auto" w:fill="FFFFFF"/>
          <w:lang w:eastAsia="zh-CN"/>
        </w:rPr>
        <w:t>等专业建设工程质量安全监督等工作。</w:t>
      </w:r>
      <w:r>
        <w:rPr>
          <w:rStyle w:val="16"/>
          <w:rFonts w:hint="eastAsia" w:ascii="仿宋" w:hAnsi="仿宋" w:eastAsia="仿宋"/>
          <w:b w:val="0"/>
          <w:color w:val="auto"/>
          <w:spacing w:val="-4"/>
          <w:sz w:val="32"/>
          <w:szCs w:val="32"/>
          <w:shd w:val="clear" w:color="auto" w:fill="FFFFFF"/>
          <w:lang w:val="en-US" w:eastAsia="zh-CN"/>
        </w:rPr>
        <w:t>单位属性为</w:t>
      </w:r>
      <w:r>
        <w:rPr>
          <w:rStyle w:val="16"/>
          <w:rFonts w:hint="eastAsia" w:ascii="仿宋" w:hAnsi="仿宋" w:eastAsia="仿宋"/>
          <w:b w:val="0"/>
          <w:color w:val="auto"/>
          <w:spacing w:val="-4"/>
          <w:sz w:val="32"/>
          <w:szCs w:val="32"/>
          <w:shd w:val="clear" w:color="auto" w:fill="FFFFFF"/>
          <w:lang w:eastAsia="zh-CN"/>
        </w:rPr>
        <w:t>公益一类，机构规格相当县(处)级，核定事业编制18名，领导职数3名，专业技术人员比例75%以上，经费实行全额预算管理。</w:t>
      </w:r>
    </w:p>
    <w:p>
      <w:pPr>
        <w:pStyle w:val="11"/>
        <w:numPr>
          <w:ilvl w:val="0"/>
          <w:numId w:val="0"/>
        </w:numPr>
        <w:spacing w:before="0" w:after="0" w:line="600" w:lineRule="exact"/>
        <w:ind w:firstLine="624" w:firstLineChars="200"/>
        <w:jc w:val="both"/>
        <w:rPr>
          <w:rFonts w:ascii="Times New Roman" w:hAnsi="Times New Roman" w:eastAsia="仿宋_GB2312"/>
          <w:kern w:val="2"/>
        </w:rPr>
      </w:pPr>
      <w:r>
        <w:rPr>
          <w:rStyle w:val="16"/>
          <w:rFonts w:hint="eastAsia" w:ascii="仿宋" w:hAnsi="仿宋" w:eastAsia="仿宋"/>
          <w:b w:val="0"/>
          <w:bCs/>
          <w:color w:val="auto"/>
          <w:spacing w:val="-4"/>
          <w:sz w:val="32"/>
          <w:szCs w:val="32"/>
          <w:shd w:val="clear" w:color="auto" w:fill="FFFFFF"/>
          <w:lang w:val="en-US" w:eastAsia="zh-CN"/>
        </w:rPr>
        <w:t>主要政策依据是：1.</w:t>
      </w:r>
      <w:r>
        <w:rPr>
          <w:rStyle w:val="16"/>
          <w:rFonts w:hint="eastAsia" w:ascii="仿宋" w:hAnsi="仿宋" w:eastAsia="仿宋"/>
          <w:b w:val="0"/>
          <w:bCs/>
          <w:color w:val="auto"/>
          <w:spacing w:val="-4"/>
          <w:sz w:val="32"/>
          <w:szCs w:val="32"/>
          <w:shd w:val="clear" w:color="auto" w:fill="FFFFFF"/>
          <w:lang w:eastAsia="zh-CN"/>
        </w:rPr>
        <w:t>《关于公布取消和停止征收100项行政事业收费项目的通知》（财综〔2008〕78号）第一项取消的行政事业性收费项目第34项建设工程质量监督费（含工业、交通、民用、市政公用等工程和建筑构件）。根据通知要求上述行政事业性收费项目取消和停止征收后，有关部门和单位依法履行行政管理职能或核发证照所需要的经费，由同级财政预算予以保障。其中，财政补助事业单位的经费支出，通过部门预算予以安排。2.《房屋建筑和市政基础设施工程质量监督管理规定》（住建部令第5号）第五条工程质量监督管理应当包括下列内容：（五）对工程竣工验收进行监督；3.《房屋建筑和市政基础设施工程施工安全监督规定》（建质〔2014〕153号）第八条施工安全监督主要包括以下内容：（一）抽查工程建设责任主体履行安全生产职责情况；（二）抽查工程建设责任主体执行法律、法规、规章、制度及工程建设强制性标准情况4.《关于全面加强建设工程消防设计审查验收管理 落实落细消防安全责任制的意见》的通知（新建消〔2022〕6号）第二条，（五）落实监管责任。各地专业建设工程主管部门要根据条例，切实履行职责内建设工程消防设计、施工质量监管责任，加强对专业建设工程消防设计和消防有关部分项目工程质量监督，对发现的专业建设工程消防施工质量问题，要及时督促整改落实。</w:t>
      </w:r>
    </w:p>
    <w:p>
      <w:pPr>
        <w:pStyle w:val="11"/>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eastAsia="黑体"/>
          <w:highlight w:val="yellow"/>
          <w:lang w:eastAsia="zh-CN"/>
        </w:rPr>
      </w:pPr>
      <w:r>
        <w:rPr>
          <w:rFonts w:hint="eastAsia" w:ascii="仿宋_GB2312" w:hAnsi="仿宋_GB2312" w:eastAsia="仿宋_GB2312" w:cs="仿宋_GB2312"/>
          <w:sz w:val="30"/>
          <w:szCs w:val="30"/>
          <w:highlight w:val="none"/>
          <w:lang w:val="en-US" w:eastAsia="zh-CN"/>
        </w:rPr>
        <w:t>项目主要内容：</w:t>
      </w:r>
      <w:r>
        <w:rPr>
          <w:rStyle w:val="16"/>
          <w:rFonts w:hint="eastAsia" w:ascii="仿宋" w:hAnsi="仿宋" w:eastAsia="仿宋" w:cs="仿宋"/>
          <w:b w:val="0"/>
          <w:bCs w:val="0"/>
          <w:color w:val="auto"/>
          <w:spacing w:val="-4"/>
          <w:sz w:val="32"/>
          <w:szCs w:val="32"/>
          <w:shd w:val="clear" w:color="auto" w:fill="FFFFFF"/>
          <w:lang w:val="en-US" w:eastAsia="zh-CN"/>
        </w:rPr>
        <w:t>2023年，根据自治区人民政府和自治区安委会安全生产工作总体要求，结合《专业监督站2023年安全生产工作要点》以及工作职责。</w:t>
      </w:r>
      <w:r>
        <w:rPr>
          <w:rStyle w:val="16"/>
          <w:rFonts w:hint="eastAsia" w:ascii="仿宋" w:hAnsi="仿宋" w:eastAsia="仿宋" w:cs="仿宋"/>
          <w:b/>
          <w:bCs/>
          <w:color w:val="auto"/>
          <w:spacing w:val="-4"/>
          <w:sz w:val="32"/>
          <w:szCs w:val="32"/>
          <w:shd w:val="clear" w:color="auto" w:fill="FFFFFF"/>
          <w:lang w:eastAsia="zh-CN"/>
        </w:rPr>
        <w:t>一是</w:t>
      </w:r>
      <w:r>
        <w:rPr>
          <w:rStyle w:val="16"/>
          <w:rFonts w:hint="eastAsia" w:ascii="仿宋" w:hAnsi="仿宋" w:eastAsia="仿宋" w:cs="仿宋"/>
          <w:b w:val="0"/>
          <w:bCs w:val="0"/>
          <w:color w:val="auto"/>
          <w:spacing w:val="-4"/>
          <w:sz w:val="32"/>
          <w:szCs w:val="32"/>
          <w:shd w:val="clear" w:color="auto" w:fill="FFFFFF"/>
          <w:lang w:eastAsia="zh-CN"/>
        </w:rPr>
        <w:t>依照国家、自治区有关法律、法规，受理自治区范围内有色、化工建设工程质量安全监督申请，办理相关质量安全监督手续。</w:t>
      </w:r>
      <w:r>
        <w:rPr>
          <w:rStyle w:val="16"/>
          <w:rFonts w:hint="eastAsia" w:ascii="仿宋" w:hAnsi="仿宋" w:eastAsia="仿宋" w:cs="仿宋"/>
          <w:b/>
          <w:bCs/>
          <w:color w:val="auto"/>
          <w:spacing w:val="-4"/>
          <w:sz w:val="32"/>
          <w:szCs w:val="32"/>
          <w:shd w:val="clear" w:color="auto" w:fill="FFFFFF"/>
          <w:lang w:eastAsia="zh-CN"/>
        </w:rPr>
        <w:t>二是</w:t>
      </w:r>
      <w:r>
        <w:rPr>
          <w:rStyle w:val="16"/>
          <w:rFonts w:hint="eastAsia" w:ascii="仿宋" w:hAnsi="仿宋" w:eastAsia="仿宋" w:cs="仿宋"/>
          <w:b w:val="0"/>
          <w:bCs w:val="0"/>
          <w:color w:val="auto"/>
          <w:spacing w:val="-4"/>
          <w:sz w:val="32"/>
          <w:szCs w:val="32"/>
          <w:shd w:val="clear" w:color="auto" w:fill="FFFFFF"/>
        </w:rPr>
        <w:t>组织对受监督有色、化工建设工程参建各责任主体质量安全行为、工程实体质量</w:t>
      </w:r>
      <w:r>
        <w:rPr>
          <w:rStyle w:val="16"/>
          <w:rFonts w:hint="eastAsia" w:ascii="仿宋" w:hAnsi="仿宋" w:eastAsia="仿宋" w:cs="仿宋"/>
          <w:b w:val="0"/>
          <w:bCs w:val="0"/>
          <w:color w:val="auto"/>
          <w:spacing w:val="-4"/>
          <w:sz w:val="32"/>
          <w:szCs w:val="32"/>
          <w:shd w:val="clear" w:color="auto" w:fill="FFFFFF"/>
          <w:lang w:eastAsia="zh-CN"/>
        </w:rPr>
        <w:t>、工程资料、专项验收</w:t>
      </w:r>
      <w:r>
        <w:rPr>
          <w:rStyle w:val="16"/>
          <w:rFonts w:hint="eastAsia" w:ascii="仿宋" w:hAnsi="仿宋" w:eastAsia="仿宋" w:cs="仿宋"/>
          <w:b w:val="0"/>
          <w:bCs w:val="0"/>
          <w:color w:val="auto"/>
          <w:spacing w:val="-4"/>
          <w:sz w:val="32"/>
          <w:szCs w:val="32"/>
          <w:shd w:val="clear" w:color="auto" w:fill="FFFFFF"/>
        </w:rPr>
        <w:t>和现场施工安全进行抽查</w:t>
      </w:r>
      <w:r>
        <w:rPr>
          <w:rStyle w:val="16"/>
          <w:rFonts w:hint="eastAsia" w:ascii="仿宋" w:hAnsi="仿宋" w:eastAsia="仿宋" w:cs="仿宋"/>
          <w:b w:val="0"/>
          <w:bCs w:val="0"/>
          <w:color w:val="auto"/>
          <w:spacing w:val="-4"/>
          <w:sz w:val="32"/>
          <w:szCs w:val="32"/>
          <w:shd w:val="clear" w:color="auto" w:fill="FFFFFF"/>
          <w:lang w:eastAsia="zh-CN"/>
        </w:rPr>
        <w:t>。</w:t>
      </w:r>
      <w:r>
        <w:rPr>
          <w:rStyle w:val="16"/>
          <w:rFonts w:hint="eastAsia" w:ascii="仿宋" w:hAnsi="仿宋" w:eastAsia="仿宋" w:cs="仿宋"/>
          <w:b/>
          <w:bCs/>
          <w:color w:val="auto"/>
          <w:spacing w:val="-4"/>
          <w:sz w:val="32"/>
          <w:szCs w:val="32"/>
          <w:shd w:val="clear" w:color="auto" w:fill="FFFFFF"/>
          <w:lang w:val="en-US" w:eastAsia="zh-CN"/>
        </w:rPr>
        <w:t>三是</w:t>
      </w:r>
      <w:r>
        <w:rPr>
          <w:rStyle w:val="16"/>
          <w:rFonts w:hint="eastAsia" w:ascii="仿宋" w:hAnsi="仿宋" w:eastAsia="仿宋" w:cs="仿宋"/>
          <w:b w:val="0"/>
          <w:bCs w:val="0"/>
          <w:color w:val="auto"/>
          <w:spacing w:val="-4"/>
          <w:sz w:val="32"/>
          <w:szCs w:val="32"/>
          <w:shd w:val="clear" w:color="auto" w:fill="FFFFFF"/>
        </w:rPr>
        <w:t>组织或参与查处受监督有色、化工建设工程质量以及安全生产违法行为</w:t>
      </w:r>
      <w:r>
        <w:rPr>
          <w:rStyle w:val="16"/>
          <w:rFonts w:hint="eastAsia" w:ascii="仿宋" w:hAnsi="仿宋" w:eastAsia="仿宋" w:cs="仿宋"/>
          <w:b w:val="0"/>
          <w:bCs w:val="0"/>
          <w:color w:val="auto"/>
          <w:spacing w:val="-4"/>
          <w:sz w:val="32"/>
          <w:szCs w:val="32"/>
          <w:shd w:val="clear" w:color="auto" w:fill="FFFFFF"/>
          <w:lang w:eastAsia="zh-CN"/>
        </w:rPr>
        <w:t>。</w:t>
      </w:r>
      <w:r>
        <w:rPr>
          <w:rStyle w:val="16"/>
          <w:rFonts w:hint="eastAsia" w:ascii="仿宋" w:hAnsi="仿宋" w:eastAsia="仿宋" w:cs="仿宋"/>
          <w:b/>
          <w:bCs/>
          <w:color w:val="auto"/>
          <w:spacing w:val="-4"/>
          <w:sz w:val="32"/>
          <w:szCs w:val="32"/>
          <w:shd w:val="clear" w:color="auto" w:fill="FFFFFF"/>
          <w:lang w:eastAsia="zh-CN"/>
        </w:rPr>
        <w:t>四是</w:t>
      </w:r>
      <w:r>
        <w:rPr>
          <w:rStyle w:val="16"/>
          <w:rFonts w:hint="eastAsia" w:ascii="仿宋" w:hAnsi="仿宋" w:eastAsia="仿宋" w:cs="仿宋"/>
          <w:b w:val="0"/>
          <w:bCs w:val="0"/>
          <w:color w:val="auto"/>
          <w:spacing w:val="-4"/>
          <w:sz w:val="32"/>
          <w:szCs w:val="32"/>
          <w:shd w:val="clear" w:color="auto" w:fill="FFFFFF"/>
        </w:rPr>
        <w:t>监督、指导受监督有色、化工建设工程质量安全重大隐患治理</w:t>
      </w:r>
      <w:r>
        <w:rPr>
          <w:rStyle w:val="16"/>
          <w:rFonts w:hint="eastAsia" w:ascii="仿宋" w:hAnsi="仿宋" w:eastAsia="仿宋" w:cs="仿宋"/>
          <w:b w:val="0"/>
          <w:bCs w:val="0"/>
          <w:color w:val="auto"/>
          <w:spacing w:val="-4"/>
          <w:sz w:val="32"/>
          <w:szCs w:val="32"/>
          <w:shd w:val="clear" w:color="auto" w:fill="FFFFFF"/>
          <w:lang w:eastAsia="zh-CN"/>
        </w:rPr>
        <w:t>。</w:t>
      </w:r>
      <w:r>
        <w:rPr>
          <w:rStyle w:val="16"/>
          <w:rFonts w:hint="eastAsia" w:ascii="仿宋" w:hAnsi="仿宋" w:eastAsia="仿宋" w:cs="仿宋"/>
          <w:b/>
          <w:bCs/>
          <w:color w:val="auto"/>
          <w:spacing w:val="-4"/>
          <w:sz w:val="32"/>
          <w:szCs w:val="32"/>
          <w:shd w:val="clear" w:color="auto" w:fill="FFFFFF"/>
          <w:lang w:eastAsia="zh-CN"/>
        </w:rPr>
        <w:t>五是</w:t>
      </w:r>
      <w:r>
        <w:rPr>
          <w:rStyle w:val="16"/>
          <w:rFonts w:hint="eastAsia" w:ascii="仿宋" w:hAnsi="仿宋" w:eastAsia="仿宋" w:cs="仿宋"/>
          <w:b w:val="0"/>
          <w:bCs w:val="0"/>
          <w:color w:val="auto"/>
          <w:spacing w:val="-4"/>
          <w:sz w:val="32"/>
          <w:szCs w:val="32"/>
          <w:shd w:val="clear" w:color="auto" w:fill="FFFFFF"/>
          <w:lang w:val="en-US" w:eastAsia="zh-CN"/>
        </w:rPr>
        <w:t>结合国家安全教育日、“5.12”防灾减灾日、安全生产教育月等活动，</w:t>
      </w:r>
      <w:r>
        <w:rPr>
          <w:rStyle w:val="16"/>
          <w:rFonts w:hint="eastAsia" w:ascii="仿宋" w:hAnsi="仿宋" w:eastAsia="仿宋" w:cs="仿宋"/>
          <w:b w:val="0"/>
          <w:bCs w:val="0"/>
          <w:color w:val="auto"/>
          <w:spacing w:val="-4"/>
          <w:sz w:val="32"/>
          <w:szCs w:val="32"/>
          <w:shd w:val="clear" w:color="auto" w:fill="FFFFFF"/>
        </w:rPr>
        <w:t>做好受监有色、化工建设工程领域安全生产预警信息发布及宣传教育工作</w:t>
      </w:r>
      <w:r>
        <w:rPr>
          <w:rStyle w:val="16"/>
          <w:rFonts w:hint="eastAsia" w:ascii="仿宋" w:hAnsi="仿宋" w:eastAsia="仿宋" w:cs="仿宋"/>
          <w:b w:val="0"/>
          <w:bCs w:val="0"/>
          <w:color w:val="auto"/>
          <w:spacing w:val="-4"/>
          <w:sz w:val="32"/>
          <w:szCs w:val="32"/>
          <w:shd w:val="clear" w:color="auto" w:fill="FFFFFF"/>
          <w:lang w:val="en-US" w:eastAsia="zh-CN"/>
        </w:rPr>
        <w:t>。</w:t>
      </w:r>
      <w:r>
        <w:rPr>
          <w:rStyle w:val="16"/>
          <w:rFonts w:hint="eastAsia" w:ascii="仿宋" w:hAnsi="仿宋" w:eastAsia="仿宋" w:cs="仿宋"/>
          <w:b/>
          <w:bCs/>
          <w:color w:val="auto"/>
          <w:spacing w:val="-4"/>
          <w:sz w:val="32"/>
          <w:szCs w:val="32"/>
          <w:shd w:val="clear" w:color="auto" w:fill="FFFFFF"/>
          <w:lang w:val="en-US" w:eastAsia="zh-CN"/>
        </w:rPr>
        <w:t>六是</w:t>
      </w:r>
      <w:r>
        <w:rPr>
          <w:rStyle w:val="16"/>
          <w:rFonts w:hint="eastAsia" w:ascii="仿宋" w:hAnsi="仿宋" w:eastAsia="仿宋" w:cs="仿宋"/>
          <w:b w:val="0"/>
          <w:bCs w:val="0"/>
          <w:color w:val="auto"/>
          <w:spacing w:val="-4"/>
          <w:sz w:val="32"/>
          <w:szCs w:val="32"/>
          <w:shd w:val="clear" w:color="auto" w:fill="FFFFFF"/>
          <w:lang w:val="en-US" w:eastAsia="zh-CN"/>
        </w:rPr>
        <w:t>确保受监督有色、化工建设工程质量合格率100%，施工安全标准化考评合格率100%。</w:t>
      </w:r>
      <w:r>
        <w:rPr>
          <w:rStyle w:val="16"/>
          <w:rFonts w:hint="eastAsia" w:ascii="仿宋" w:hAnsi="仿宋" w:eastAsia="仿宋" w:cs="仿宋"/>
          <w:b/>
          <w:bCs/>
          <w:color w:val="auto"/>
          <w:spacing w:val="-4"/>
          <w:sz w:val="32"/>
          <w:szCs w:val="32"/>
          <w:shd w:val="clear" w:color="auto" w:fill="FFFFFF"/>
          <w:lang w:val="en-US" w:eastAsia="zh-CN"/>
        </w:rPr>
        <w:t>七是</w:t>
      </w:r>
      <w:r>
        <w:rPr>
          <w:rStyle w:val="16"/>
          <w:rFonts w:hint="eastAsia" w:ascii="仿宋" w:hAnsi="仿宋" w:eastAsia="仿宋" w:cs="仿宋"/>
          <w:b w:val="0"/>
          <w:bCs w:val="0"/>
          <w:color w:val="auto"/>
          <w:spacing w:val="-4"/>
          <w:sz w:val="32"/>
          <w:szCs w:val="32"/>
          <w:shd w:val="clear" w:color="auto" w:fill="FFFFFF"/>
          <w:lang w:val="en-US" w:eastAsia="zh-CN"/>
        </w:rPr>
        <w:t>确保安全生产形势稳定，工程质量稳步提高，为自治区工业经济发展提供高质量安全保障。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90" w:lineRule="exact"/>
        <w:ind w:right="0" w:firstLine="640" w:firstLineChars="200"/>
        <w:jc w:val="both"/>
        <w:textAlignment w:val="auto"/>
        <w:outlineLvl w:val="9"/>
      </w:pPr>
      <w:r>
        <w:rPr>
          <w:rFonts w:eastAsia="仿宋_GB2312"/>
          <w:sz w:val="32"/>
          <w:szCs w:val="32"/>
        </w:rPr>
        <w:t>项目实施情况：</w:t>
      </w:r>
      <w:r>
        <w:rPr>
          <w:rFonts w:hint="eastAsia" w:eastAsia="仿宋_GB2312"/>
          <w:color w:val="auto"/>
          <w:sz w:val="32"/>
          <w:szCs w:val="32"/>
          <w:lang w:val="en-US" w:eastAsia="zh-CN"/>
        </w:rPr>
        <w:t>截至202</w:t>
      </w:r>
      <w:r>
        <w:rPr>
          <w:rFonts w:hint="eastAsia"/>
          <w:color w:val="auto"/>
          <w:sz w:val="32"/>
          <w:szCs w:val="32"/>
          <w:lang w:val="en-US" w:eastAsia="zh-CN"/>
        </w:rPr>
        <w:t>3</w:t>
      </w:r>
      <w:r>
        <w:rPr>
          <w:rFonts w:hint="eastAsia" w:eastAsia="仿宋_GB2312"/>
          <w:color w:val="auto"/>
          <w:sz w:val="32"/>
          <w:szCs w:val="32"/>
          <w:lang w:val="en-US" w:eastAsia="zh-CN"/>
        </w:rPr>
        <w:t>年12月底，项目</w:t>
      </w:r>
      <w:r>
        <w:rPr>
          <w:rFonts w:hint="eastAsia"/>
          <w:color w:val="auto"/>
          <w:sz w:val="32"/>
          <w:szCs w:val="32"/>
          <w:lang w:val="en-US" w:eastAsia="zh-CN"/>
        </w:rPr>
        <w:t>已</w:t>
      </w:r>
      <w:r>
        <w:rPr>
          <w:rFonts w:hint="eastAsia" w:eastAsia="仿宋_GB2312"/>
          <w:color w:val="auto"/>
          <w:sz w:val="32"/>
          <w:szCs w:val="32"/>
          <w:lang w:val="en-US" w:eastAsia="zh-CN"/>
        </w:rPr>
        <w:t>完成</w:t>
      </w:r>
      <w:r>
        <w:rPr>
          <w:rFonts w:eastAsia="仿宋_GB2312"/>
          <w:color w:val="auto"/>
          <w:sz w:val="32"/>
          <w:szCs w:val="32"/>
        </w:rPr>
        <w:t>实际设立的目标，项目在实施过程中严格按照目标设立的各阶段任务进行开展工作，在前期立项过程中严格把质量关，建立安全防护机制，保证项目实施各阶段安全顺利进行。</w:t>
      </w:r>
      <w:r>
        <w:rPr>
          <w:rFonts w:hint="eastAsia"/>
          <w:color w:val="auto"/>
          <w:sz w:val="32"/>
          <w:szCs w:val="32"/>
          <w:lang w:val="en-US" w:eastAsia="zh-CN"/>
        </w:rPr>
        <w:t>2023年</w:t>
      </w:r>
      <w:r>
        <w:rPr>
          <w:rFonts w:hint="eastAsia" w:ascii="仿宋_GB2312" w:hAnsi="仿宋" w:eastAsia="仿宋_GB2312" w:cs="Times New Roman"/>
          <w:kern w:val="2"/>
          <w:sz w:val="32"/>
          <w:szCs w:val="32"/>
          <w:lang w:val="en-US" w:eastAsia="zh-CN" w:bidi="ar-SA"/>
        </w:rPr>
        <w:t>全年受监督有色、化工建设工程共40个，单位工程958个，项目总投资额约548.6亿元，严格审核报监专业建设工程质量安全监督注册登记手续的合法性，严格执行了工程开工、中交、交（竣）工验收监督程序，组织受监督的专业建设项目中交验收19次、竣工验收20次。</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该项目年初预算数20万元，全年预算数20万元，实际总投入20万元，该项目资金落实到位19.88万元，资金来源为一般公共预算财政拨款资金。</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 w:eastAsia="仿宋_GB2312" w:cs="Times New Roman"/>
          <w:kern w:val="2"/>
          <w:sz w:val="32"/>
          <w:szCs w:val="32"/>
          <w:lang w:val="en-US" w:eastAsia="zh-CN" w:bidi="ar-SA"/>
        </w:rPr>
      </w:pPr>
      <w:r>
        <w:rPr>
          <w:rFonts w:hint="eastAsia" w:ascii="仿宋_GB2312" w:hAnsi="仿宋_GB2312" w:eastAsia="仿宋_GB2312" w:cs="仿宋_GB2312"/>
          <w:sz w:val="32"/>
          <w:szCs w:val="32"/>
          <w:highlight w:val="none"/>
          <w:lang w:val="en-US" w:eastAsia="zh-CN"/>
        </w:rPr>
        <w:t>该</w:t>
      </w:r>
      <w:r>
        <w:rPr>
          <w:rFonts w:hint="eastAsia" w:ascii="仿宋_GB2312" w:hAnsi="仿宋" w:eastAsia="仿宋_GB2312" w:cs="Times New Roman"/>
          <w:kern w:val="2"/>
          <w:sz w:val="32"/>
          <w:szCs w:val="32"/>
          <w:lang w:val="en-US" w:eastAsia="zh-CN" w:bidi="ar-SA"/>
        </w:rPr>
        <w:t>项目年初预算数20万元，全年预算数20万元，全年执行数19.88万元，预算执行率为99.40%，主要用于：支付项目实施进程中的各项费用。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eastAsia="仿宋" w:cs="仿宋"/>
          <w:b w:val="0"/>
          <w:bCs/>
          <w:color w:val="auto"/>
          <w:sz w:val="32"/>
          <w:szCs w:val="32"/>
          <w:lang w:val="en-US" w:eastAsia="zh-CN" w:bidi="ar-SA"/>
        </w:rPr>
      </w:pPr>
      <w:r>
        <w:rPr>
          <w:rFonts w:hint="eastAsia" w:ascii="仿宋" w:eastAsia="仿宋" w:cs="仿宋"/>
          <w:b w:val="0"/>
          <w:bCs/>
          <w:color w:val="auto"/>
          <w:sz w:val="32"/>
          <w:szCs w:val="32"/>
          <w:lang w:val="en-US" w:eastAsia="zh-CN" w:bidi="ar-SA"/>
        </w:rPr>
        <w:t>紧紧围绕自治区党委及工信厅党组决策部署，认真履行工作职责，为受监督有色、化工行业建设工程做好服务工作并提供质量安全监督保障。坚决杜绝受监督有色、化工行业建设工程发生重特大质量安全事故，确保受监督在建工程质量合格率100%，施工安全重特大事故为零。</w:t>
      </w:r>
    </w:p>
    <w:p>
      <w:pPr>
        <w:numPr>
          <w:ilvl w:val="0"/>
          <w:numId w:val="1"/>
        </w:numPr>
        <w:spacing w:line="560" w:lineRule="exact"/>
        <w:ind w:left="0" w:leftChars="0" w:firstLine="640" w:firstLineChars="200"/>
        <w:rPr>
          <w:rFonts w:eastAsia="仿宋_GB2312"/>
          <w:sz w:val="32"/>
          <w:szCs w:val="32"/>
        </w:rPr>
      </w:pPr>
      <w:r>
        <w:rPr>
          <w:rFonts w:eastAsia="仿宋_GB2312"/>
          <w:sz w:val="32"/>
          <w:szCs w:val="32"/>
        </w:rPr>
        <w:t>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hint="eastAsia" w:eastAsia="黑体"/>
          <w:b w:val="0"/>
          <w:bCs/>
          <w:lang w:eastAsia="zh-CN"/>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质量安全监督检查费</w:t>
      </w:r>
      <w:r>
        <w:rPr>
          <w:rFonts w:hint="eastAsia" w:ascii="仿宋_GB2312" w:hAnsi="仿宋_GB2312" w:eastAsia="仿宋_GB2312" w:cs="仿宋_GB2312"/>
          <w:sz w:val="32"/>
          <w:szCs w:val="32"/>
        </w:rPr>
        <w:t>项目所包含的全部项目内容。</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rPr>
        <w:t>质量安全监督检查费项目</w:t>
      </w:r>
      <w:r>
        <w:rPr>
          <w:rFonts w:hint="eastAsia" w:ascii="仿宋_GB2312" w:hAnsi="仿宋_GB2312" w:eastAsia="仿宋_GB2312" w:cs="仿宋_GB2312"/>
          <w:sz w:val="32"/>
          <w:szCs w:val="32"/>
        </w:rPr>
        <w:t>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sz w:val="32"/>
          <w:szCs w:val="32"/>
          <w:highlight w:val="none"/>
        </w:rPr>
        <w:t>绩效评价标准通常包括计划标准、行业标准、历史标准等，用于对绩效指标完成情况进行比较、分析、评价。本次</w:t>
      </w:r>
      <w:r>
        <w:rPr>
          <w:rFonts w:hint="eastAsia" w:eastAsia="方正仿宋_GBK" w:cs="方正仿宋_GBK"/>
          <w:color w:val="auto"/>
          <w:sz w:val="32"/>
          <w:szCs w:val="32"/>
          <w:highlight w:val="none"/>
        </w:rPr>
        <w:t>评价主要采用了</w:t>
      </w:r>
      <w:r>
        <w:rPr>
          <w:rFonts w:hint="eastAsia" w:eastAsia="方正仿宋_GBK" w:cs="方正仿宋_GBK"/>
          <w:color w:val="auto"/>
          <w:sz w:val="32"/>
          <w:szCs w:val="32"/>
          <w:highlight w:val="none"/>
          <w:lang w:val="en-US" w:eastAsia="zh-CN"/>
        </w:rPr>
        <w:t>历史标准</w:t>
      </w:r>
      <w:r>
        <w:rPr>
          <w:rFonts w:hint="eastAsia" w:eastAsia="方正仿宋_GBK" w:cs="方正仿宋_GBK"/>
          <w:color w:val="auto"/>
          <w:sz w:val="32"/>
          <w:szCs w:val="32"/>
          <w:highlight w:val="none"/>
        </w:rPr>
        <w:t>和</w:t>
      </w:r>
      <w:r>
        <w:rPr>
          <w:rFonts w:hint="eastAsia" w:eastAsia="方正仿宋_GBK" w:cs="方正仿宋_GBK"/>
          <w:color w:val="auto"/>
          <w:sz w:val="32"/>
          <w:szCs w:val="32"/>
          <w:highlight w:val="none"/>
          <w:lang w:val="en-US" w:eastAsia="zh-CN"/>
        </w:rPr>
        <w:t>其他</w:t>
      </w:r>
      <w:r>
        <w:rPr>
          <w:rFonts w:hint="eastAsia" w:eastAsia="方正仿宋_GBK" w:cs="方正仿宋_GBK"/>
          <w:color w:val="auto"/>
          <w:sz w:val="32"/>
          <w:szCs w:val="32"/>
          <w:highlight w:val="none"/>
        </w:rPr>
        <w:t>标准。</w:t>
      </w:r>
      <w:bookmarkStart w:id="0" w:name="_Toc430"/>
      <w:bookmarkStart w:id="1" w:name="_Toc16028"/>
    </w:p>
    <w:p>
      <w:pPr>
        <w:spacing w:line="560" w:lineRule="exact"/>
        <w:ind w:firstLine="640"/>
        <w:rPr>
          <w:rFonts w:eastAsia="方正仿宋_GBK" w:cs="方正仿宋_GBK"/>
          <w:sz w:val="32"/>
          <w:szCs w:val="32"/>
        </w:rPr>
      </w:pPr>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0"/>
      <w:bookmarkEnd w:id="1"/>
    </w:p>
    <w:p>
      <w:pPr>
        <w:pStyle w:val="11"/>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1.前</w:t>
      </w:r>
      <w:r>
        <w:rPr>
          <w:rFonts w:hint="eastAsia" w:eastAsia="仿宋_GB2312"/>
          <w:bCs/>
          <w:sz w:val="32"/>
          <w:szCs w:val="32"/>
        </w:rPr>
        <w:t>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0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总投资20万元，财政资金及时足额到位，到位率100%，预算资金按计划进度执行。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预算资金支出19.88万元，预算执行率为99.40%。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3"/>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项目产出类指标包括产出数量、产出质量、产出时效、三方面的内容，由5个三级指标构成，权重分为40分，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Style w:val="11"/>
        <w:numPr>
          <w:ilvl w:val="0"/>
          <w:numId w:val="0"/>
        </w:numPr>
        <w:ind w:firstLine="643"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工程质量专项检查频次指标，指标值为20次，实际完成20次，完成率100%，偏差率0%。</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工程安全专项指标指标，指标值为20次，实际完成20次，完成率100%，偏差率0%。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受监督有色、化工建设工程施工安全标准化考评合格率</w:t>
      </w:r>
      <w:r>
        <w:rPr>
          <w:rStyle w:val="18"/>
          <w:rFonts w:hint="eastAsia" w:eastAsia="仿宋_GB2312" w:cs="Times New Roman"/>
          <w:color w:val="auto"/>
          <w:highlight w:val="none"/>
          <w:lang w:val="en-US" w:eastAsia="zh-CN"/>
        </w:rPr>
        <w:t>指标，指标值为100%，实际完成100%，</w:t>
      </w:r>
      <w:r>
        <w:rPr>
          <w:rFonts w:hint="eastAsia" w:ascii="仿宋_GB2312" w:hAnsi="仿宋_GB2312" w:eastAsia="仿宋_GB2312" w:cs="仿宋_GB2312"/>
          <w:b w:val="0"/>
          <w:bCs w:val="0"/>
          <w:kern w:val="2"/>
          <w:sz w:val="32"/>
          <w:szCs w:val="32"/>
          <w:highlight w:val="none"/>
          <w:lang w:val="en-US" w:eastAsia="zh-CN" w:bidi="ar-SA"/>
        </w:rPr>
        <w:t>完成率100%，</w:t>
      </w:r>
      <w:r>
        <w:rPr>
          <w:rStyle w:val="18"/>
          <w:rFonts w:hint="eastAsia" w:eastAsia="仿宋_GB2312" w:cs="Times New Roman"/>
          <w:color w:val="auto"/>
          <w:highlight w:val="none"/>
          <w:lang w:val="en-US" w:eastAsia="zh-CN"/>
        </w:rPr>
        <w:t>偏差率0%。</w:t>
      </w:r>
    </w:p>
    <w:p>
      <w:pPr>
        <w:spacing w:line="600" w:lineRule="exact"/>
        <w:ind w:firstLine="640" w:firstLineChars="200"/>
        <w:rPr>
          <w:rStyle w:val="18"/>
          <w:rFonts w:hint="eastAsia" w:eastAsia="仿宋_GB2312" w:cs="Times New Roman"/>
          <w:color w:val="auto"/>
          <w:highlight w:val="none"/>
          <w:lang w:val="en-US" w:eastAsia="zh-CN"/>
        </w:rPr>
      </w:pPr>
      <w:r>
        <w:rPr>
          <w:rFonts w:hint="eastAsia" w:ascii="仿宋_GB2312" w:hAnsi="仿宋_GB2312" w:eastAsia="仿宋_GB2312" w:cs="仿宋_GB2312"/>
          <w:sz w:val="32"/>
          <w:szCs w:val="32"/>
          <w:highlight w:val="none"/>
          <w:lang w:val="en-US" w:eastAsia="zh-CN"/>
        </w:rPr>
        <w:t>指标2：</w:t>
      </w:r>
      <w:r>
        <w:rPr>
          <w:rStyle w:val="18"/>
          <w:rFonts w:hint="eastAsia" w:eastAsia="仿宋_GB2312" w:cs="Times New Roman"/>
          <w:color w:val="auto"/>
          <w:highlight w:val="none"/>
          <w:lang w:eastAsia="zh-CN"/>
        </w:rPr>
        <w:t>受监督有色、化工建设工程工程质量合格率</w:t>
      </w:r>
      <w:r>
        <w:rPr>
          <w:rStyle w:val="18"/>
          <w:rFonts w:hint="eastAsia" w:eastAsia="仿宋_GB2312" w:cs="Times New Roman"/>
          <w:color w:val="auto"/>
          <w:highlight w:val="none"/>
          <w:lang w:val="en-US" w:eastAsia="zh-CN"/>
        </w:rPr>
        <w:t>指标，指标值为100%，完成率100%，</w:t>
      </w:r>
      <w:r>
        <w:rPr>
          <w:rFonts w:hint="eastAsia" w:ascii="仿宋_GB2312" w:hAnsi="仿宋_GB2312" w:eastAsia="仿宋_GB2312" w:cs="仿宋_GB2312"/>
          <w:b w:val="0"/>
          <w:bCs w:val="0"/>
          <w:kern w:val="2"/>
          <w:sz w:val="32"/>
          <w:szCs w:val="32"/>
          <w:highlight w:val="none"/>
          <w:lang w:val="en-US" w:eastAsia="zh-CN" w:bidi="ar-SA"/>
        </w:rPr>
        <w:t>完成率100%，</w:t>
      </w:r>
      <w:r>
        <w:rPr>
          <w:rStyle w:val="18"/>
          <w:rFonts w:hint="eastAsia" w:eastAsia="仿宋_GB2312" w:cs="Times New Roman"/>
          <w:color w:val="auto"/>
          <w:highlight w:val="none"/>
          <w:lang w:val="en-US" w:eastAsia="zh-CN"/>
        </w:rPr>
        <w:t>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Style w:val="18"/>
          <w:rFonts w:hint="eastAsia" w:eastAsia="仿宋_GB2312" w:cs="Times New Roman"/>
          <w:color w:val="auto"/>
          <w:highlight w:val="none"/>
          <w:lang w:val="en-US" w:eastAsia="zh-CN"/>
        </w:rPr>
      </w:pPr>
      <w:r>
        <w:rPr>
          <w:rStyle w:val="18"/>
          <w:rFonts w:hint="eastAsia" w:eastAsia="仿宋_GB2312" w:cs="Times New Roman"/>
          <w:color w:val="auto"/>
          <w:highlight w:val="none"/>
          <w:lang w:eastAsia="zh-CN"/>
        </w:rPr>
        <w:t>年度监督检查任务按时完成</w:t>
      </w:r>
      <w:r>
        <w:rPr>
          <w:rStyle w:val="18"/>
          <w:rFonts w:hint="eastAsia" w:eastAsia="仿宋_GB2312" w:cs="Times New Roman"/>
          <w:color w:val="auto"/>
          <w:highlight w:val="none"/>
          <w:lang w:val="en-US" w:eastAsia="zh-CN"/>
        </w:rPr>
        <w:t>率指标，指标值为100%，实际完成100%，偏差率0%。</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lang w:val="en-US" w:eastAsia="zh-CN"/>
        </w:rPr>
        <w:t>④成本</w:t>
      </w:r>
      <w:r>
        <w:rPr>
          <w:rFonts w:hint="eastAsia" w:ascii="仿宋_GB2312" w:hAnsi="仿宋_GB2312" w:eastAsia="仿宋_GB2312" w:cs="仿宋_GB2312"/>
          <w:sz w:val="32"/>
          <w:szCs w:val="32"/>
          <w:highlight w:val="none"/>
        </w:rPr>
        <w:t>指标：</w:t>
      </w:r>
    </w:p>
    <w:p>
      <w:pPr>
        <w:numPr>
          <w:ilvl w:val="0"/>
          <w:numId w:val="0"/>
        </w:numPr>
        <w:spacing w:line="600" w:lineRule="exact"/>
        <w:ind w:firstLine="640" w:firstLineChars="200"/>
        <w:rPr>
          <w:rStyle w:val="18"/>
          <w:rFonts w:hint="eastAsia" w:eastAsia="仿宋_GB2312" w:cs="Times New Roman"/>
          <w:color w:val="auto"/>
          <w:highlight w:val="none"/>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专项监督检查成本</w:t>
      </w:r>
      <w:r>
        <w:rPr>
          <w:rStyle w:val="18"/>
          <w:rFonts w:hint="eastAsia" w:eastAsia="仿宋_GB2312" w:cs="Times New Roman"/>
          <w:color w:val="auto"/>
          <w:highlight w:val="none"/>
          <w:lang w:val="en-US" w:eastAsia="zh-CN"/>
        </w:rPr>
        <w:t>指标，指标值为</w:t>
      </w:r>
      <w:r>
        <w:rPr>
          <w:rStyle w:val="18"/>
          <w:rFonts w:hint="eastAsia" w:cs="Times New Roman"/>
          <w:color w:val="auto"/>
          <w:highlight w:val="none"/>
          <w:lang w:val="en-US" w:eastAsia="zh-CN"/>
        </w:rPr>
        <w:t>≤16.50万元</w:t>
      </w:r>
      <w:r>
        <w:rPr>
          <w:rStyle w:val="18"/>
          <w:rFonts w:hint="eastAsia" w:eastAsia="仿宋_GB2312" w:cs="Times New Roman"/>
          <w:color w:val="auto"/>
          <w:highlight w:val="none"/>
          <w:lang w:val="en-US" w:eastAsia="zh-CN"/>
        </w:rPr>
        <w:t>，实际完成</w:t>
      </w:r>
      <w:r>
        <w:rPr>
          <w:rStyle w:val="18"/>
          <w:rFonts w:hint="eastAsia" w:cs="Times New Roman"/>
          <w:color w:val="auto"/>
          <w:highlight w:val="none"/>
          <w:lang w:val="en-US" w:eastAsia="zh-CN"/>
        </w:rPr>
        <w:t>16.50万元</w:t>
      </w:r>
      <w:r>
        <w:rPr>
          <w:rStyle w:val="18"/>
          <w:rFonts w:hint="eastAsia" w:eastAsia="仿宋_GB2312" w:cs="Times New Roman"/>
          <w:color w:val="auto"/>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完成率</w:t>
      </w:r>
      <w:r>
        <w:rPr>
          <w:rFonts w:hint="eastAsia" w:ascii="仿宋_GB2312" w:hAnsi="仿宋_GB2312" w:cs="仿宋_GB2312"/>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r>
        <w:rPr>
          <w:rStyle w:val="18"/>
          <w:rFonts w:hint="eastAsia" w:eastAsia="仿宋_GB2312" w:cs="Times New Roman"/>
          <w:color w:val="auto"/>
          <w:highlight w:val="none"/>
          <w:lang w:val="en-US" w:eastAsia="zh-CN"/>
        </w:rPr>
        <w:t>偏差率</w:t>
      </w:r>
      <w:r>
        <w:rPr>
          <w:rStyle w:val="18"/>
          <w:rFonts w:hint="eastAsia" w:cs="Times New Roman"/>
          <w:color w:val="auto"/>
          <w:highlight w:val="none"/>
          <w:lang w:val="en-US" w:eastAsia="zh-CN"/>
        </w:rPr>
        <w:t>0</w:t>
      </w:r>
      <w:r>
        <w:rPr>
          <w:rStyle w:val="18"/>
          <w:rFonts w:hint="eastAsia" w:eastAsia="仿宋_GB2312" w:cs="Times New Roman"/>
          <w:color w:val="auto"/>
          <w:highlight w:val="none"/>
          <w:lang w:val="en-US" w:eastAsia="zh-CN"/>
        </w:rPr>
        <w:t>%。</w:t>
      </w:r>
    </w:p>
    <w:p>
      <w:pPr>
        <w:numPr>
          <w:ilvl w:val="0"/>
          <w:numId w:val="0"/>
        </w:numPr>
        <w:spacing w:line="600" w:lineRule="exact"/>
        <w:ind w:firstLine="640" w:firstLineChars="200"/>
        <w:rPr>
          <w:rFonts w:hint="eastAsia"/>
          <w:lang w:val="en-US" w:eastAsia="zh-CN"/>
        </w:rPr>
      </w:pPr>
      <w:r>
        <w:rPr>
          <w:rFonts w:hint="eastAsia" w:ascii="仿宋_GB2312" w:hAnsi="仿宋_GB2312" w:eastAsia="仿宋_GB2312" w:cs="仿宋_GB2312"/>
          <w:sz w:val="32"/>
          <w:szCs w:val="32"/>
          <w:highlight w:val="none"/>
          <w:lang w:val="en-US" w:eastAsia="zh-CN"/>
        </w:rPr>
        <w:t>指标2：</w:t>
      </w:r>
      <w:r>
        <w:rPr>
          <w:rStyle w:val="18"/>
          <w:rFonts w:hint="eastAsia" w:cs="Times New Roman"/>
          <w:color w:val="auto"/>
          <w:highlight w:val="none"/>
          <w:lang w:val="en-US" w:eastAsia="zh-CN"/>
        </w:rPr>
        <w:t>其他交通费</w:t>
      </w:r>
      <w:r>
        <w:rPr>
          <w:rStyle w:val="18"/>
          <w:rFonts w:hint="eastAsia" w:eastAsia="仿宋_GB2312" w:cs="Times New Roman"/>
          <w:color w:val="auto"/>
          <w:highlight w:val="none"/>
          <w:lang w:eastAsia="zh-CN"/>
        </w:rPr>
        <w:t>成本</w:t>
      </w:r>
      <w:r>
        <w:rPr>
          <w:rStyle w:val="18"/>
          <w:rFonts w:hint="eastAsia" w:eastAsia="仿宋_GB2312" w:cs="Times New Roman"/>
          <w:color w:val="auto"/>
          <w:highlight w:val="none"/>
          <w:lang w:val="en-US" w:eastAsia="zh-CN"/>
        </w:rPr>
        <w:t>指标，指标值为</w:t>
      </w:r>
      <w:r>
        <w:rPr>
          <w:rStyle w:val="18"/>
          <w:rFonts w:hint="eastAsia" w:cs="Times New Roman"/>
          <w:color w:val="auto"/>
          <w:highlight w:val="none"/>
          <w:lang w:val="en-US" w:eastAsia="zh-CN"/>
        </w:rPr>
        <w:t>≤3.50万元</w:t>
      </w:r>
      <w:r>
        <w:rPr>
          <w:rStyle w:val="18"/>
          <w:rFonts w:hint="eastAsia" w:eastAsia="仿宋_GB2312" w:cs="Times New Roman"/>
          <w:color w:val="auto"/>
          <w:highlight w:val="none"/>
          <w:lang w:val="en-US" w:eastAsia="zh-CN"/>
        </w:rPr>
        <w:t>，完成</w:t>
      </w:r>
      <w:r>
        <w:rPr>
          <w:rStyle w:val="18"/>
          <w:rFonts w:hint="eastAsia" w:cs="Times New Roman"/>
          <w:color w:val="auto"/>
          <w:highlight w:val="none"/>
          <w:lang w:val="en-US" w:eastAsia="zh-CN"/>
        </w:rPr>
        <w:t>值3.50</w:t>
      </w:r>
      <w:r>
        <w:rPr>
          <w:rStyle w:val="18"/>
          <w:rFonts w:hint="eastAsia" w:eastAsia="仿宋_GB2312" w:cs="Times New Roman"/>
          <w:color w:val="auto"/>
          <w:highlight w:val="none"/>
          <w:lang w:val="en-US" w:eastAsia="zh-CN"/>
        </w:rPr>
        <w:t>万</w:t>
      </w:r>
      <w:r>
        <w:rPr>
          <w:rStyle w:val="18"/>
          <w:rFonts w:hint="eastAsia" w:cs="Times New Roman"/>
          <w:color w:val="auto"/>
          <w:highlight w:val="none"/>
          <w:lang w:val="en-US" w:eastAsia="zh-CN"/>
        </w:rPr>
        <w:t>元</w:t>
      </w:r>
      <w:r>
        <w:rPr>
          <w:rStyle w:val="18"/>
          <w:rFonts w:hint="eastAsia" w:eastAsia="仿宋_GB2312" w:cs="Times New Roman"/>
          <w:color w:val="auto"/>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完成率100%，</w:t>
      </w:r>
      <w:r>
        <w:rPr>
          <w:rStyle w:val="18"/>
          <w:rFonts w:hint="eastAsia" w:eastAsia="仿宋_GB2312" w:cs="Times New Roman"/>
          <w:color w:val="auto"/>
          <w:highlight w:val="none"/>
          <w:lang w:val="en-US" w:eastAsia="zh-CN"/>
        </w:rPr>
        <w:t>偏差率0%。</w:t>
      </w:r>
    </w:p>
    <w:p>
      <w:pPr>
        <w:pStyle w:val="13"/>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三个三级指标构成，权重分为20分，实际得分20分，得分率为100%。具体效益指标及满意度指标完成情况如下：</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numPr>
          <w:ilvl w:val="0"/>
          <w:numId w:val="0"/>
        </w:numPr>
        <w:spacing w:line="600" w:lineRule="exact"/>
        <w:ind w:firstLine="640" w:firstLineChars="200"/>
        <w:rPr>
          <w:rFonts w:hint="default" w:ascii="仿宋_GB2312" w:hAnsi="仿宋_GB2312" w:eastAsia="仿宋_GB2312" w:cs="仿宋_GB2312"/>
          <w:sz w:val="32"/>
          <w:szCs w:val="32"/>
          <w:highlight w:val="none"/>
          <w:lang w:val="en-US" w:eastAsia="zh-CN"/>
        </w:rPr>
      </w:pPr>
      <w:r>
        <w:rPr>
          <w:rStyle w:val="18"/>
          <w:rFonts w:hint="eastAsia" w:eastAsia="仿宋_GB2312" w:cs="Times New Roman"/>
          <w:color w:val="auto"/>
          <w:highlight w:val="none"/>
          <w:lang w:eastAsia="zh-CN"/>
        </w:rPr>
        <w:t>确保安全生产形势</w:t>
      </w:r>
      <w:bookmarkStart w:id="5" w:name="_GoBack"/>
      <w:bookmarkEnd w:id="5"/>
      <w:r>
        <w:rPr>
          <w:rStyle w:val="18"/>
          <w:rFonts w:hint="eastAsia" w:eastAsia="仿宋_GB2312" w:cs="Times New Roman"/>
          <w:color w:val="auto"/>
          <w:highlight w:val="none"/>
          <w:lang w:eastAsia="zh-CN"/>
        </w:rPr>
        <w:t>持续稳定，工程质量稳步提高</w:t>
      </w:r>
      <w:r>
        <w:rPr>
          <w:rStyle w:val="18"/>
          <w:rFonts w:hint="eastAsia" w:eastAsia="仿宋_GB2312" w:cs="Times New Roman"/>
          <w:color w:val="auto"/>
          <w:highlight w:val="none"/>
          <w:lang w:val="en-US" w:eastAsia="zh-CN"/>
        </w:rPr>
        <w:t>指标，指标值为有效提高，实际完成值为有效提高，</w:t>
      </w:r>
      <w:r>
        <w:rPr>
          <w:rFonts w:hint="eastAsia" w:ascii="仿宋_GB2312" w:hAnsi="仿宋_GB2312" w:eastAsia="仿宋_GB2312" w:cs="仿宋_GB2312"/>
          <w:b w:val="0"/>
          <w:bCs w:val="0"/>
          <w:kern w:val="2"/>
          <w:sz w:val="32"/>
          <w:szCs w:val="32"/>
          <w:highlight w:val="none"/>
          <w:lang w:val="en-US" w:eastAsia="zh-CN" w:bidi="ar-SA"/>
        </w:rPr>
        <w:t>完成率100%，</w:t>
      </w:r>
      <w:r>
        <w:rPr>
          <w:rStyle w:val="18"/>
          <w:rFonts w:hint="eastAsia" w:eastAsia="仿宋_GB2312" w:cs="Times New Roman"/>
          <w:color w:val="auto"/>
          <w:highlight w:val="none"/>
          <w:lang w:val="en-US" w:eastAsia="zh-CN"/>
        </w:rPr>
        <w:t>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可持续影响指标：</w:t>
      </w:r>
    </w:p>
    <w:p>
      <w:pPr>
        <w:numPr>
          <w:ilvl w:val="0"/>
          <w:numId w:val="0"/>
        </w:numPr>
        <w:spacing w:line="600" w:lineRule="exact"/>
        <w:ind w:firstLine="640" w:firstLineChars="200"/>
        <w:rPr>
          <w:rFonts w:ascii="Times New Roman" w:hAnsi="Times New Roman"/>
        </w:rPr>
      </w:pPr>
      <w:r>
        <w:rPr>
          <w:rStyle w:val="18"/>
          <w:rFonts w:hint="eastAsia" w:eastAsia="仿宋_GB2312" w:cs="Times New Roman"/>
          <w:color w:val="auto"/>
          <w:highlight w:val="none"/>
          <w:lang w:eastAsia="zh-CN"/>
        </w:rPr>
        <w:t>问题整改落实率</w:t>
      </w:r>
      <w:r>
        <w:rPr>
          <w:rStyle w:val="18"/>
          <w:rFonts w:hint="eastAsia" w:eastAsia="仿宋_GB2312" w:cs="Times New Roman"/>
          <w:color w:val="auto"/>
          <w:highlight w:val="none"/>
          <w:lang w:val="en-US" w:eastAsia="zh-CN"/>
        </w:rPr>
        <w:t>指标，指标值为100%，实际完成值为100%，</w:t>
      </w:r>
      <w:r>
        <w:rPr>
          <w:rFonts w:hint="eastAsia" w:ascii="仿宋_GB2312" w:hAnsi="仿宋_GB2312" w:eastAsia="仿宋_GB2312" w:cs="仿宋_GB2312"/>
          <w:b w:val="0"/>
          <w:bCs w:val="0"/>
          <w:kern w:val="2"/>
          <w:sz w:val="32"/>
          <w:szCs w:val="32"/>
          <w:highlight w:val="none"/>
          <w:lang w:val="en-US" w:eastAsia="zh-CN" w:bidi="ar-SA"/>
        </w:rPr>
        <w:t>完成率100%，</w:t>
      </w:r>
      <w:r>
        <w:rPr>
          <w:rStyle w:val="18"/>
          <w:rFonts w:hint="eastAsia" w:eastAsia="仿宋_GB2312" w:cs="Times New Roman"/>
          <w:color w:val="auto"/>
          <w:highlight w:val="none"/>
          <w:lang w:val="en-US" w:eastAsia="zh-CN"/>
        </w:rPr>
        <w:t>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项目服务对象满意度</w:t>
      </w:r>
      <w:r>
        <w:rPr>
          <w:rFonts w:hint="eastAsia" w:ascii="Times New Roman" w:hAnsi="Times New Roman" w:eastAsia="仿宋_GB2312" w:cs="Times New Roman"/>
          <w:sz w:val="32"/>
          <w:szCs w:val="32"/>
          <w:lang w:val="en-US" w:eastAsia="zh-CN"/>
        </w:rPr>
        <w:t>指标，指标值为</w:t>
      </w:r>
      <w:r>
        <w:rPr>
          <w:rFonts w:hint="eastAsia" w:ascii="Times New Roman" w:hAnsi="Times New Roman" w:cs="Times New Roman"/>
          <w:sz w:val="32"/>
          <w:szCs w:val="32"/>
          <w:lang w:val="en-US" w:eastAsia="zh-CN"/>
        </w:rPr>
        <w:t>≥95%</w:t>
      </w:r>
      <w:r>
        <w:rPr>
          <w:rFonts w:hint="eastAsia" w:ascii="Times New Roman" w:hAnsi="Times New Roman" w:eastAsia="仿宋_GB2312" w:cs="Times New Roman"/>
          <w:sz w:val="32"/>
          <w:szCs w:val="32"/>
          <w:lang w:val="en-US" w:eastAsia="zh-CN"/>
        </w:rPr>
        <w:t>，实际完成值为</w:t>
      </w:r>
      <w:r>
        <w:rPr>
          <w:rFonts w:hint="eastAsia" w:ascii="Times New Roman" w:hAnsi="Times New Roman" w:cs="Times New Roman"/>
          <w:sz w:val="32"/>
          <w:szCs w:val="32"/>
          <w:lang w:val="en-US" w:eastAsia="zh-CN"/>
        </w:rPr>
        <w:t>100%</w:t>
      </w:r>
      <w:r>
        <w:rPr>
          <w:rFonts w:hint="eastAsia" w:ascii="Times New Roman" w:hAnsi="Times New Roman" w:eastAsia="仿宋_GB2312" w:cs="Times New Roman"/>
          <w:sz w:val="32"/>
          <w:szCs w:val="32"/>
          <w:lang w:val="en-US" w:eastAsia="zh-CN"/>
        </w:rPr>
        <w:t>，</w:t>
      </w:r>
      <w:r>
        <w:rPr>
          <w:rFonts w:hint="eastAsia" w:ascii="仿宋_GB2312" w:hAnsi="仿宋_GB2312" w:eastAsia="仿宋_GB2312" w:cs="仿宋_GB2312"/>
          <w:b w:val="0"/>
          <w:bCs w:val="0"/>
          <w:kern w:val="2"/>
          <w:sz w:val="32"/>
          <w:szCs w:val="32"/>
          <w:highlight w:val="none"/>
          <w:lang w:val="en-US" w:eastAsia="zh-CN" w:bidi="ar-SA"/>
        </w:rPr>
        <w:t>完成率100%，</w:t>
      </w:r>
      <w:r>
        <w:rPr>
          <w:rFonts w:hint="eastAsia" w:ascii="Times New Roman" w:hAnsi="Times New Roman" w:eastAsia="仿宋_GB2312" w:cs="Times New Roman"/>
          <w:sz w:val="32"/>
          <w:szCs w:val="32"/>
          <w:lang w:val="en-US" w:eastAsia="zh-CN"/>
        </w:rPr>
        <w:t>偏差率0%。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9"/>
        <w:spacing w:line="56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质量安全监督检查费项目年初预算20万元，全年预算20万元，实际支出19.88万元，预算执行率为99.40%，项目绩效指标总体完成率为100%，</w:t>
      </w:r>
      <w:r>
        <w:rPr>
          <w:rFonts w:hint="eastAsia" w:ascii="Times New Roman" w:hAnsi="Times New Roman" w:eastAsia="仿宋_GB2312" w:cs="Times New Roman"/>
          <w:kern w:val="2"/>
          <w:sz w:val="32"/>
          <w:szCs w:val="32"/>
          <w:lang w:val="en-US" w:eastAsia="zh-Hans" w:bidi="ar-SA"/>
        </w:rPr>
        <w:t>总体</w:t>
      </w:r>
      <w:r>
        <w:rPr>
          <w:rFonts w:hint="eastAsia" w:ascii="Times New Roman" w:hAnsi="Times New Roman" w:eastAsia="仿宋_GB2312" w:cs="Times New Roman"/>
          <w:kern w:val="2"/>
          <w:sz w:val="32"/>
          <w:szCs w:val="32"/>
          <w:lang w:val="en-US" w:eastAsia="zh-CN" w:bidi="ar-SA"/>
        </w:rPr>
        <w:t>偏差率为-0.6%，产生偏差的主要原因是预算执行率未达100%。</w:t>
      </w:r>
    </w:p>
    <w:p>
      <w:pPr>
        <w:spacing w:line="560" w:lineRule="exact"/>
        <w:ind w:firstLine="640" w:firstLineChars="200"/>
        <w:rPr>
          <w:rStyle w:val="18"/>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pPr>
        <w:pStyle w:val="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2"/>
        <w:spacing w:after="0" w:line="560" w:lineRule="exact"/>
        <w:ind w:left="0" w:leftChars="0" w:firstLine="640"/>
        <w:rPr>
          <w:rFonts w:ascii="仿宋_GB2312" w:hAnsi="仿宋_GB2312" w:eastAsia="仿宋_GB2312" w:cs="仿宋_GB2312"/>
          <w:sz w:val="32"/>
          <w:szCs w:val="32"/>
        </w:rPr>
      </w:pPr>
    </w:p>
    <w:p>
      <w:pPr>
        <w:pStyle w:val="2"/>
        <w:spacing w:after="0" w:line="560" w:lineRule="exact"/>
        <w:ind w:left="0" w:leftChars="0" w:firstLine="640"/>
        <w:rPr>
          <w:rFonts w:ascii="仿宋_GB2312" w:hAnsi="仿宋_GB2312" w:eastAsia="仿宋_GB2312" w:cs="仿宋_GB2312"/>
          <w:sz w:val="32"/>
          <w:szCs w:val="32"/>
        </w:rPr>
      </w:pPr>
    </w:p>
    <w:p>
      <w:pPr>
        <w:pStyle w:val="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19"/>
        <w:ind w:firstLine="562"/>
        <w:jc w:val="center"/>
        <w:rPr>
          <w:sz w:val="28"/>
          <w:szCs w:val="40"/>
        </w:rPr>
      </w:pPr>
      <w:bookmarkStart w:id="3" w:name="_Toc30064_WPSOffice_Level1"/>
      <w:bookmarkStart w:id="4" w:name="_Toc26499_WPSOffice_Level2"/>
      <w:r>
        <w:rPr>
          <w:rFonts w:hint="eastAsia"/>
          <w:b/>
          <w:bCs/>
          <w:sz w:val="28"/>
          <w:szCs w:val="40"/>
          <w:highlight w:val="none"/>
          <w:lang w:val="en-US" w:eastAsia="zh-CN"/>
        </w:rPr>
        <w:t>质量安全监督检查费</w:t>
      </w:r>
      <w:r>
        <w:rPr>
          <w:rFonts w:hint="eastAsia"/>
          <w:b/>
          <w:bCs/>
          <w:sz w:val="28"/>
          <w:szCs w:val="40"/>
          <w:highlight w:val="none"/>
        </w:rPr>
        <w:t>项目</w:t>
      </w:r>
      <w:r>
        <w:rPr>
          <w:rFonts w:hint="eastAsia"/>
          <w:b/>
          <w:bCs/>
          <w:sz w:val="28"/>
          <w:szCs w:val="40"/>
        </w:rPr>
        <w:t>绩效评价指标体系及综合评分表</w:t>
      </w:r>
      <w:bookmarkEnd w:id="3"/>
      <w:bookmarkEnd w:id="4"/>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FC57EE-E38F-4BCC-86D7-7D7057F0DF6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49371DA4-718C-495B-9B3D-2A76DFAAD35F}"/>
  </w:font>
  <w:font w:name="华文中宋">
    <w:panose1 w:val="02010600040101010101"/>
    <w:charset w:val="86"/>
    <w:family w:val="auto"/>
    <w:pitch w:val="default"/>
    <w:sig w:usb0="00000000" w:usb1="00000000" w:usb2="00000000" w:usb3="00000000" w:csb0="00000000" w:csb1="00000000"/>
    <w:embedRegular r:id="rId3" w:fontKey="{73B01C01-38B3-45AB-ADC6-F3140D404062}"/>
  </w:font>
  <w:font w:name="方正小标宋_GBK">
    <w:panose1 w:val="03000509000000000000"/>
    <w:charset w:val="86"/>
    <w:family w:val="script"/>
    <w:pitch w:val="default"/>
    <w:sig w:usb0="00000000" w:usb1="00000000" w:usb2="00000000" w:usb3="00000000" w:csb0="00000000" w:csb1="00000000"/>
    <w:embedRegular r:id="rId4" w:fontKey="{52241C24-BB44-414C-8878-599286EA71B5}"/>
  </w:font>
  <w:font w:name="楷体_GB2312">
    <w:panose1 w:val="02010609030101010101"/>
    <w:charset w:val="86"/>
    <w:family w:val="auto"/>
    <w:pitch w:val="default"/>
    <w:sig w:usb0="00000000" w:usb1="00000000" w:usb2="00000000" w:usb3="00000000" w:csb0="00000000" w:csb1="00000000"/>
    <w:embedRegular r:id="rId5" w:fontKey="{B203515D-9456-4969-8296-B9FBEB5714F3}"/>
  </w:font>
  <w:font w:name="仿宋">
    <w:panose1 w:val="02010609060101010101"/>
    <w:charset w:val="86"/>
    <w:family w:val="modern"/>
    <w:pitch w:val="default"/>
    <w:sig w:usb0="800002BF" w:usb1="38CF7CFA" w:usb2="00000016" w:usb3="00000000" w:csb0="00040001" w:csb1="00000000"/>
    <w:embedRegular r:id="rId6" w:fontKey="{6A254FAC-6FB2-4D17-A8F9-9D5C7FA7C672}"/>
  </w:font>
  <w:font w:name="方正仿宋_GBK">
    <w:altName w:val="微软雅黑"/>
    <w:panose1 w:val="03000509000000000000"/>
    <w:charset w:val="86"/>
    <w:family w:val="auto"/>
    <w:pitch w:val="default"/>
    <w:sig w:usb0="00000000" w:usb1="00000000" w:usb2="00000000" w:usb3="00000000" w:csb0="00040000" w:csb1="00000000"/>
    <w:embedRegular r:id="rId7" w:fontKey="{EADC0968-ED40-4B94-8F08-D5D5B386263E}"/>
  </w:font>
  <w:font w:name="楷体">
    <w:panose1 w:val="02010609060101010101"/>
    <w:charset w:val="86"/>
    <w:family w:val="modern"/>
    <w:pitch w:val="default"/>
    <w:sig w:usb0="800002BF" w:usb1="38CF7CFA" w:usb2="00000016" w:usb3="00000000" w:csb0="00040001" w:csb1="00000000"/>
    <w:embedRegular r:id="rId8" w:fontKey="{10CC7788-E6BD-43C2-ACCC-563B4014F6D5}"/>
  </w:font>
  <w:font w:name="方正小标宋简体">
    <w:panose1 w:val="03000509000000000000"/>
    <w:charset w:val="86"/>
    <w:family w:val="auto"/>
    <w:pitch w:val="default"/>
    <w:sig w:usb0="00000000" w:usb1="00000000" w:usb2="00000000" w:usb3="00000000" w:csb0="00000000" w:csb1="00000000"/>
    <w:embedRegular r:id="rId9" w:fontKey="{1F98AC52-F72C-4D84-98D4-8A46964348CA}"/>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53E4A03"/>
    <w:rsid w:val="07397B77"/>
    <w:rsid w:val="13471461"/>
    <w:rsid w:val="13B90F01"/>
    <w:rsid w:val="181066D2"/>
    <w:rsid w:val="19FB0CBC"/>
    <w:rsid w:val="1C671E73"/>
    <w:rsid w:val="2E271EA0"/>
    <w:rsid w:val="33F519C4"/>
    <w:rsid w:val="35304FB6"/>
    <w:rsid w:val="38CA40DD"/>
    <w:rsid w:val="395F2B56"/>
    <w:rsid w:val="3B4C2A9E"/>
    <w:rsid w:val="3B536163"/>
    <w:rsid w:val="3BECE841"/>
    <w:rsid w:val="3FF7797D"/>
    <w:rsid w:val="468E3747"/>
    <w:rsid w:val="50582F72"/>
    <w:rsid w:val="51B55B99"/>
    <w:rsid w:val="52A43BE4"/>
    <w:rsid w:val="54714509"/>
    <w:rsid w:val="5BFF6039"/>
    <w:rsid w:val="5D76A616"/>
    <w:rsid w:val="5D7F20B9"/>
    <w:rsid w:val="5DAC7D0E"/>
    <w:rsid w:val="5F98B5AF"/>
    <w:rsid w:val="5FFE8511"/>
    <w:rsid w:val="5FFEACE2"/>
    <w:rsid w:val="643EE26D"/>
    <w:rsid w:val="6F5C41AC"/>
    <w:rsid w:val="6FAF6C78"/>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3"/>
    <w:qFormat/>
    <w:uiPriority w:val="0"/>
    <w:rPr>
      <w:b/>
      <w:bCs/>
    </w:rPr>
  </w:style>
  <w:style w:type="paragraph" w:styleId="13">
    <w:name w:val="Body Text First Indent"/>
    <w:basedOn w:val="6"/>
    <w:qFormat/>
    <w:uiPriority w:val="0"/>
    <w:pPr>
      <w:spacing w:after="0"/>
      <w:ind w:firstLine="20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5"/>
    <w:qFormat/>
    <w:uiPriority w:val="0"/>
    <w:rPr>
      <w:rFonts w:ascii="Times New Roman" w:hAnsi="Times New Roman" w:eastAsia="宋体" w:cs="Times New Roman"/>
      <w:kern w:val="2"/>
      <w:sz w:val="21"/>
      <w:szCs w:val="24"/>
    </w:rPr>
  </w:style>
  <w:style w:type="character" w:customStyle="1" w:styleId="23">
    <w:name w:val="批注主题 字符"/>
    <w:basedOn w:val="22"/>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10550</Words>
  <Characters>11031</Characters>
  <Lines>58</Lines>
  <Paragraphs>16</Paragraphs>
  <TotalTime>3</TotalTime>
  <ScaleCrop>false</ScaleCrop>
  <LinksUpToDate>false</LinksUpToDate>
  <CharactersWithSpaces>11056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2025-08-08T09:34:25Z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292FDA5D28EE4A7E8ABFF775F74ACA6D_13</vt:lpwstr>
  </property>
</Properties>
</file>