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AECE8">
      <w:pPr>
        <w:spacing w:line="540" w:lineRule="exact"/>
        <w:jc w:val="center"/>
        <w:rPr>
          <w:rFonts w:eastAsia="华文中宋"/>
          <w:b/>
          <w:kern w:val="0"/>
          <w:sz w:val="52"/>
          <w:szCs w:val="52"/>
        </w:rPr>
      </w:pPr>
      <w:bookmarkStart w:id="34" w:name="_GoBack"/>
      <w:bookmarkEnd w:id="34"/>
    </w:p>
    <w:p w14:paraId="2ABE70D7">
      <w:pPr>
        <w:spacing w:line="540" w:lineRule="exact"/>
        <w:rPr>
          <w:rFonts w:eastAsia="华文中宋"/>
          <w:b/>
          <w:kern w:val="0"/>
          <w:sz w:val="52"/>
          <w:szCs w:val="52"/>
        </w:rPr>
      </w:pPr>
    </w:p>
    <w:p w14:paraId="256555BC">
      <w:pPr>
        <w:spacing w:line="540" w:lineRule="exact"/>
        <w:jc w:val="center"/>
        <w:rPr>
          <w:rFonts w:eastAsia="华文中宋"/>
          <w:b/>
          <w:kern w:val="0"/>
          <w:sz w:val="52"/>
          <w:szCs w:val="52"/>
        </w:rPr>
      </w:pPr>
    </w:p>
    <w:p w14:paraId="2319F200">
      <w:pPr>
        <w:spacing w:line="540" w:lineRule="exact"/>
        <w:jc w:val="center"/>
        <w:rPr>
          <w:rFonts w:eastAsia="华文中宋"/>
          <w:b/>
          <w:kern w:val="0"/>
          <w:sz w:val="52"/>
          <w:szCs w:val="52"/>
        </w:rPr>
      </w:pPr>
    </w:p>
    <w:p w14:paraId="0900CD09">
      <w:pPr>
        <w:bidi w:val="0"/>
        <w:jc w:val="center"/>
        <w:rPr>
          <w:rFonts w:hint="eastAsia" w:ascii="方正小标宋_GBK" w:hAnsi="方正小标宋_GBK" w:eastAsia="方正小标宋_GBK" w:cs="方正小标宋_GBK"/>
          <w:sz w:val="48"/>
          <w:szCs w:val="48"/>
        </w:rPr>
      </w:pPr>
      <w:r>
        <w:rPr>
          <w:rFonts w:hint="eastAsia" w:ascii="方正小标宋_GBK" w:hAnsi="方正小标宋_GBK" w:eastAsia="方正小标宋_GBK" w:cs="方正小标宋_GBK"/>
          <w:sz w:val="48"/>
          <w:szCs w:val="48"/>
          <w:lang w:val="en-US" w:eastAsia="zh-CN"/>
        </w:rPr>
        <w:t>弥补成本性支出经费</w:t>
      </w:r>
      <w:r>
        <w:rPr>
          <w:rFonts w:hint="eastAsia" w:ascii="方正小标宋_GBK" w:hAnsi="方正小标宋_GBK" w:eastAsia="方正小标宋_GBK" w:cs="方正小标宋_GBK"/>
          <w:sz w:val="48"/>
          <w:szCs w:val="48"/>
        </w:rPr>
        <w:t>资金项目支出绩效评价报告</w:t>
      </w:r>
    </w:p>
    <w:p w14:paraId="12F95F5E">
      <w:pPr>
        <w:spacing w:line="540" w:lineRule="exact"/>
        <w:jc w:val="center"/>
        <w:outlineLvl w:val="9"/>
        <w:rPr>
          <w:rFonts w:eastAsia="华文中宋"/>
          <w:b/>
          <w:kern w:val="0"/>
          <w:sz w:val="52"/>
          <w:szCs w:val="52"/>
        </w:rPr>
      </w:pPr>
    </w:p>
    <w:p w14:paraId="41F82C5C">
      <w:pPr>
        <w:spacing w:line="540" w:lineRule="exact"/>
        <w:jc w:val="center"/>
        <w:outlineLvl w:val="9"/>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16F1C9E1">
      <w:pPr>
        <w:spacing w:line="540" w:lineRule="exact"/>
        <w:jc w:val="center"/>
        <w:outlineLvl w:val="9"/>
        <w:rPr>
          <w:rFonts w:eastAsia="仿宋_GB2312"/>
          <w:kern w:val="0"/>
          <w:sz w:val="30"/>
          <w:szCs w:val="30"/>
        </w:rPr>
      </w:pPr>
    </w:p>
    <w:p w14:paraId="2424C4CA">
      <w:pPr>
        <w:spacing w:line="540" w:lineRule="exact"/>
        <w:jc w:val="center"/>
        <w:outlineLvl w:val="9"/>
        <w:rPr>
          <w:rFonts w:eastAsia="仿宋_GB2312"/>
          <w:kern w:val="0"/>
          <w:sz w:val="30"/>
          <w:szCs w:val="30"/>
        </w:rPr>
      </w:pPr>
    </w:p>
    <w:p w14:paraId="21F3415C">
      <w:pPr>
        <w:spacing w:line="540" w:lineRule="exact"/>
        <w:jc w:val="center"/>
        <w:outlineLvl w:val="9"/>
        <w:rPr>
          <w:rFonts w:eastAsia="仿宋_GB2312"/>
          <w:kern w:val="0"/>
          <w:sz w:val="30"/>
          <w:szCs w:val="30"/>
        </w:rPr>
      </w:pPr>
    </w:p>
    <w:p w14:paraId="1D86AD65">
      <w:pPr>
        <w:pStyle w:val="2"/>
        <w:outlineLvl w:val="9"/>
      </w:pPr>
    </w:p>
    <w:p w14:paraId="7B5B651C">
      <w:pPr>
        <w:spacing w:line="540" w:lineRule="exact"/>
        <w:jc w:val="center"/>
        <w:outlineLvl w:val="9"/>
        <w:rPr>
          <w:rFonts w:eastAsia="仿宋_GB2312"/>
          <w:kern w:val="0"/>
          <w:sz w:val="30"/>
          <w:szCs w:val="30"/>
        </w:rPr>
      </w:pPr>
    </w:p>
    <w:p w14:paraId="645B7219">
      <w:pPr>
        <w:spacing w:line="540" w:lineRule="exact"/>
        <w:outlineLvl w:val="9"/>
        <w:rPr>
          <w:rFonts w:eastAsia="仿宋_GB2312"/>
          <w:kern w:val="0"/>
          <w:sz w:val="30"/>
          <w:szCs w:val="30"/>
        </w:rPr>
      </w:pPr>
    </w:p>
    <w:p w14:paraId="28685FF2">
      <w:pPr>
        <w:spacing w:line="700" w:lineRule="exact"/>
        <w:ind w:firstLine="1440" w:firstLineChars="400"/>
        <w:jc w:val="left"/>
        <w:outlineLvl w:val="9"/>
        <w:rPr>
          <w:rFonts w:eastAsia="仿宋_GB2312"/>
          <w:kern w:val="0"/>
          <w:sz w:val="36"/>
          <w:szCs w:val="36"/>
        </w:rPr>
      </w:pPr>
      <w:r>
        <w:rPr>
          <w:rFonts w:eastAsia="仿宋_GB2312"/>
          <w:kern w:val="0"/>
          <w:sz w:val="36"/>
          <w:szCs w:val="36"/>
        </w:rPr>
        <w:t>项目名称：</w:t>
      </w:r>
      <w:r>
        <w:rPr>
          <w:rFonts w:hint="eastAsia" w:ascii="Times New Roman" w:hAnsi="Times New Roman" w:eastAsia="仿宋_GB2312" w:cs="Times New Roman"/>
          <w:kern w:val="0"/>
          <w:sz w:val="36"/>
          <w:szCs w:val="36"/>
          <w:lang w:val="en-US" w:eastAsia="zh-CN"/>
        </w:rPr>
        <w:t>弥补</w:t>
      </w:r>
      <w:r>
        <w:rPr>
          <w:rFonts w:hint="eastAsia" w:ascii="Times New Roman" w:hAnsi="Times New Roman" w:eastAsia="仿宋_GB2312" w:cs="Times New Roman"/>
          <w:kern w:val="0"/>
          <w:sz w:val="36"/>
          <w:szCs w:val="36"/>
        </w:rPr>
        <w:t>成本性支出</w:t>
      </w:r>
      <w:r>
        <w:rPr>
          <w:rFonts w:hint="eastAsia" w:ascii="Times New Roman" w:hAnsi="Times New Roman" w:eastAsia="仿宋_GB2312" w:cs="Times New Roman"/>
          <w:kern w:val="0"/>
          <w:sz w:val="36"/>
          <w:szCs w:val="36"/>
          <w:lang w:val="en-US" w:eastAsia="zh-CN"/>
        </w:rPr>
        <w:t>经费</w:t>
      </w:r>
    </w:p>
    <w:p w14:paraId="0D236101">
      <w:pPr>
        <w:spacing w:line="700" w:lineRule="exact"/>
        <w:ind w:firstLine="1440" w:firstLineChars="400"/>
        <w:jc w:val="left"/>
        <w:outlineLvl w:val="9"/>
        <w:rPr>
          <w:rFonts w:eastAsia="仿宋_GB2312"/>
          <w:kern w:val="0"/>
          <w:sz w:val="36"/>
          <w:szCs w:val="36"/>
        </w:rPr>
      </w:pPr>
      <w:r>
        <w:rPr>
          <w:rFonts w:eastAsia="仿宋_GB2312"/>
          <w:kern w:val="0"/>
          <w:sz w:val="36"/>
          <w:szCs w:val="36"/>
        </w:rPr>
        <w:t>实施单位（公章）：</w:t>
      </w:r>
      <w:r>
        <w:rPr>
          <w:rFonts w:hint="eastAsia" w:ascii="Times New Roman" w:hAnsi="Times New Roman" w:eastAsia="仿宋_GB2312" w:cs="Times New Roman"/>
          <w:kern w:val="0"/>
          <w:sz w:val="36"/>
          <w:szCs w:val="36"/>
        </w:rPr>
        <w:t>新疆安装技工学校</w:t>
      </w:r>
    </w:p>
    <w:p w14:paraId="32A6BF02">
      <w:pPr>
        <w:spacing w:line="700" w:lineRule="exact"/>
        <w:ind w:firstLine="1440" w:firstLineChars="400"/>
        <w:jc w:val="left"/>
        <w:outlineLvl w:val="9"/>
        <w:rPr>
          <w:rFonts w:eastAsia="仿宋_GB2312"/>
          <w:kern w:val="0"/>
          <w:sz w:val="36"/>
          <w:szCs w:val="36"/>
        </w:rPr>
      </w:pPr>
      <w:r>
        <w:rPr>
          <w:rFonts w:eastAsia="仿宋_GB2312"/>
          <w:kern w:val="0"/>
          <w:sz w:val="36"/>
          <w:szCs w:val="36"/>
        </w:rPr>
        <w:t>主管部门（公章）：</w:t>
      </w:r>
      <w:r>
        <w:rPr>
          <w:rFonts w:hint="eastAsia" w:ascii="Times New Roman" w:hAnsi="Times New Roman" w:eastAsia="仿宋_GB2312" w:cs="Times New Roman"/>
          <w:kern w:val="0"/>
          <w:sz w:val="36"/>
          <w:szCs w:val="36"/>
        </w:rPr>
        <w:t>自治区工业和信息化厅</w:t>
      </w:r>
    </w:p>
    <w:p w14:paraId="7FEF0450">
      <w:pPr>
        <w:spacing w:line="700" w:lineRule="exact"/>
        <w:ind w:firstLine="1440" w:firstLineChars="400"/>
        <w:jc w:val="left"/>
        <w:outlineLvl w:val="9"/>
        <w:rPr>
          <w:rFonts w:eastAsia="仿宋_GB2312"/>
          <w:kern w:val="0"/>
          <w:sz w:val="36"/>
          <w:szCs w:val="36"/>
        </w:rPr>
      </w:pPr>
      <w:r>
        <w:rPr>
          <w:rFonts w:eastAsia="仿宋_GB2312"/>
          <w:kern w:val="0"/>
          <w:sz w:val="36"/>
          <w:szCs w:val="36"/>
        </w:rPr>
        <w:t>项目负责人（签章）：</w:t>
      </w:r>
      <w:r>
        <w:rPr>
          <w:rFonts w:hint="eastAsia" w:ascii="Times New Roman" w:hAnsi="Times New Roman" w:eastAsia="仿宋_GB2312" w:cs="Times New Roman"/>
          <w:kern w:val="0"/>
          <w:sz w:val="36"/>
          <w:szCs w:val="36"/>
          <w:lang w:val="en-US" w:eastAsia="zh-CN"/>
        </w:rPr>
        <w:t>吕文翠</w:t>
      </w:r>
    </w:p>
    <w:p w14:paraId="3B136F5C">
      <w:pPr>
        <w:spacing w:line="700" w:lineRule="exact"/>
        <w:ind w:firstLine="1440" w:firstLineChars="400"/>
        <w:jc w:val="left"/>
        <w:outlineLvl w:val="9"/>
        <w:rPr>
          <w:rFonts w:eastAsia="仿宋_GB2312"/>
          <w:kern w:val="0"/>
          <w:sz w:val="36"/>
          <w:szCs w:val="36"/>
        </w:rPr>
      </w:pPr>
      <w:r>
        <w:rPr>
          <w:rFonts w:eastAsia="仿宋_GB2312"/>
          <w:kern w:val="0"/>
          <w:sz w:val="36"/>
          <w:szCs w:val="36"/>
        </w:rPr>
        <w:t>填报时间：</w:t>
      </w:r>
      <w:r>
        <w:rPr>
          <w:rFonts w:hint="eastAsia"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4</w:t>
      </w:r>
      <w:r>
        <w:rPr>
          <w:rFonts w:eastAsia="仿宋_GB2312"/>
          <w:kern w:val="0"/>
          <w:sz w:val="36"/>
          <w:szCs w:val="36"/>
        </w:rPr>
        <w:t>年</w:t>
      </w:r>
      <w:r>
        <w:rPr>
          <w:rFonts w:hint="eastAsia" w:ascii="Times New Roman" w:hAnsi="Times New Roman" w:eastAsia="仿宋_GB2312" w:cs="Times New Roman"/>
          <w:kern w:val="0"/>
          <w:sz w:val="36"/>
          <w:szCs w:val="36"/>
          <w:lang w:val="en-US" w:eastAsia="zh-CN"/>
        </w:rPr>
        <w:t>0</w:t>
      </w:r>
      <w:r>
        <w:rPr>
          <w:rFonts w:hint="eastAsia" w:eastAsia="仿宋_GB2312" w:cs="Times New Roman"/>
          <w:kern w:val="0"/>
          <w:sz w:val="36"/>
          <w:szCs w:val="36"/>
          <w:lang w:val="en-US" w:eastAsia="zh-CN"/>
        </w:rPr>
        <w:t>4</w:t>
      </w:r>
      <w:r>
        <w:rPr>
          <w:rFonts w:eastAsia="仿宋_GB2312"/>
          <w:kern w:val="0"/>
          <w:sz w:val="36"/>
          <w:szCs w:val="36"/>
        </w:rPr>
        <w:t>月</w:t>
      </w:r>
      <w:r>
        <w:rPr>
          <w:rFonts w:hint="eastAsia" w:eastAsia="仿宋_GB2312" w:cs="Times New Roman"/>
          <w:kern w:val="0"/>
          <w:sz w:val="36"/>
          <w:szCs w:val="36"/>
          <w:lang w:val="en-US" w:eastAsia="zh-CN"/>
        </w:rPr>
        <w:t>15</w:t>
      </w:r>
      <w:r>
        <w:rPr>
          <w:rFonts w:eastAsia="仿宋_GB2312"/>
          <w:kern w:val="0"/>
          <w:sz w:val="36"/>
          <w:szCs w:val="36"/>
        </w:rPr>
        <w:t>日</w:t>
      </w:r>
    </w:p>
    <w:p w14:paraId="67473801">
      <w:pPr>
        <w:spacing w:line="540" w:lineRule="exact"/>
        <w:jc w:val="center"/>
        <w:rPr>
          <w:rFonts w:eastAsia="仿宋_GB2312"/>
          <w:kern w:val="0"/>
          <w:sz w:val="30"/>
          <w:szCs w:val="30"/>
        </w:rPr>
      </w:pPr>
    </w:p>
    <w:p w14:paraId="77AFC869">
      <w:pPr>
        <w:spacing w:line="540" w:lineRule="exact"/>
        <w:rPr>
          <w:rStyle w:val="17"/>
          <w:rFonts w:eastAsia="黑体"/>
          <w:b w:val="0"/>
          <w:spacing w:val="-4"/>
          <w:sz w:val="32"/>
          <w:szCs w:val="32"/>
        </w:rPr>
      </w:pPr>
    </w:p>
    <w:p w14:paraId="09F75B17">
      <w:pPr>
        <w:spacing w:line="540" w:lineRule="exact"/>
        <w:ind w:firstLine="640"/>
        <w:rPr>
          <w:rStyle w:val="17"/>
          <w:rFonts w:eastAsia="黑体"/>
          <w:b w:val="0"/>
          <w:spacing w:val="-4"/>
          <w:sz w:val="32"/>
          <w:szCs w:val="32"/>
        </w:rPr>
      </w:pPr>
    </w:p>
    <w:sdt>
      <w:sdtPr>
        <w:rPr>
          <w:rFonts w:ascii="宋体" w:hAnsi="宋体" w:eastAsia="宋体" w:cs="Times New Roman"/>
          <w:b/>
          <w:bCs/>
          <w:sz w:val="32"/>
          <w:szCs w:val="32"/>
          <w:lang w:val="en-US" w:eastAsia="zh-CN"/>
        </w:rPr>
        <w:id w:val="147457988"/>
        <w15:color w:val="DBDBDB"/>
        <w:docPartObj>
          <w:docPartGallery w:val="Table of Contents"/>
          <w:docPartUnique/>
        </w:docPartObj>
      </w:sdtPr>
      <w:sdtEndPr>
        <w:rPr>
          <w:rFonts w:ascii="宋体" w:hAnsi="宋体" w:eastAsia="宋体" w:cs="Times New Roman"/>
          <w:b/>
          <w:bCs/>
          <w:kern w:val="2"/>
          <w:sz w:val="21"/>
          <w:szCs w:val="24"/>
          <w:lang w:val="en-US" w:eastAsia="zh-CN" w:bidi="ar-SA"/>
        </w:rPr>
      </w:sdtEndPr>
      <w:sdtContent>
        <w:p w14:paraId="6D7B0155">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eastAsia="宋体" w:cs="Times New Roman"/>
              <w:b/>
              <w:bCs/>
              <w:sz w:val="32"/>
              <w:szCs w:val="32"/>
            </w:rPr>
          </w:pPr>
          <w:r>
            <w:rPr>
              <w:rFonts w:ascii="宋体" w:hAnsi="宋体" w:eastAsia="宋体" w:cs="Times New Roman"/>
              <w:b/>
              <w:bCs/>
              <w:sz w:val="32"/>
              <w:szCs w:val="32"/>
            </w:rPr>
            <w:t>目录</w:t>
          </w:r>
        </w:p>
        <w:p w14:paraId="3ABE1197">
          <w:pPr>
            <w:pStyle w:val="10"/>
            <w:keepNext w:val="0"/>
            <w:keepLines w:val="0"/>
            <w:pageBreakBefore w:val="0"/>
            <w:widowControl/>
            <w:tabs>
              <w:tab w:val="right" w:leader="dot" w:pos="8844"/>
            </w:tabs>
            <w:kinsoku/>
            <w:wordWrap/>
            <w:overflowPunct/>
            <w:topLinePunct w:val="0"/>
            <w:autoSpaceDE/>
            <w:autoSpaceDN/>
            <w:bidi w:val="0"/>
            <w:adjustRightInd/>
            <w:snapToGrid/>
            <w:spacing w:after="100" w:line="560" w:lineRule="exact"/>
            <w:jc w:val="lef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_Toc31806 </w:instrText>
          </w:r>
          <w:r>
            <w:rPr>
              <w:rFonts w:hint="eastAsia" w:ascii="宋体" w:hAnsi="宋体" w:eastAsia="宋体" w:cs="宋体"/>
            </w:rPr>
            <w:fldChar w:fldCharType="separate"/>
          </w:r>
          <w:r>
            <w:rPr>
              <w:rFonts w:hint="eastAsia" w:ascii="宋体" w:hAnsi="宋体" w:eastAsia="宋体" w:cs="宋体"/>
            </w:rPr>
            <w:t>一、</w:t>
          </w:r>
          <w:r>
            <w:rPr>
              <w:rFonts w:hint="eastAsia" w:ascii="黑体" w:hAnsi="黑体" w:eastAsia="黑体" w:cs="Times New Roman"/>
              <w:spacing w:val="-4"/>
              <w:kern w:val="0"/>
              <w:sz w:val="22"/>
              <w:szCs w:val="32"/>
            </w:rPr>
            <w:t>基本情况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_Toc31806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35C20B1">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_Toc16821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（一）项目概况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_Toc16821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175CF4F2">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_Toc17572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（二）项目绩效目标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_Toc17572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20A0A7F">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_Toc13260 </w:instrText>
          </w:r>
          <w:r>
            <w:rPr>
              <w:rFonts w:hint="eastAsia" w:ascii="宋体" w:hAnsi="宋体" w:eastAsia="宋体" w:cs="宋体"/>
            </w:rPr>
            <w:fldChar w:fldCharType="separate"/>
          </w:r>
          <w:r>
            <w:rPr>
              <w:rFonts w:hint="eastAsia" w:ascii="宋体" w:hAnsi="宋体" w:eastAsia="宋体" w:cs="宋体"/>
            </w:rPr>
            <w:t>二、</w:t>
          </w:r>
          <w:r>
            <w:rPr>
              <w:rFonts w:hint="eastAsia" w:ascii="黑体" w:hAnsi="黑体" w:eastAsia="黑体" w:cs="Times New Roman"/>
              <w:spacing w:val="-4"/>
              <w:kern w:val="0"/>
              <w:sz w:val="22"/>
              <w:szCs w:val="32"/>
            </w:rPr>
            <w:t>绩效评价工作开展情况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_Toc13260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129D73D7">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_Toc26790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（一）绩效评价目的、对象和范围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_Toc26790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3201855D">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_Toc17555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（二）绩效评价原则、评价指标体系（详情见表1）、评价方法、评价标准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_Toc17555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3838F2AF">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_Toc32012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（三） 绩效评价工作过程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_Toc32012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6C045F07">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_Toc31702 </w:instrText>
          </w:r>
          <w:r>
            <w:rPr>
              <w:rFonts w:hint="eastAsia" w:ascii="宋体" w:hAnsi="宋体" w:eastAsia="宋体" w:cs="宋体"/>
            </w:rPr>
            <w:fldChar w:fldCharType="separate"/>
          </w:r>
          <w:r>
            <w:rPr>
              <w:rFonts w:hint="eastAsia" w:ascii="黑体" w:hAnsi="黑体" w:eastAsia="黑体" w:cs="Times New Roman"/>
              <w:spacing w:val="-4"/>
              <w:kern w:val="0"/>
              <w:sz w:val="22"/>
              <w:szCs w:val="32"/>
            </w:rPr>
            <w:t>三、 综合评价情况及评价结论（附相关评分表）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_Toc31702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18C59117">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_Toc8200 </w:instrText>
          </w:r>
          <w:r>
            <w:rPr>
              <w:rFonts w:hint="eastAsia" w:ascii="宋体" w:hAnsi="宋体" w:eastAsia="宋体" w:cs="宋体"/>
            </w:rPr>
            <w:fldChar w:fldCharType="separate"/>
          </w:r>
          <w:r>
            <w:rPr>
              <w:rFonts w:hint="eastAsia" w:ascii="楷体" w:hAnsi="楷体" w:eastAsia="楷体" w:cs="仿宋_GB2312"/>
              <w:spacing w:val="-4"/>
              <w:kern w:val="0"/>
              <w:sz w:val="22"/>
              <w:szCs w:val="32"/>
              <w:lang w:eastAsia="zh-CN"/>
            </w:rPr>
            <w:t>（</w:t>
          </w:r>
          <w:r>
            <w:rPr>
              <w:rFonts w:hint="eastAsia" w:ascii="楷体" w:hAnsi="楷体" w:eastAsia="楷体" w:cs="仿宋_GB2312"/>
              <w:spacing w:val="-4"/>
              <w:kern w:val="0"/>
              <w:sz w:val="22"/>
              <w:szCs w:val="32"/>
              <w:lang w:val="en-US" w:eastAsia="zh-CN"/>
            </w:rPr>
            <w:t>一</w:t>
          </w:r>
          <w:r>
            <w:rPr>
              <w:rFonts w:hint="eastAsia" w:ascii="楷体" w:hAnsi="楷体" w:eastAsia="楷体" w:cs="仿宋_GB2312"/>
              <w:spacing w:val="-4"/>
              <w:kern w:val="0"/>
              <w:sz w:val="22"/>
              <w:szCs w:val="32"/>
              <w:lang w:eastAsia="zh-CN"/>
            </w:rPr>
            <w:t>）</w:t>
          </w:r>
          <w:r>
            <w:rPr>
              <w:rFonts w:hint="eastAsia" w:ascii="楷体" w:hAnsi="楷体" w:eastAsia="楷体" w:cs="仿宋_GB2312"/>
              <w:spacing w:val="-4"/>
              <w:kern w:val="0"/>
              <w:sz w:val="22"/>
              <w:szCs w:val="32"/>
              <w:lang w:val="en-US" w:eastAsia="zh-CN"/>
            </w:rPr>
            <w:t>评价情况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_Toc8200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2CAA4DF">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_Toc17964 </w:instrText>
          </w:r>
          <w:r>
            <w:rPr>
              <w:rFonts w:hint="eastAsia" w:ascii="宋体" w:hAnsi="宋体" w:eastAsia="宋体" w:cs="宋体"/>
            </w:rPr>
            <w:fldChar w:fldCharType="separate"/>
          </w:r>
          <w:r>
            <w:rPr>
              <w:rFonts w:hint="eastAsia" w:ascii="楷体" w:hAnsi="楷体" w:eastAsia="楷体" w:cs="仿宋_GB2312"/>
              <w:spacing w:val="-4"/>
              <w:kern w:val="0"/>
              <w:sz w:val="22"/>
              <w:szCs w:val="32"/>
              <w:lang w:val="en-US" w:eastAsia="zh-CN"/>
            </w:rPr>
            <w:t>（二） 评价结论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_Toc17964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22A8E562">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_Toc32325 </w:instrText>
          </w:r>
          <w:r>
            <w:rPr>
              <w:rFonts w:hint="eastAsia" w:ascii="宋体" w:hAnsi="宋体" w:eastAsia="宋体" w:cs="宋体"/>
            </w:rPr>
            <w:fldChar w:fldCharType="separate"/>
          </w:r>
          <w:r>
            <w:rPr>
              <w:rFonts w:hint="eastAsia" w:ascii="黑体" w:hAnsi="黑体" w:eastAsia="黑体" w:cs="Times New Roman"/>
              <w:spacing w:val="-4"/>
              <w:kern w:val="0"/>
              <w:sz w:val="22"/>
              <w:szCs w:val="32"/>
            </w:rPr>
            <w:t>四、绩效评价指标分析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_Toc32325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1FFF7B70">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_Toc28250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（一）项目决策情况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_Toc28250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14:paraId="4C7514A1">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_Toc19755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（二） 项目过程情况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_Toc19755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334B617C">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_Toc31484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（三） 项目产出</w:t>
          </w:r>
          <w:r>
            <w:rPr>
              <w:rFonts w:hint="eastAsia" w:ascii="楷体" w:hAnsi="楷体" w:eastAsia="楷体" w:cs="仿宋_GB2312"/>
              <w:spacing w:val="-4"/>
              <w:kern w:val="0"/>
              <w:sz w:val="22"/>
              <w:szCs w:val="32"/>
              <w:lang w:val="en-US" w:eastAsia="zh-CN"/>
            </w:rPr>
            <w:t>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_Toc31484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01010ADC">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_Toc19568 </w:instrText>
          </w:r>
          <w:r>
            <w:rPr>
              <w:rFonts w:hint="eastAsia" w:ascii="宋体" w:hAnsi="宋体" w:eastAsia="宋体" w:cs="宋体"/>
            </w:rPr>
            <w:fldChar w:fldCharType="separate"/>
          </w:r>
          <w:r>
            <w:rPr>
              <w:rFonts w:hint="eastAsia" w:ascii="楷体" w:hAnsi="楷体" w:eastAsia="楷体" w:cs="仿宋_GB2312"/>
              <w:spacing w:val="-4"/>
              <w:kern w:val="0"/>
              <w:sz w:val="22"/>
              <w:szCs w:val="32"/>
              <w:lang w:val="en-US" w:eastAsia="zh-CN"/>
            </w:rPr>
            <w:t>（四） 项目效益情况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_Toc19568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14:paraId="1C8E398F">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_Toc23116 </w:instrText>
          </w:r>
          <w:r>
            <w:rPr>
              <w:rFonts w:hint="eastAsia" w:ascii="宋体" w:hAnsi="宋体" w:eastAsia="宋体" w:cs="宋体"/>
            </w:rPr>
            <w:fldChar w:fldCharType="separate"/>
          </w:r>
          <w:r>
            <w:rPr>
              <w:rFonts w:hint="eastAsia" w:ascii="黑体" w:hAnsi="黑体" w:eastAsia="黑体" w:cs="Times New Roman"/>
              <w:spacing w:val="-4"/>
              <w:kern w:val="0"/>
              <w:sz w:val="22"/>
              <w:szCs w:val="32"/>
              <w:lang w:eastAsia="zh-Hans"/>
            </w:rPr>
            <w:t>五、预算执行进度与绩效指标总体完成率偏差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_Toc23116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407897B4">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_Toc12609 </w:instrText>
          </w:r>
          <w:r>
            <w:rPr>
              <w:rFonts w:hint="eastAsia" w:ascii="宋体" w:hAnsi="宋体" w:eastAsia="宋体" w:cs="宋体"/>
            </w:rPr>
            <w:fldChar w:fldCharType="separate"/>
          </w:r>
          <w:r>
            <w:rPr>
              <w:rFonts w:hint="eastAsia" w:ascii="黑体" w:hAnsi="黑体" w:eastAsia="黑体" w:cs="Times New Roman"/>
              <w:spacing w:val="-4"/>
              <w:kern w:val="0"/>
              <w:sz w:val="22"/>
              <w:szCs w:val="32"/>
              <w:lang w:eastAsia="zh-Hans"/>
            </w:rPr>
            <w:t>六</w:t>
          </w:r>
          <w:r>
            <w:rPr>
              <w:rFonts w:hint="eastAsia" w:ascii="黑体" w:hAnsi="黑体" w:eastAsia="黑体" w:cs="Times New Roman"/>
              <w:spacing w:val="-4"/>
              <w:kern w:val="0"/>
              <w:sz w:val="22"/>
              <w:szCs w:val="32"/>
            </w:rPr>
            <w:t>、主要经验及做法、存在的问题及原因分析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_Toc12609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3B617BCE">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_Toc21817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（一）主要经验及做法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_Toc21817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19E4F341">
          <w:pPr>
            <w:pStyle w:val="11"/>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_Toc12153 </w:instrText>
          </w:r>
          <w:r>
            <w:rPr>
              <w:rFonts w:hint="eastAsia" w:ascii="宋体" w:hAnsi="宋体" w:eastAsia="宋体" w:cs="宋体"/>
            </w:rPr>
            <w:fldChar w:fldCharType="separate"/>
          </w:r>
          <w:r>
            <w:rPr>
              <w:rFonts w:hint="eastAsia" w:ascii="楷体" w:hAnsi="楷体" w:eastAsia="楷体" w:cs="仿宋_GB2312"/>
              <w:spacing w:val="-4"/>
              <w:kern w:val="0"/>
              <w:sz w:val="22"/>
              <w:szCs w:val="32"/>
            </w:rPr>
            <w:t>（二） 存在的问题及原因分析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_Toc12153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2159F36E">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_Toc19508 </w:instrText>
          </w:r>
          <w:r>
            <w:rPr>
              <w:rFonts w:hint="eastAsia" w:ascii="宋体" w:hAnsi="宋体" w:eastAsia="宋体" w:cs="宋体"/>
            </w:rPr>
            <w:fldChar w:fldCharType="separate"/>
          </w:r>
          <w:r>
            <w:rPr>
              <w:rFonts w:hint="eastAsia" w:ascii="黑体" w:hAnsi="黑体" w:eastAsia="黑体" w:cs="Times New Roman"/>
              <w:spacing w:val="-4"/>
              <w:kern w:val="0"/>
              <w:sz w:val="22"/>
              <w:szCs w:val="32"/>
              <w:lang w:eastAsia="zh-Hans"/>
            </w:rPr>
            <w:t>七、</w:t>
          </w:r>
          <w:r>
            <w:rPr>
              <w:rFonts w:hint="eastAsia" w:ascii="黑体" w:hAnsi="黑体" w:eastAsia="黑体" w:cs="Times New Roman"/>
              <w:spacing w:val="-4"/>
              <w:kern w:val="0"/>
              <w:sz w:val="22"/>
              <w:szCs w:val="32"/>
            </w:rPr>
            <w:t>有关建议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_Toc19508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616004C4">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_Toc14783 </w:instrText>
          </w:r>
          <w:r>
            <w:rPr>
              <w:rFonts w:hint="eastAsia" w:ascii="宋体" w:hAnsi="宋体" w:eastAsia="宋体" w:cs="宋体"/>
            </w:rPr>
            <w:fldChar w:fldCharType="separate"/>
          </w:r>
          <w:r>
            <w:rPr>
              <w:rFonts w:hint="eastAsia" w:ascii="黑体" w:hAnsi="黑体" w:eastAsia="黑体" w:cs="Times New Roman"/>
              <w:spacing w:val="-4"/>
              <w:kern w:val="0"/>
              <w:sz w:val="22"/>
              <w:szCs w:val="32"/>
              <w:lang w:eastAsia="zh-Hans"/>
            </w:rPr>
            <w:t>八、</w:t>
          </w:r>
          <w:r>
            <w:rPr>
              <w:rFonts w:hint="eastAsia" w:ascii="黑体" w:hAnsi="黑体" w:eastAsia="黑体" w:cs="Times New Roman"/>
              <w:spacing w:val="-4"/>
              <w:kern w:val="0"/>
              <w:sz w:val="22"/>
              <w:szCs w:val="32"/>
            </w:rPr>
            <w:t>其他需要说明的问题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_Toc14783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5421602D">
          <w:pPr>
            <w:pStyle w:val="10"/>
            <w:keepNext w:val="0"/>
            <w:keepLines w:val="0"/>
            <w:pageBreakBefore w:val="0"/>
            <w:widowControl w:val="0"/>
            <w:tabs>
              <w:tab w:val="right" w:leader="dot" w:pos="8548"/>
            </w:tabs>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楷体" w:hAnsi="楷体" w:eastAsia="楷体" w:cs="仿宋_GB2312"/>
              <w:spacing w:val="-4"/>
              <w:kern w:val="0"/>
              <w:sz w:val="22"/>
              <w:szCs w:val="32"/>
              <w:lang w:val="en-US" w:eastAsia="zh-CN" w:bidi="ar-SA"/>
            </w:rPr>
            <w:fldChar w:fldCharType="begin"/>
          </w:r>
          <w:r>
            <w:rPr>
              <w:rFonts w:hint="eastAsia" w:ascii="楷体" w:hAnsi="楷体" w:eastAsia="楷体" w:cs="仿宋_GB2312"/>
              <w:spacing w:val="-4"/>
              <w:kern w:val="0"/>
              <w:sz w:val="22"/>
              <w:szCs w:val="32"/>
              <w:lang w:val="en-US" w:eastAsia="zh-CN" w:bidi="ar-SA"/>
            </w:rPr>
            <w:instrText xml:space="preserve"> HYPERLINK \l _Toc4952 </w:instrText>
          </w:r>
          <w:r>
            <w:rPr>
              <w:rFonts w:hint="eastAsia" w:ascii="楷体" w:hAnsi="楷体" w:eastAsia="楷体" w:cs="仿宋_GB2312"/>
              <w:spacing w:val="-4"/>
              <w:kern w:val="0"/>
              <w:sz w:val="22"/>
              <w:szCs w:val="32"/>
              <w:lang w:val="en-US" w:eastAsia="zh-CN" w:bidi="ar-SA"/>
            </w:rPr>
            <w:fldChar w:fldCharType="separate"/>
          </w:r>
          <w:r>
            <w:rPr>
              <w:rFonts w:hint="eastAsia" w:ascii="楷体" w:hAnsi="楷体" w:eastAsia="楷体" w:cs="仿宋_GB2312"/>
              <w:spacing w:val="-4"/>
              <w:kern w:val="0"/>
              <w:sz w:val="22"/>
              <w:szCs w:val="32"/>
              <w:lang w:val="en-US" w:eastAsia="zh-CN" w:bidi="ar-SA"/>
            </w:rPr>
            <w:t>附件1</w:t>
          </w:r>
          <w:r>
            <w:rPr>
              <w:rFonts w:hint="eastAsia" w:ascii="楷体" w:hAnsi="楷体" w:eastAsia="楷体" w:cs="仿宋_GB2312"/>
              <w:spacing w:val="-4"/>
              <w:kern w:val="0"/>
              <w:sz w:val="22"/>
              <w:szCs w:val="32"/>
              <w:lang w:val="en-US" w:eastAsia="zh-CN" w:bidi="ar-SA"/>
            </w:rPr>
            <w:fldChar w:fldCharType="end"/>
          </w:r>
          <w:r>
            <w:rPr>
              <w:rFonts w:hint="eastAsia" w:ascii="楷体" w:hAnsi="楷体" w:eastAsia="楷体" w:cs="仿宋_GB2312"/>
              <w:spacing w:val="-4"/>
              <w:kern w:val="0"/>
              <w:sz w:val="22"/>
              <w:szCs w:val="32"/>
              <w:lang w:val="en-US" w:eastAsia="zh-CN" w:bidi="ar-SA"/>
            </w:rPr>
            <w:fldChar w:fldCharType="begin"/>
          </w:r>
          <w:r>
            <w:rPr>
              <w:rFonts w:hint="eastAsia" w:ascii="楷体" w:hAnsi="楷体" w:eastAsia="楷体" w:cs="仿宋_GB2312"/>
              <w:spacing w:val="-4"/>
              <w:kern w:val="0"/>
              <w:sz w:val="22"/>
              <w:szCs w:val="32"/>
              <w:lang w:val="en-US" w:eastAsia="zh-CN" w:bidi="ar-SA"/>
            </w:rPr>
            <w:instrText xml:space="preserve"> HYPERLINK \l _Toc6031 </w:instrText>
          </w:r>
          <w:r>
            <w:rPr>
              <w:rFonts w:hint="eastAsia" w:ascii="楷体" w:hAnsi="楷体" w:eastAsia="楷体" w:cs="仿宋_GB2312"/>
              <w:spacing w:val="-4"/>
              <w:kern w:val="0"/>
              <w:sz w:val="22"/>
              <w:szCs w:val="32"/>
              <w:lang w:val="en-US" w:eastAsia="zh-CN" w:bidi="ar-SA"/>
            </w:rPr>
            <w:fldChar w:fldCharType="separate"/>
          </w:r>
          <w:r>
            <w:rPr>
              <w:rFonts w:hint="eastAsia" w:ascii="楷体" w:hAnsi="楷体" w:eastAsia="楷体" w:cs="仿宋_GB2312"/>
              <w:spacing w:val="-4"/>
              <w:kern w:val="0"/>
              <w:sz w:val="22"/>
              <w:szCs w:val="32"/>
              <w:lang w:val="en-US" w:eastAsia="zh-CN" w:bidi="ar-SA"/>
            </w:rPr>
            <w:t>弥补成本性支出经费项目绩效评价指标体系及综合评分表</w:t>
          </w:r>
          <w:r>
            <w:rPr>
              <w:rFonts w:hint="eastAsia" w:ascii="楷体" w:hAnsi="楷体" w:eastAsia="楷体" w:cs="仿宋_GB2312"/>
              <w:spacing w:val="-4"/>
              <w:kern w:val="0"/>
              <w:sz w:val="22"/>
              <w:szCs w:val="32"/>
              <w:lang w:val="en-US" w:eastAsia="zh-CN" w:bidi="ar-SA"/>
            </w:rPr>
            <w:tab/>
          </w:r>
          <w:r>
            <w:rPr>
              <w:rFonts w:hint="eastAsia" w:ascii="楷体" w:hAnsi="楷体" w:eastAsia="楷体" w:cs="仿宋_GB2312"/>
              <w:spacing w:val="-4"/>
              <w:kern w:val="0"/>
              <w:sz w:val="22"/>
              <w:szCs w:val="32"/>
              <w:lang w:val="en-US" w:eastAsia="zh-CN" w:bidi="ar-SA"/>
            </w:rPr>
            <w:fldChar w:fldCharType="begin"/>
          </w:r>
          <w:r>
            <w:rPr>
              <w:rFonts w:hint="eastAsia" w:ascii="楷体" w:hAnsi="楷体" w:eastAsia="楷体" w:cs="仿宋_GB2312"/>
              <w:spacing w:val="-4"/>
              <w:kern w:val="0"/>
              <w:sz w:val="22"/>
              <w:szCs w:val="32"/>
              <w:lang w:val="en-US" w:eastAsia="zh-CN" w:bidi="ar-SA"/>
            </w:rPr>
            <w:instrText xml:space="preserve"> PAGEREF _Toc6031 \h </w:instrText>
          </w:r>
          <w:r>
            <w:rPr>
              <w:rFonts w:hint="eastAsia" w:ascii="楷体" w:hAnsi="楷体" w:eastAsia="楷体" w:cs="仿宋_GB2312"/>
              <w:spacing w:val="-4"/>
              <w:kern w:val="0"/>
              <w:sz w:val="22"/>
              <w:szCs w:val="32"/>
              <w:lang w:val="en-US" w:eastAsia="zh-CN" w:bidi="ar-SA"/>
            </w:rPr>
            <w:fldChar w:fldCharType="separate"/>
          </w:r>
          <w:r>
            <w:rPr>
              <w:rFonts w:hint="eastAsia" w:ascii="楷体" w:hAnsi="楷体" w:eastAsia="楷体" w:cs="仿宋_GB2312"/>
              <w:spacing w:val="-4"/>
              <w:kern w:val="0"/>
              <w:sz w:val="22"/>
              <w:szCs w:val="32"/>
              <w:lang w:val="en-US" w:eastAsia="zh-CN" w:bidi="ar-SA"/>
            </w:rPr>
            <w:t>20</w:t>
          </w:r>
          <w:r>
            <w:rPr>
              <w:rFonts w:hint="eastAsia" w:ascii="楷体" w:hAnsi="楷体" w:eastAsia="楷体" w:cs="仿宋_GB2312"/>
              <w:spacing w:val="-4"/>
              <w:kern w:val="0"/>
              <w:sz w:val="22"/>
              <w:szCs w:val="32"/>
              <w:lang w:val="en-US" w:eastAsia="zh-CN" w:bidi="ar-SA"/>
            </w:rPr>
            <w:fldChar w:fldCharType="end"/>
          </w:r>
          <w:r>
            <w:rPr>
              <w:rFonts w:hint="eastAsia" w:ascii="楷体" w:hAnsi="楷体" w:eastAsia="楷体" w:cs="仿宋_GB2312"/>
              <w:spacing w:val="-4"/>
              <w:kern w:val="0"/>
              <w:sz w:val="22"/>
              <w:szCs w:val="32"/>
              <w:lang w:val="en-US" w:eastAsia="zh-CN" w:bidi="ar-SA"/>
            </w:rPr>
            <w:fldChar w:fldCharType="end"/>
          </w:r>
        </w:p>
        <w:p w14:paraId="476E66B4">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宋体" w:hAnsi="宋体" w:eastAsia="宋体" w:cs="宋体"/>
            </w:rPr>
            <w:fldChar w:fldCharType="end"/>
          </w:r>
        </w:p>
      </w:sdtContent>
    </w:sdt>
    <w:p w14:paraId="0492DB2F">
      <w:pPr>
        <w:rPr>
          <w:rFonts w:eastAsia="黑体"/>
          <w:bCs/>
          <w:sz w:val="32"/>
          <w:szCs w:val="32"/>
        </w:rPr>
      </w:pPr>
      <w:r>
        <w:rPr>
          <w:rFonts w:eastAsia="黑体"/>
          <w:bCs/>
          <w:sz w:val="32"/>
          <w:szCs w:val="32"/>
        </w:rPr>
        <w:br w:type="page"/>
      </w:r>
    </w:p>
    <w:p w14:paraId="58A955B4">
      <w:pPr>
        <w:pStyle w:val="19"/>
        <w:bidi w:val="0"/>
      </w:pPr>
      <w:bookmarkStart w:id="0" w:name="_Toc31806"/>
      <w:r>
        <w:t>一、基本情况</w:t>
      </w:r>
      <w:bookmarkEnd w:id="0"/>
    </w:p>
    <w:p w14:paraId="1A153DAF">
      <w:pPr>
        <w:pStyle w:val="29"/>
        <w:bidi w:val="0"/>
      </w:pPr>
      <w:bookmarkStart w:id="1" w:name="_Toc16821"/>
      <w:r>
        <w:t>（一）项目概况</w:t>
      </w:r>
      <w:bookmarkEnd w:id="1"/>
    </w:p>
    <w:p w14:paraId="01A4E6CF">
      <w:pPr>
        <w:pStyle w:val="20"/>
        <w:bidi w:val="0"/>
      </w:pPr>
      <w:r>
        <w:t>1、项目</w:t>
      </w:r>
      <w:r>
        <w:rPr>
          <w:rFonts w:ascii="Times New Roman" w:hAnsi="Times New Roman" w:eastAsia="仿宋_GB2312"/>
          <w:kern w:val="2"/>
        </w:rPr>
        <w:t>背景</w:t>
      </w:r>
    </w:p>
    <w:p w14:paraId="3DB241F0">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新疆安装技工学校1987年经自治区人民政府批准成立，2007年新机编办［2007］116号文核定为副县(处)级单位。2004年自治区人力资源和社会保障厅认定新疆安装技工学校为全疆唯一一家以焊接加工、冷作钣金加工作为主体专业的技工学校；2008 年新疆建工集团将新疆建设职业学校与新疆安装技工学校整合，并于2011年正式更名为新疆安装工程学校，2009年学校被自治区人力资源和社会保障厅确定为自治区级重点技工学校；2014年被自治区人力资源和社会保障厅确定升格为新疆安装高级技工学校。2017年12月由自治区人民政府批准成立新疆第一职业训练院。目前学校为高级技工学校、安装工程学校、新疆第一职业训练院三校合一运行。学校为自治区级差额拨款预算管理的事业单位，由自治区工信厅负责行政管理。</w:t>
      </w:r>
    </w:p>
    <w:p w14:paraId="5C8A2BC9">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学校宗旨和业务范围：培养中高级技能型人才，履行提高社会职业素质的技术工人培训及相关技能培训。</w:t>
      </w:r>
    </w:p>
    <w:p w14:paraId="540F6D66">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无下属预算单位，2023年学校编制数46人，上年末在职人员37人，本年末在职人员42人。</w:t>
      </w:r>
    </w:p>
    <w:p w14:paraId="2DFCA98F">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成本性支出项目属于学校的年初预算项目，该项目资金来源为学校纳入财政专户管理的教育收入及利息收入，该项收入主要由学校收取的各类短期培训班收费及学生住宿费组成，依据培训规模及学校发展设置成本性支出项目。</w:t>
      </w:r>
    </w:p>
    <w:p w14:paraId="7CC224E1">
      <w:pPr>
        <w:pStyle w:val="20"/>
        <w:numPr>
          <w:ilvl w:val="0"/>
          <w:numId w:val="1"/>
        </w:numPr>
        <w:bidi w:val="0"/>
      </w:pPr>
      <w:r>
        <w:t>项目主要内容：</w:t>
      </w:r>
    </w:p>
    <w:p w14:paraId="4A46220B">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主要内容：成本性支出项目预算资金为556.00万元，主要为财政专户管理资金555.00万元、利息收入1.00万元。包括绩效工资67.00万元，其他工资福利支出204.49万元，专用材料费33.85万元，劳务费53.77万元，委托业务费69.58万元，培训费8.40万元，助学金10.00万元，工会经费4.86万元，福利费4.05万元，房屋建筑物购建100.00万元。</w:t>
      </w:r>
    </w:p>
    <w:p w14:paraId="08BDF677">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项目实施情况：项目目前已经基本完成实际设立的目标，项目在实施过程中严格按照目标设立的各阶段任务进行开展工作，在前期立项过程中严格把质量关，保证项目实施各阶段安全顺利进行。</w:t>
      </w:r>
    </w:p>
    <w:p w14:paraId="749C148D">
      <w:pPr>
        <w:pStyle w:val="20"/>
        <w:bidi w:val="0"/>
        <w:rPr>
          <w:rFonts w:hint="default"/>
          <w:lang w:val="en-US" w:eastAsia="zh-CN"/>
        </w:rPr>
      </w:pPr>
      <w:r>
        <w:t>3、资金投入和使用情况</w:t>
      </w:r>
    </w:p>
    <w:p w14:paraId="52FF791A">
      <w:pPr>
        <w:shd w:val="clear"/>
        <w:spacing w:line="600" w:lineRule="exact"/>
        <w:ind w:firstLine="640" w:firstLineChars="200"/>
        <w:outlineLvl w:val="3"/>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46713DAE">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w:t>
      </w:r>
      <w:r>
        <w:rPr>
          <w:rFonts w:hint="eastAsia" w:ascii="仿宋_GB2312" w:hAnsi="仿宋_GB2312" w:eastAsia="仿宋_GB2312" w:cs="仿宋_GB2312"/>
          <w:color w:val="auto"/>
          <w:sz w:val="32"/>
          <w:szCs w:val="32"/>
          <w:highlight w:val="none"/>
          <w:lang w:val="en-US" w:eastAsia="zh-CN"/>
        </w:rPr>
        <w:t>算数556.00万元，全年预算数556.00万元，实际总投入462.05万元，该项目资金落实到位462.05万元，资金来源为财政专户资金461.43万元，其他收入0.62万元</w:t>
      </w:r>
      <w:r>
        <w:rPr>
          <w:rFonts w:hint="eastAsia" w:ascii="仿宋_GB2312" w:hAnsi="仿宋_GB2312" w:eastAsia="仿宋_GB2312" w:cs="仿宋_GB2312"/>
          <w:sz w:val="32"/>
          <w:szCs w:val="32"/>
          <w:highlight w:val="none"/>
          <w:lang w:val="en-US" w:eastAsia="zh-CN"/>
        </w:rPr>
        <w:t>。</w:t>
      </w:r>
    </w:p>
    <w:p w14:paraId="61178775">
      <w:pPr>
        <w:shd w:val="clear"/>
        <w:spacing w:line="600" w:lineRule="exact"/>
        <w:ind w:firstLine="640" w:firstLineChars="200"/>
        <w:outlineLvl w:val="3"/>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48640423">
      <w:pPr>
        <w:shd w:val="clear"/>
        <w:spacing w:line="600" w:lineRule="exact"/>
        <w:ind w:firstLine="640" w:firstLineChars="200"/>
        <w:outlineLvl w:val="9"/>
        <w:rPr>
          <w:rFonts w:hint="eastAsia" w:ascii="仿宋_GB2312" w:hAnsi="仿宋_GB2312" w:eastAsia="仿宋_GB2312" w:cs="仿宋_GB2312"/>
          <w:color w:val="0000FF"/>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该项目年初预算数556.00万元，全年预算数556.00万元,全年执行数462.05万元，预算执行率为83.10%，主要用于：弥补公用经费不足，保证学校日常教学等活动正常进行。</w:t>
      </w:r>
    </w:p>
    <w:p w14:paraId="5A2EAFEF">
      <w:pPr>
        <w:pStyle w:val="29"/>
        <w:bidi w:val="0"/>
      </w:pPr>
      <w:bookmarkStart w:id="2" w:name="_Toc17572"/>
      <w:r>
        <w:t>（二）项目绩效目标</w:t>
      </w:r>
      <w:bookmarkEnd w:id="2"/>
    </w:p>
    <w:p w14:paraId="33A0168F">
      <w:pPr>
        <w:pStyle w:val="20"/>
        <w:bidi w:val="0"/>
        <w:rPr>
          <w:rFonts w:hint="eastAsia"/>
        </w:rPr>
      </w:pPr>
      <w:r>
        <w:rPr>
          <w:rFonts w:hint="eastAsia"/>
        </w:rPr>
        <w:t>1、总体目标</w:t>
      </w:r>
    </w:p>
    <w:p w14:paraId="44AF5E3C">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财政专户资金弥补公用经费不足，以满足学校日常教学要求。以专业建设为引领，以技能竞赛为驱动，以职业培训为平台，以师资队伍建设为支撑，校企合作、教培并举，立德树人，努力培养德智体美劳全面发展的社会主义建设者和接班人。</w:t>
      </w:r>
    </w:p>
    <w:p w14:paraId="79A10BF6">
      <w:pPr>
        <w:pStyle w:val="20"/>
        <w:bidi w:val="0"/>
        <w:rPr>
          <w:rFonts w:hint="eastAsia"/>
        </w:rPr>
      </w:pPr>
      <w:r>
        <w:rPr>
          <w:rFonts w:hint="eastAsia"/>
          <w:lang w:val="en-US" w:eastAsia="zh-CN"/>
        </w:rPr>
        <w:t>2、</w:t>
      </w:r>
      <w:r>
        <w:rPr>
          <w:rFonts w:hint="eastAsia"/>
        </w:rPr>
        <w:t>阶段性目标</w:t>
      </w:r>
      <w:bookmarkStart w:id="3" w:name="_Toc178"/>
      <w:bookmarkStart w:id="4" w:name="_Toc5889"/>
    </w:p>
    <w:p w14:paraId="04DFA6C4">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保证学校在职人员绩效工资、外聘人员工资、社保按月发放，加快推进基础项目建设，加大职业培训力度，保证师资队伍建设，确保学校日常教学、学生管理各项工作顺利开展。</w:t>
      </w:r>
      <w:bookmarkEnd w:id="3"/>
      <w:bookmarkEnd w:id="4"/>
    </w:p>
    <w:p w14:paraId="2C36C270">
      <w:pPr>
        <w:pStyle w:val="19"/>
        <w:bidi w:val="0"/>
      </w:pPr>
      <w:bookmarkStart w:id="5" w:name="_Toc13260"/>
      <w:r>
        <w:t>二、绩效评价工作开展情况</w:t>
      </w:r>
      <w:bookmarkEnd w:id="5"/>
    </w:p>
    <w:p w14:paraId="54E59A3D">
      <w:pPr>
        <w:pStyle w:val="29"/>
        <w:bidi w:val="0"/>
      </w:pPr>
      <w:bookmarkStart w:id="6" w:name="_Toc26790"/>
      <w:r>
        <w:t>（一）绩效评价目的、对象和范围</w:t>
      </w:r>
      <w:bookmarkEnd w:id="6"/>
    </w:p>
    <w:p w14:paraId="4A8D4541">
      <w:pPr>
        <w:pStyle w:val="20"/>
        <w:bidi w:val="0"/>
        <w:rPr>
          <w:rFonts w:hint="eastAsia"/>
          <w:lang w:val="en-US" w:eastAsia="zh-CN"/>
        </w:rPr>
      </w:pPr>
      <w:r>
        <w:rPr>
          <w:rFonts w:hint="eastAsia"/>
          <w:lang w:val="en-US" w:eastAsia="zh-CN"/>
        </w:rPr>
        <w:t>1、绩效评价的目的</w:t>
      </w:r>
    </w:p>
    <w:p w14:paraId="0270E001">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年初设定的绩效目标，运用科学、合理的绩效评价指标、评价标准和评价方法，对项目支出的经济性、效率性和效益性进行客观、公正的评价。促使我校根据绩效评价中发现的问题，认真加以整改，及时调整和完善单位的工作计划和绩效目标并加强项目管理，提高管理水平，同时为项目后续资金投入、分配和管理提供决策依据。</w:t>
      </w:r>
    </w:p>
    <w:p w14:paraId="7F2884F4">
      <w:pPr>
        <w:pStyle w:val="20"/>
        <w:bidi w:val="0"/>
        <w:rPr>
          <w:rFonts w:hint="eastAsia"/>
          <w:lang w:val="en-US" w:eastAsia="zh-CN"/>
        </w:rPr>
      </w:pPr>
      <w:r>
        <w:rPr>
          <w:rFonts w:hint="eastAsia"/>
          <w:lang w:val="en-US" w:eastAsia="zh-CN"/>
        </w:rPr>
        <w:t>2、绩效评价的对象</w:t>
      </w:r>
    </w:p>
    <w:p w14:paraId="5D57F2CB">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弥补成本性支出经费项目所包含的全部项目内容。</w:t>
      </w:r>
    </w:p>
    <w:p w14:paraId="5CA76C33">
      <w:pPr>
        <w:pStyle w:val="20"/>
        <w:bidi w:val="0"/>
        <w:rPr>
          <w:rFonts w:hint="eastAsia"/>
          <w:lang w:val="en-US" w:eastAsia="zh-CN"/>
        </w:rPr>
      </w:pPr>
      <w:r>
        <w:rPr>
          <w:rFonts w:hint="eastAsia"/>
          <w:lang w:val="en-US" w:eastAsia="zh-CN"/>
        </w:rPr>
        <w:t>3、绩效评价的范围</w:t>
      </w:r>
    </w:p>
    <w:p w14:paraId="5DF5DADC">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评价从项目决策（包括绩效目标、决策过程）、项目管理（包括项目资金、项目实施）、项目产出（包括项目产出数量、产出质量、产出时效和产出成本）项目效益四个维度对弥补成本性支出经费项目进行评价，评价核心为专项资金的支出完成情况和效果。</w:t>
      </w:r>
    </w:p>
    <w:p w14:paraId="6940CEFB">
      <w:pPr>
        <w:pStyle w:val="29"/>
        <w:bidi w:val="0"/>
      </w:pPr>
      <w:bookmarkStart w:id="7" w:name="_Toc17555"/>
      <w:r>
        <w:t>（二）绩效评价原则、评价指标体系（详情见表1）、评价方法、评价标准。</w:t>
      </w:r>
      <w:bookmarkEnd w:id="7"/>
    </w:p>
    <w:p w14:paraId="22EBC81B">
      <w:pPr>
        <w:pStyle w:val="20"/>
        <w:bidi w:val="0"/>
        <w:rPr>
          <w:rFonts w:hint="eastAsia"/>
          <w:lang w:val="en-US" w:eastAsia="zh-CN"/>
        </w:rPr>
      </w:pPr>
      <w:r>
        <w:rPr>
          <w:rFonts w:hint="eastAsia"/>
          <w:lang w:val="en-US" w:eastAsia="zh-CN"/>
        </w:rPr>
        <w:t>1、绩效评价原则</w:t>
      </w:r>
    </w:p>
    <w:p w14:paraId="31F10CB6">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本次项目绩效评价遵循以下基本原则：</w:t>
      </w:r>
    </w:p>
    <w:p w14:paraId="16356331">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（1）科学公正。绩效评价应当运用科学合理的方法，按照规范的程序，对项目绩效进行客观、公正的反映。</w:t>
      </w:r>
    </w:p>
    <w:p w14:paraId="086117C2">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（2）统筹兼顾。单位自评、部门评价和财政评价应职责明确，各有侧重，相互衔接。单位自评应由项目单位自主实施，即“谁支出、谁自评”。</w:t>
      </w:r>
    </w:p>
    <w:p w14:paraId="582162FC">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（3）激励约束。绩效评价结果应与预算安排、政策调整、改进管理实质性挂钩，体现奖优罚劣和激励相容导向，有效要安排、低效要压减、无效要问责。</w:t>
      </w:r>
    </w:p>
    <w:p w14:paraId="41D169C6">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（4）公开透明。绩效评价结果应依法依规公开，并自觉接受社会监督。</w:t>
      </w:r>
    </w:p>
    <w:p w14:paraId="700800D7">
      <w:pPr>
        <w:pStyle w:val="20"/>
        <w:bidi w:val="0"/>
        <w:rPr>
          <w:rFonts w:hint="eastAsia"/>
          <w:lang w:val="en-US" w:eastAsia="zh-CN"/>
        </w:rPr>
      </w:pPr>
      <w:r>
        <w:rPr>
          <w:rFonts w:hint="eastAsia"/>
          <w:lang w:val="en-US" w:eastAsia="zh-CN"/>
        </w:rPr>
        <w:t>2、评价指标体系</w:t>
      </w:r>
    </w:p>
    <w:p w14:paraId="0F16C456">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绩效评价框架是开展绩效评价的核心。绩效评价框架包括评价准则、关键评价问题、评价指标、数据来源、数据收集方法等。指标体系建立过程如下：</w:t>
      </w:r>
    </w:p>
    <w:p w14:paraId="4450D8A9">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（1）确定评价指标</w:t>
      </w:r>
    </w:p>
    <w:p w14:paraId="3C69ED65">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14:paraId="548358C8">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（2）确定权重</w:t>
      </w:r>
    </w:p>
    <w:p w14:paraId="7E6581AE">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确定各个指标相对于项目总体绩效的权重分值。在绩效评价指标体系中，项目决策权重为20分，项目过程权重为20分，项目产出权重为40分，项目效益权重为20分。</w:t>
      </w:r>
    </w:p>
    <w:p w14:paraId="015678D9">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（3）确定指标标准值</w:t>
      </w:r>
    </w:p>
    <w:p w14:paraId="7872BF07">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指标标准值是绩效评价指标的尺度，既要反映同类项目的先进水平，又要符合项目的实际绩效水平。具体采用计划标准等确定此次绩效评价指标标准值。</w:t>
      </w:r>
    </w:p>
    <w:p w14:paraId="2F402248">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243BA01">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具体评价指标体系详情见附件1</w:t>
      </w:r>
    </w:p>
    <w:p w14:paraId="1E093940">
      <w:pPr>
        <w:pStyle w:val="20"/>
        <w:bidi w:val="0"/>
        <w:rPr>
          <w:rFonts w:hint="eastAsia"/>
          <w:lang w:val="en-US" w:eastAsia="zh-CN"/>
        </w:rPr>
      </w:pPr>
      <w:r>
        <w:rPr>
          <w:rFonts w:hint="eastAsia"/>
          <w:lang w:val="en-US" w:eastAsia="zh-CN"/>
        </w:rPr>
        <w:t>3、绩效评价方法</w:t>
      </w:r>
    </w:p>
    <w:p w14:paraId="48154761">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绩效评价从项目决策、项目过程、项目产出、项目效益四个维度进行评价。评价对象为项目目标实施情况，评价核心为资金的支出完成情况和项目的产出效益。</w:t>
      </w:r>
    </w:p>
    <w:p w14:paraId="75C622B2">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本次评价指标中，既有定性指标又有定量指标，各类指标因考核内容不同和客观标准不同存在较大差异，因此核定具体指标时采用了不同方法，具体评价方法如下：</w:t>
      </w:r>
    </w:p>
    <w:p w14:paraId="44ECF146">
      <w:pPr>
        <w:shd w:val="clear"/>
        <w:spacing w:line="600" w:lineRule="exact"/>
        <w:ind w:firstLine="640" w:firstLineChars="200"/>
        <w:outlineLvl w:val="9"/>
        <w:rPr>
          <w:rFonts w:hint="eastAsia"/>
          <w:lang w:val="en-US" w:eastAsia="zh-CN"/>
        </w:rPr>
      </w:pPr>
      <w:r>
        <w:rPr>
          <w:rFonts w:hint="eastAsia" w:ascii="仿宋_GB2312" w:hAnsi="仿宋_GB2312" w:eastAsia="仿宋_GB2312" w:cs="仿宋_GB2312"/>
          <w:sz w:val="32"/>
          <w:szCs w:val="32"/>
          <w:highlight w:val="none"/>
          <w:lang w:val="en-US" w:eastAsia="zh-CN"/>
        </w:rPr>
        <w:t>采用定量与定性评价相结合的比较法，通过对绩效目标与实施效果、历史与当期情况，综合分析绩效目标实现程度。对项目最终验收情况与年度绩效目标对比、预算资金执行情况等相关因素进行比较，总分由各项指标得分汇总形成。成立项目自评小组，结合评价内容，做到有计划、有安排，扎实开展本次本次自评工作。自评小组针对申报内容、实施情况、资金执行、财务管理、社会效益等做出自我评价，认真听取教师、学生建议意见，做好自评工作。</w:t>
      </w:r>
    </w:p>
    <w:p w14:paraId="272D7C3C">
      <w:pPr>
        <w:pStyle w:val="20"/>
        <w:bidi w:val="0"/>
        <w:rPr>
          <w:rFonts w:hint="eastAsia"/>
          <w:lang w:val="en-US" w:eastAsia="zh-CN"/>
        </w:rPr>
      </w:pPr>
      <w:r>
        <w:rPr>
          <w:rFonts w:hint="eastAsia"/>
          <w:lang w:val="en-US" w:eastAsia="zh-CN"/>
        </w:rPr>
        <w:t>4、评价标准</w:t>
      </w:r>
    </w:p>
    <w:p w14:paraId="69ABF4B4">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绩效评价标准通常包括计划标准、行业标准、历史标准等，用于对绩效指标完成情况进行比较、分析、评价。本次评价主要采用了计划标准和历史标准。</w:t>
      </w:r>
    </w:p>
    <w:p w14:paraId="5530F23C">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bookmarkStart w:id="8" w:name="_Toc31464"/>
      <w:bookmarkStart w:id="9" w:name="_Toc17882"/>
      <w:r>
        <w:rPr>
          <w:rFonts w:hint="eastAsia" w:ascii="仿宋_GB2312" w:hAnsi="仿宋_GB2312" w:eastAsia="仿宋_GB2312" w:cs="仿宋_GB2312"/>
          <w:sz w:val="32"/>
          <w:szCs w:val="32"/>
          <w:highlight w:val="none"/>
          <w:lang w:val="en-US" w:eastAsia="zh-CN"/>
        </w:rPr>
        <w:t>计划标准：指以预先制定的目标、计划、预算、定额等作为评价标准。</w:t>
      </w:r>
      <w:bookmarkEnd w:id="8"/>
      <w:bookmarkEnd w:id="9"/>
    </w:p>
    <w:p w14:paraId="0607DDFF">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bookmarkStart w:id="10" w:name="_Toc430"/>
      <w:bookmarkStart w:id="11" w:name="_Toc16028"/>
      <w:r>
        <w:rPr>
          <w:rFonts w:hint="eastAsia" w:ascii="仿宋_GB2312" w:hAnsi="仿宋_GB2312" w:eastAsia="仿宋_GB2312" w:cs="仿宋_GB2312"/>
          <w:sz w:val="32"/>
          <w:szCs w:val="32"/>
          <w:highlight w:val="none"/>
          <w:lang w:val="en-US" w:eastAsia="zh-CN"/>
        </w:rPr>
        <w:t>历史标准：指参照历史数据制定的评价标准，为体现绩效改进的原则，在可实现的条件下应当确定相对较高的评价标准。</w:t>
      </w:r>
      <w:bookmarkEnd w:id="10"/>
      <w:bookmarkEnd w:id="11"/>
    </w:p>
    <w:p w14:paraId="535EC628">
      <w:pPr>
        <w:pStyle w:val="29"/>
        <w:numPr>
          <w:ilvl w:val="0"/>
          <w:numId w:val="2"/>
        </w:numPr>
        <w:bidi w:val="0"/>
      </w:pPr>
      <w:bookmarkStart w:id="12" w:name="_Toc32012"/>
      <w:r>
        <w:rPr>
          <w:rFonts w:hint="eastAsia"/>
        </w:rPr>
        <w:t>绩效评价工作过程</w:t>
      </w:r>
      <w:bookmarkEnd w:id="12"/>
    </w:p>
    <w:p w14:paraId="77BB2B8A">
      <w:pPr>
        <w:snapToGrid w:val="0"/>
        <w:spacing w:line="560" w:lineRule="exact"/>
        <w:ind w:firstLine="643" w:firstLineChars="200"/>
        <w:outlineLvl w:val="9"/>
        <w:rPr>
          <w:rFonts w:hint="eastAsia"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b/>
          <w:bCs/>
          <w:kern w:val="2"/>
          <w:sz w:val="32"/>
          <w:szCs w:val="32"/>
          <w:lang w:val="en-US" w:eastAsia="zh-CN" w:bidi="ar-SA"/>
        </w:rPr>
        <w:t>1.组成工作组。</w:t>
      </w:r>
      <w:r>
        <w:rPr>
          <w:rFonts w:hint="eastAsia" w:ascii="仿宋_GB2312" w:hAnsi="仿宋_GB2312" w:eastAsia="仿宋_GB2312" w:cs="仿宋_GB2312"/>
          <w:sz w:val="32"/>
          <w:szCs w:val="32"/>
          <w:highlight w:val="none"/>
          <w:lang w:val="en-US" w:eastAsia="zh-CN"/>
        </w:rPr>
        <w:t>进行前期准备工作并制定绩效评价工作方案。</w:t>
      </w:r>
    </w:p>
    <w:p w14:paraId="3FC5AA01">
      <w:pPr>
        <w:snapToGrid w:val="0"/>
        <w:spacing w:line="560" w:lineRule="exact"/>
        <w:ind w:firstLine="643" w:firstLineChars="200"/>
        <w:outlineLvl w:val="9"/>
        <w:rPr>
          <w:sz w:val="32"/>
          <w:szCs w:val="32"/>
        </w:rPr>
      </w:pPr>
      <w:r>
        <w:rPr>
          <w:rFonts w:hint="eastAsia" w:ascii="Times New Roman" w:hAnsi="Times New Roman" w:eastAsia="仿宋_GB2312" w:cs="Times New Roman"/>
          <w:b/>
          <w:bCs/>
          <w:kern w:val="2"/>
          <w:sz w:val="32"/>
          <w:szCs w:val="32"/>
          <w:lang w:val="en-US" w:eastAsia="zh-CN" w:bidi="ar-SA"/>
        </w:rPr>
        <w:t>2.分析评价。</w:t>
      </w:r>
      <w:r>
        <w:rPr>
          <w:rFonts w:hint="eastAsia" w:ascii="仿宋_GB2312" w:hAnsi="仿宋_GB2312" w:eastAsia="仿宋_GB2312" w:cs="仿宋_GB2312"/>
          <w:sz w:val="32"/>
          <w:szCs w:val="32"/>
          <w:highlight w:val="none"/>
          <w:lang w:val="en-US" w:eastAsia="zh-CN"/>
        </w:rPr>
        <w:t>工作组对工作资料进行核实，了解项目管理和项目资金使用的情况，听取对项目支出绩效评价的意见和建议，收集项目相关资料。对项目做出独立、客观、公正的绩效评价，出具评价报告</w:t>
      </w:r>
      <w:r>
        <w:rPr>
          <w:rFonts w:hint="eastAsia" w:ascii="仿宋" w:hAnsi="仿宋" w:eastAsia="仿宋" w:cs="仿宋"/>
          <w:sz w:val="32"/>
          <w:szCs w:val="32"/>
        </w:rPr>
        <w:t>。</w:t>
      </w:r>
    </w:p>
    <w:p w14:paraId="02649C24">
      <w:pPr>
        <w:pStyle w:val="19"/>
        <w:numPr>
          <w:ilvl w:val="0"/>
          <w:numId w:val="3"/>
        </w:numPr>
        <w:bidi w:val="0"/>
      </w:pPr>
      <w:bookmarkStart w:id="13" w:name="_Toc31702"/>
      <w:r>
        <w:t>综合评价情况及评价结论（附相关评分表）</w:t>
      </w:r>
      <w:bookmarkEnd w:id="13"/>
    </w:p>
    <w:p w14:paraId="327ED895">
      <w:pPr>
        <w:pStyle w:val="29"/>
        <w:bidi w:val="0"/>
        <w:rPr>
          <w:rFonts w:hint="eastAsia"/>
          <w:lang w:val="en-US" w:eastAsia="zh-CN"/>
        </w:rPr>
      </w:pPr>
      <w:bookmarkStart w:id="14" w:name="_Toc8200"/>
      <w:r>
        <w:rPr>
          <w:rFonts w:hint="eastAsia"/>
          <w:lang w:eastAsia="zh-CN"/>
        </w:rPr>
        <w:t>（</w:t>
      </w:r>
      <w:r>
        <w:rPr>
          <w:rFonts w:hint="eastAsia"/>
          <w:lang w:val="en-US" w:eastAsia="zh-CN"/>
        </w:rPr>
        <w:t>一</w:t>
      </w:r>
      <w:r>
        <w:rPr>
          <w:rFonts w:hint="eastAsia"/>
          <w:lang w:eastAsia="zh-CN"/>
        </w:rPr>
        <w:t>）</w:t>
      </w:r>
      <w:r>
        <w:rPr>
          <w:rFonts w:hint="eastAsia"/>
          <w:lang w:val="en-US" w:eastAsia="zh-CN"/>
        </w:rPr>
        <w:t>评价情况</w:t>
      </w:r>
      <w:bookmarkEnd w:id="14"/>
    </w:p>
    <w:p w14:paraId="4AB1CC86">
      <w:pPr>
        <w:shd w:val="clear"/>
        <w:spacing w:line="600" w:lineRule="exact"/>
        <w:ind w:firstLine="640" w:firstLineChars="200"/>
        <w:outlineLvl w:val="9"/>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项目的实施达到项目预期效果。</w:t>
      </w:r>
    </w:p>
    <w:p w14:paraId="3469904A">
      <w:pPr>
        <w:pStyle w:val="29"/>
        <w:numPr>
          <w:ilvl w:val="0"/>
          <w:numId w:val="4"/>
        </w:numPr>
        <w:bidi w:val="0"/>
        <w:rPr>
          <w:rFonts w:hint="eastAsia"/>
          <w:lang w:val="en-US" w:eastAsia="zh-CN"/>
        </w:rPr>
      </w:pPr>
      <w:bookmarkStart w:id="15" w:name="_Toc17964"/>
      <w:r>
        <w:rPr>
          <w:rFonts w:hint="eastAsia"/>
          <w:lang w:val="en-US" w:eastAsia="zh-CN"/>
        </w:rPr>
        <w:t>评价结论</w:t>
      </w:r>
      <w:bookmarkEnd w:id="15"/>
    </w:p>
    <w:p w14:paraId="10DE23F7">
      <w:pPr>
        <w:bidi w:val="0"/>
        <w:rPr>
          <w:rFonts w:hint="eastAsia"/>
          <w:lang w:val="en-US" w:eastAsia="zh-CN"/>
        </w:rPr>
      </w:pPr>
      <w:bookmarkStart w:id="16" w:name="_Toc10636"/>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97.33分，属于“优”。其中，项目决策类指标权重为20分，得分为20分，得分率为 100%。项目过程类指标权重为20分，得分为19.32分，得分率为96.60%。项目产出类指标权重为40分，得分为38.01分，得分率为 95.03%。项目效益类指标权重为20分，得分为20分，得分率为100%。具体打分情况详见：附件1综合评分表。</w:t>
      </w:r>
      <w:bookmarkEnd w:id="16"/>
    </w:p>
    <w:p w14:paraId="1FA27F6C">
      <w:pPr>
        <w:bidi w:val="0"/>
        <w:jc w:val="center"/>
        <w:rPr>
          <w:rFonts w:ascii="Times New Roman" w:hAnsi="Times New Roman" w:eastAsia="仿宋_GB2312"/>
          <w:szCs w:val="30"/>
        </w:rPr>
      </w:pPr>
      <w:bookmarkStart w:id="17" w:name="_Toc2264"/>
      <w:r>
        <w:rPr>
          <w:rFonts w:hint="eastAsia" w:ascii="仿宋_GB2312" w:hAnsi="仿宋_GB2312" w:eastAsia="仿宋_GB2312" w:cs="仿宋_GB2312"/>
          <w:b/>
          <w:bCs/>
          <w:sz w:val="30"/>
          <w:szCs w:val="30"/>
        </w:rPr>
        <w:t>表1综合评分表</w:t>
      </w:r>
      <w:bookmarkEnd w:id="17"/>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55E3EE6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5BF986A">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AB1CE73">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6ECEECB">
            <w:pPr>
              <w:jc w:val="center"/>
              <w:rPr>
                <w:b/>
                <w:bCs/>
                <w:color w:val="000000"/>
                <w:sz w:val="22"/>
              </w:rPr>
            </w:pPr>
            <w:r>
              <w:rPr>
                <w:rFonts w:hint="eastAsia"/>
                <w:b/>
                <w:bCs/>
                <w:color w:val="000000"/>
                <w:sz w:val="22"/>
              </w:rPr>
              <w:t>得分</w:t>
            </w:r>
          </w:p>
        </w:tc>
      </w:tr>
      <w:tr w14:paraId="5604169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6BD921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16731545">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D77821">
            <w:pPr>
              <w:jc w:val="center"/>
              <w:rPr>
                <w:rFonts w:hint="default" w:eastAsia="宋体"/>
                <w:color w:val="000000"/>
                <w:sz w:val="22"/>
                <w:lang w:val="en-US" w:eastAsia="zh-CN"/>
              </w:rPr>
            </w:pPr>
            <w:r>
              <w:rPr>
                <w:rFonts w:hint="eastAsia"/>
                <w:color w:val="000000"/>
                <w:sz w:val="22"/>
                <w:lang w:val="en-US" w:eastAsia="zh-CN"/>
              </w:rPr>
              <w:t>20</w:t>
            </w:r>
          </w:p>
        </w:tc>
      </w:tr>
      <w:tr w14:paraId="2C5BCE4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68604D1">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153A7656">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0AA637B">
            <w:pPr>
              <w:jc w:val="center"/>
              <w:rPr>
                <w:rFonts w:hint="default" w:eastAsia="宋体"/>
                <w:color w:val="000000"/>
                <w:sz w:val="22"/>
                <w:lang w:val="en-US" w:eastAsia="zh-CN"/>
              </w:rPr>
            </w:pPr>
            <w:r>
              <w:rPr>
                <w:rFonts w:hint="eastAsia"/>
                <w:color w:val="000000"/>
                <w:sz w:val="22"/>
                <w:lang w:val="en-US" w:eastAsia="zh-CN"/>
              </w:rPr>
              <w:t>19.32</w:t>
            </w:r>
          </w:p>
        </w:tc>
      </w:tr>
      <w:tr w14:paraId="501E5D8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E40E1A">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5346A799">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5D28F7B">
            <w:pPr>
              <w:jc w:val="center"/>
              <w:rPr>
                <w:rFonts w:hint="default" w:eastAsia="宋体"/>
                <w:color w:val="000000"/>
                <w:sz w:val="22"/>
                <w:lang w:val="en-US" w:eastAsia="zh-CN"/>
              </w:rPr>
            </w:pPr>
            <w:r>
              <w:rPr>
                <w:rFonts w:hint="eastAsia"/>
                <w:color w:val="000000"/>
                <w:sz w:val="22"/>
                <w:lang w:val="en-US" w:eastAsia="zh-CN"/>
              </w:rPr>
              <w:t>38.01</w:t>
            </w:r>
          </w:p>
        </w:tc>
      </w:tr>
      <w:tr w14:paraId="1761E4F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D06459B">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40797826">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D4DBBC9">
            <w:pPr>
              <w:jc w:val="center"/>
              <w:rPr>
                <w:rFonts w:hint="default" w:eastAsia="宋体"/>
                <w:color w:val="000000"/>
                <w:sz w:val="22"/>
                <w:lang w:val="en-US" w:eastAsia="zh-CN"/>
              </w:rPr>
            </w:pPr>
            <w:r>
              <w:rPr>
                <w:rFonts w:hint="eastAsia"/>
                <w:color w:val="000000"/>
                <w:sz w:val="22"/>
                <w:lang w:val="en-US" w:eastAsia="zh-CN"/>
              </w:rPr>
              <w:t>20</w:t>
            </w:r>
          </w:p>
        </w:tc>
      </w:tr>
      <w:tr w14:paraId="4150706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80E8951">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30C03597">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53FBE252">
            <w:pPr>
              <w:jc w:val="center"/>
              <w:rPr>
                <w:rFonts w:hint="default" w:eastAsia="宋体"/>
                <w:b/>
                <w:bCs/>
                <w:color w:val="000000"/>
                <w:sz w:val="22"/>
                <w:lang w:val="en-US" w:eastAsia="zh-CN"/>
              </w:rPr>
            </w:pPr>
            <w:r>
              <w:rPr>
                <w:rFonts w:hint="eastAsia"/>
                <w:b/>
                <w:bCs/>
                <w:color w:val="000000"/>
                <w:sz w:val="22"/>
                <w:lang w:val="en-US" w:eastAsia="zh-CN"/>
              </w:rPr>
              <w:t>97.33</w:t>
            </w:r>
          </w:p>
        </w:tc>
      </w:tr>
    </w:tbl>
    <w:p w14:paraId="1C28E98A">
      <w:pPr>
        <w:pStyle w:val="19"/>
        <w:bidi w:val="0"/>
      </w:pPr>
      <w:bookmarkStart w:id="18" w:name="_Toc32325"/>
      <w:r>
        <w:t>四、绩效评价指标分析</w:t>
      </w:r>
      <w:bookmarkEnd w:id="18"/>
    </w:p>
    <w:p w14:paraId="5712A0D2">
      <w:pPr>
        <w:pStyle w:val="29"/>
        <w:bidi w:val="0"/>
      </w:pPr>
      <w:bookmarkStart w:id="19" w:name="_Toc28250"/>
      <w:r>
        <w:t>（一）项目决策情况</w:t>
      </w:r>
      <w:bookmarkEnd w:id="19"/>
    </w:p>
    <w:p w14:paraId="33933BC1">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25383D32">
      <w:pPr>
        <w:pStyle w:val="20"/>
        <w:bidi w:val="0"/>
        <w:rPr>
          <w:rFonts w:hint="eastAsia"/>
          <w:lang w:val="en-US" w:eastAsia="zh-CN"/>
        </w:rPr>
      </w:pPr>
      <w:r>
        <w:rPr>
          <w:rFonts w:hint="eastAsia"/>
          <w:lang w:val="en-US" w:eastAsia="zh-CN"/>
        </w:rPr>
        <w:t>1.项目立项</w:t>
      </w:r>
    </w:p>
    <w:p w14:paraId="58CE7810">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37F5F397">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该项目立项符合项目符合经济社会发展规划和部门年度工作计划，并根据需要制定中长期实施规划。</w:t>
      </w:r>
    </w:p>
    <w:p w14:paraId="76D8E3E3">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3B050692">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集体决策，保障了程序的规范性。</w:t>
      </w:r>
    </w:p>
    <w:p w14:paraId="0551A9FD">
      <w:pPr>
        <w:pStyle w:val="20"/>
        <w:bidi w:val="0"/>
        <w:rPr>
          <w:rFonts w:hint="eastAsia"/>
          <w:lang w:val="en-US" w:eastAsia="zh-CN"/>
        </w:rPr>
      </w:pPr>
      <w:r>
        <w:rPr>
          <w:rFonts w:hint="eastAsia"/>
          <w:lang w:val="en-US" w:eastAsia="zh-CN"/>
        </w:rPr>
        <w:t>2.绩效目标</w:t>
      </w:r>
    </w:p>
    <w:p w14:paraId="092E1609">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3452F9F1">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142FFA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25D4D951">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90B23D8">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w:t>
      </w:r>
      <w:r>
        <w:rPr>
          <w:rStyle w:val="30"/>
          <w:rFonts w:hint="eastAsia"/>
          <w:lang w:val="en-US" w:eastAsia="zh-CN"/>
        </w:rPr>
        <w:t>资金投入</w:t>
      </w:r>
    </w:p>
    <w:p w14:paraId="03397956">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079CF99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0D879CA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47E7E0AF">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资金分配额度与项目单位实际工作内容相适应，资金管理办法健全、规范，申报批复程序符合相关管理办法，资金分配额度合理，资金分配依据充分。</w:t>
      </w:r>
    </w:p>
    <w:p w14:paraId="0ABAC290">
      <w:pPr>
        <w:pStyle w:val="29"/>
        <w:numPr>
          <w:ilvl w:val="0"/>
          <w:numId w:val="5"/>
        </w:numPr>
        <w:bidi w:val="0"/>
      </w:pPr>
      <w:bookmarkStart w:id="20" w:name="_Toc19755"/>
      <w:r>
        <w:rPr>
          <w:rFonts w:hint="eastAsia"/>
        </w:rPr>
        <w:t>项目过程情况</w:t>
      </w:r>
      <w:bookmarkEnd w:id="20"/>
    </w:p>
    <w:p w14:paraId="3F20B44C">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w:t>
      </w:r>
      <w:r>
        <w:rPr>
          <w:rFonts w:hint="eastAsia" w:ascii="仿宋_GB2312" w:hAnsi="仿宋_GB2312" w:eastAsia="仿宋_GB2312" w:cs="仿宋_GB2312"/>
          <w:sz w:val="32"/>
          <w:szCs w:val="32"/>
          <w:highlight w:val="none"/>
          <w:lang w:val="en-US" w:eastAsia="zh-CN"/>
        </w:rPr>
        <w:t>20分，实际得分19.32分，得分率为96.60%。</w:t>
      </w:r>
    </w:p>
    <w:p w14:paraId="10037CB6">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14671A48">
      <w:pPr>
        <w:pStyle w:val="20"/>
        <w:bidi w:val="0"/>
        <w:rPr>
          <w:rFonts w:hint="eastAsia"/>
          <w:lang w:val="en-US" w:eastAsia="zh-CN"/>
        </w:rPr>
      </w:pPr>
      <w:r>
        <w:rPr>
          <w:rFonts w:hint="eastAsia"/>
          <w:lang w:val="en-US" w:eastAsia="zh-CN"/>
        </w:rPr>
        <w:t>1.资金管理</w:t>
      </w:r>
    </w:p>
    <w:p w14:paraId="40D99755">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014B4AD7">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总投资556.00万元，财政资金及时足额到位，到位率83.10%，</w:t>
      </w:r>
      <w:r>
        <w:rPr>
          <w:rFonts w:hint="eastAsia" w:ascii="仿宋_GB2312" w:hAnsi="仿宋_GB2312" w:eastAsia="仿宋_GB2312" w:cs="仿宋_GB2312"/>
          <w:sz w:val="32"/>
          <w:szCs w:val="32"/>
          <w:lang w:val="en-US" w:eastAsia="zh-CN"/>
        </w:rPr>
        <w:t>预算资金按计划进度执行。</w:t>
      </w:r>
    </w:p>
    <w:p w14:paraId="438F43E1">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517A3029">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预算资金支出462.05万元，预算执行率为100%。</w:t>
      </w:r>
    </w:p>
    <w:p w14:paraId="606B72A5">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7A086393">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797F003">
      <w:pPr>
        <w:pStyle w:val="20"/>
        <w:bidi w:val="0"/>
        <w:rPr>
          <w:rFonts w:hint="eastAsia"/>
          <w:lang w:val="en-US" w:eastAsia="zh-CN"/>
        </w:rPr>
      </w:pPr>
      <w:r>
        <w:rPr>
          <w:rFonts w:hint="eastAsia"/>
          <w:lang w:val="en-US" w:eastAsia="zh-CN"/>
        </w:rPr>
        <w:t>2.组织实施</w:t>
      </w:r>
    </w:p>
    <w:p w14:paraId="2596E239">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616D6AE4">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7CE7571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51ACE0CC">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03FC6713">
      <w:pPr>
        <w:pStyle w:val="29"/>
        <w:numPr>
          <w:ilvl w:val="0"/>
          <w:numId w:val="5"/>
        </w:numPr>
        <w:bidi w:val="0"/>
      </w:pPr>
      <w:bookmarkStart w:id="21" w:name="_Toc31484"/>
      <w:r>
        <w:t>项目产出</w:t>
      </w:r>
      <w:r>
        <w:rPr>
          <w:rFonts w:hint="eastAsia"/>
          <w:lang w:val="en-US" w:eastAsia="zh-CN"/>
        </w:rPr>
        <w:t>情况</w:t>
      </w:r>
      <w:bookmarkEnd w:id="21"/>
    </w:p>
    <w:p w14:paraId="5BF638CE">
      <w:pPr>
        <w:shd w:val="clear"/>
        <w:spacing w:line="600" w:lineRule="exact"/>
        <w:ind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，由13个三级指标构成，权重分为40分，实际得分38.01分，得分率为95.03%。具</w:t>
      </w:r>
      <w:r>
        <w:rPr>
          <w:rFonts w:hint="eastAsia" w:ascii="仿宋_GB2312" w:hAnsi="仿宋_GB2312" w:eastAsia="仿宋_GB2312" w:cs="仿宋_GB2312"/>
          <w:sz w:val="32"/>
          <w:szCs w:val="32"/>
          <w:lang w:val="en-US" w:eastAsia="zh-CN"/>
        </w:rPr>
        <w:t>体产出指标完成情况如下：</w:t>
      </w:r>
    </w:p>
    <w:p w14:paraId="06DFF4DA">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3A7C620">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 w:hAnsi="仿宋" w:eastAsia="仿宋" w:cs="仿宋"/>
          <w:sz w:val="32"/>
          <w:szCs w:val="32"/>
        </w:rPr>
        <w:t>发放在职人员（补助）人数</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40人</w:t>
      </w:r>
      <w:r>
        <w:rPr>
          <w:rFonts w:hint="eastAsia" w:ascii="仿宋_GB2312" w:hAnsi="仿宋_GB2312" w:eastAsia="仿宋_GB2312" w:cs="仿宋_GB2312"/>
          <w:sz w:val="32"/>
          <w:szCs w:val="32"/>
          <w:highlight w:val="none"/>
        </w:rPr>
        <w:t xml:space="preserve"> ，实际完成值：</w:t>
      </w:r>
      <w:r>
        <w:rPr>
          <w:rFonts w:hint="eastAsia" w:ascii="仿宋" w:hAnsi="仿宋" w:eastAsia="仿宋" w:cs="仿宋"/>
          <w:sz w:val="32"/>
          <w:szCs w:val="32"/>
          <w:lang w:val="en-US" w:eastAsia="zh-CN"/>
        </w:rPr>
        <w:t>42人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2E8B03E">
      <w:pPr>
        <w:snapToGrid w:val="0"/>
        <w:spacing w:line="560" w:lineRule="exact"/>
        <w:ind w:firstLine="640" w:firstLineChars="200"/>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highlight w:val="none"/>
        </w:rPr>
        <w:t>指标2：</w:t>
      </w:r>
      <w:r>
        <w:rPr>
          <w:rFonts w:hint="eastAsia" w:ascii="仿宋" w:hAnsi="仿宋" w:eastAsia="仿宋" w:cs="仿宋"/>
          <w:sz w:val="32"/>
          <w:szCs w:val="32"/>
          <w:lang w:eastAsia="zh-CN"/>
        </w:rPr>
        <w:t>工作人员（补助）人数，</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20人</w:t>
      </w:r>
      <w:r>
        <w:rPr>
          <w:rFonts w:hint="eastAsia" w:ascii="仿宋_GB2312" w:hAnsi="仿宋_GB2312" w:eastAsia="仿宋_GB2312" w:cs="仿宋_GB2312"/>
          <w:sz w:val="32"/>
          <w:szCs w:val="32"/>
          <w:highlight w:val="none"/>
        </w:rPr>
        <w:t xml:space="preserve"> ，实际完成值：</w:t>
      </w:r>
      <w:r>
        <w:rPr>
          <w:rFonts w:hint="eastAsia" w:ascii="仿宋" w:hAnsi="仿宋" w:eastAsia="仿宋" w:cs="仿宋"/>
          <w:sz w:val="32"/>
          <w:szCs w:val="32"/>
          <w:lang w:val="en-US" w:eastAsia="zh-CN"/>
        </w:rPr>
        <w:t>17人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85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 w:hAnsi="仿宋" w:eastAsia="仿宋" w:cs="仿宋"/>
          <w:sz w:val="32"/>
          <w:szCs w:val="32"/>
          <w:lang w:val="en-US" w:eastAsia="zh-CN"/>
        </w:rPr>
        <w:t>偏差原因：根据实际情况，对不能胜任岗位工作、年龄较大的人员进行摸底，并制定有序分流工作方案，有序分流4人。改进措施：我校编外临聘人员未经过社会化招聘，整体素质受限，现根据工作岗位需求进行有序分流。</w:t>
      </w:r>
    </w:p>
    <w:p w14:paraId="04457C9E">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 w:hAnsi="仿宋" w:eastAsia="仿宋" w:cs="仿宋"/>
          <w:b w:val="0"/>
          <w:bCs w:val="0"/>
          <w:kern w:val="2"/>
          <w:sz w:val="32"/>
          <w:szCs w:val="32"/>
          <w:lang w:val="en-US" w:eastAsia="zh-CN" w:bidi="ar-SA"/>
        </w:rPr>
        <w:t>发放（补助）次数</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eastAsia="zh-CN"/>
        </w:rPr>
        <w:t>：</w:t>
      </w:r>
      <w:r>
        <w:rPr>
          <w:rFonts w:hint="eastAsia" w:ascii="仿宋" w:hAnsi="仿宋" w:eastAsia="仿宋" w:cs="仿宋"/>
          <w:b w:val="0"/>
          <w:bCs w:val="0"/>
          <w:kern w:val="2"/>
          <w:sz w:val="32"/>
          <w:szCs w:val="32"/>
          <w:lang w:val="en-US" w:eastAsia="zh-CN" w:bidi="ar-SA"/>
        </w:rPr>
        <w:t>=12次</w:t>
      </w:r>
      <w:r>
        <w:rPr>
          <w:rFonts w:hint="eastAsia" w:ascii="仿宋_GB2312" w:hAnsi="仿宋_GB2312" w:eastAsia="仿宋_GB2312" w:cs="仿宋_GB2312"/>
          <w:sz w:val="32"/>
          <w:szCs w:val="32"/>
          <w:highlight w:val="none"/>
        </w:rPr>
        <w:t xml:space="preserve"> ，实际完成值：</w:t>
      </w:r>
      <w:r>
        <w:rPr>
          <w:rFonts w:hint="eastAsia" w:ascii="仿宋" w:hAnsi="仿宋" w:eastAsia="仿宋" w:cs="仿宋"/>
          <w:sz w:val="32"/>
          <w:szCs w:val="32"/>
          <w:lang w:val="en-US" w:eastAsia="zh-CN"/>
        </w:rPr>
        <w:t>12人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C7BBA1D">
      <w:pPr>
        <w:snapToGrid w:val="0"/>
        <w:spacing w:line="560" w:lineRule="exact"/>
        <w:ind w:firstLine="640" w:firstLineChars="200"/>
        <w:outlineLvl w:val="9"/>
        <w:rPr>
          <w:rFonts w:hint="eastAsia" w:ascii="仿宋" w:hAnsi="仿宋" w:eastAsia="仿宋" w:cs="仿宋"/>
          <w:sz w:val="32"/>
          <w:szCs w:val="32"/>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 w:hAnsi="仿宋" w:eastAsia="仿宋" w:cs="仿宋"/>
          <w:b w:val="0"/>
          <w:bCs w:val="0"/>
          <w:kern w:val="2"/>
          <w:sz w:val="32"/>
          <w:szCs w:val="32"/>
          <w:lang w:val="en-US" w:eastAsia="zh-CN" w:bidi="ar-SA"/>
        </w:rPr>
        <w:t>培训学员人数</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eastAsia="zh-CN"/>
        </w:rPr>
        <w:t>：</w:t>
      </w:r>
      <w:r>
        <w:rPr>
          <w:rFonts w:hint="eastAsia" w:ascii="仿宋" w:hAnsi="仿宋" w:eastAsia="仿宋" w:cs="仿宋"/>
          <w:b w:val="0"/>
          <w:bCs w:val="0"/>
          <w:kern w:val="2"/>
          <w:sz w:val="32"/>
          <w:szCs w:val="32"/>
          <w:lang w:val="en-US" w:eastAsia="zh-CN" w:bidi="ar-SA"/>
        </w:rPr>
        <w:t>≥9000人</w:t>
      </w:r>
      <w:r>
        <w:rPr>
          <w:rFonts w:hint="eastAsia" w:ascii="仿宋_GB2312" w:hAnsi="仿宋_GB2312" w:eastAsia="仿宋_GB2312" w:cs="仿宋_GB2312"/>
          <w:sz w:val="32"/>
          <w:szCs w:val="32"/>
          <w:highlight w:val="none"/>
        </w:rPr>
        <w:t xml:space="preserve"> ，实际完成值：</w:t>
      </w:r>
      <w:r>
        <w:rPr>
          <w:rFonts w:hint="eastAsia" w:ascii="仿宋" w:hAnsi="仿宋" w:eastAsia="仿宋" w:cs="仿宋"/>
          <w:sz w:val="32"/>
          <w:szCs w:val="32"/>
          <w:lang w:val="en-US" w:eastAsia="zh-CN"/>
        </w:rPr>
        <w:t>6681人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74.23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w:t>
      </w:r>
      <w:r>
        <w:rPr>
          <w:rFonts w:hint="eastAsia" w:ascii="仿宋" w:hAnsi="仿宋" w:eastAsia="仿宋" w:cs="仿宋"/>
          <w:b w:val="0"/>
          <w:bCs w:val="0"/>
          <w:kern w:val="2"/>
          <w:sz w:val="32"/>
          <w:szCs w:val="32"/>
          <w:lang w:val="en-US" w:eastAsia="zh-CN" w:bidi="ar-SA"/>
        </w:rPr>
        <w:t>偏差原因：受</w:t>
      </w:r>
      <w:r>
        <w:rPr>
          <w:rFonts w:hint="eastAsia" w:ascii="仿宋" w:hAnsi="仿宋" w:eastAsia="仿宋" w:cs="仿宋"/>
          <w:sz w:val="32"/>
          <w:szCs w:val="32"/>
          <w:lang w:val="en-US" w:eastAsia="zh-CN"/>
        </w:rPr>
        <w:t>政策影响，培训工作受到了极大的冲击，总工会培训项目因政策原因转变方式，今年也无法开展培训，社会人员鉴定考试人员数量加大，造成培训人员数量减少，培训课时延长，造成年初计划的培训人数没有完成。整改措施：不断更新培训理念，探索培训模式，积极对接上级主管部门，不断拓宽社会化评价范围，做好培训服务，增加培训数量。</w:t>
      </w:r>
    </w:p>
    <w:p w14:paraId="30A14B05">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r>
        <w:rPr>
          <w:rFonts w:hint="eastAsia" w:ascii="仿宋" w:hAnsi="仿宋" w:eastAsia="仿宋" w:cs="仿宋"/>
          <w:b w:val="0"/>
          <w:bCs w:val="0"/>
          <w:kern w:val="2"/>
          <w:sz w:val="32"/>
          <w:szCs w:val="32"/>
          <w:lang w:val="en-US" w:eastAsia="zh-CN" w:bidi="ar-SA"/>
        </w:rPr>
        <w:t>师生团体心理辅导次数</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eastAsia="zh-CN"/>
        </w:rPr>
        <w:t>：</w:t>
      </w:r>
      <w:r>
        <w:rPr>
          <w:rFonts w:hint="eastAsia" w:ascii="仿宋" w:hAnsi="仿宋" w:eastAsia="仿宋" w:cs="仿宋"/>
          <w:b w:val="0"/>
          <w:bCs w:val="0"/>
          <w:kern w:val="2"/>
          <w:sz w:val="32"/>
          <w:szCs w:val="32"/>
          <w:lang w:val="en-US" w:eastAsia="zh-CN" w:bidi="ar-SA"/>
        </w:rPr>
        <w:t>=4次</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4人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B59D30D">
      <w:pPr>
        <w:shd w:val="clear"/>
        <w:spacing w:line="600" w:lineRule="exact"/>
        <w:ind w:firstLine="640" w:firstLineChars="200"/>
        <w:outlineLvl w:val="9"/>
        <w:rPr>
          <w:rFonts w:hint="default"/>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w:t>
      </w:r>
      <w:r>
        <w:rPr>
          <w:rFonts w:hint="eastAsia" w:ascii="仿宋" w:hAnsi="仿宋" w:eastAsia="仿宋" w:cs="仿宋"/>
          <w:b w:val="0"/>
          <w:bCs w:val="0"/>
          <w:kern w:val="2"/>
          <w:sz w:val="32"/>
          <w:szCs w:val="32"/>
          <w:lang w:val="en-US" w:eastAsia="zh-CN" w:bidi="ar-SA"/>
        </w:rPr>
        <w:t>建设工程数量</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eastAsia="zh-CN"/>
        </w:rPr>
        <w:t>：</w:t>
      </w:r>
      <w:r>
        <w:rPr>
          <w:rFonts w:hint="eastAsia" w:ascii="仿宋" w:hAnsi="仿宋" w:eastAsia="仿宋" w:cs="仿宋"/>
          <w:b w:val="0"/>
          <w:bCs w:val="0"/>
          <w:kern w:val="2"/>
          <w:sz w:val="32"/>
          <w:szCs w:val="32"/>
          <w:lang w:val="en-US" w:eastAsia="zh-CN" w:bidi="ar-SA"/>
        </w:rPr>
        <w:t>≥1个</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1人</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9A774C7">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B1A7828">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 w:hAnsi="仿宋" w:eastAsia="仿宋" w:cs="仿宋"/>
          <w:sz w:val="32"/>
          <w:szCs w:val="32"/>
        </w:rPr>
        <w:t>人员（补助）发放准确率</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54CADB39">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指标2：</w:t>
      </w:r>
      <w:r>
        <w:rPr>
          <w:rFonts w:hint="eastAsia" w:ascii="仿宋" w:hAnsi="仿宋" w:eastAsia="仿宋" w:cs="仿宋"/>
          <w:sz w:val="32"/>
          <w:szCs w:val="32"/>
          <w:lang w:val="en-US" w:eastAsia="zh-CN"/>
        </w:rPr>
        <w:t>培训学员合格率</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≥9</w:t>
      </w:r>
      <w:r>
        <w:rPr>
          <w:rFonts w:hint="eastAsia" w:ascii="仿宋" w:hAnsi="仿宋" w:eastAsia="仿宋" w:cs="仿宋"/>
          <w:sz w:val="32"/>
          <w:szCs w:val="32"/>
          <w:lang w:val="en-US" w:eastAsia="zh-CN"/>
        </w:rPr>
        <w:t>0</w:t>
      </w:r>
      <w:r>
        <w:rPr>
          <w:rFonts w:hint="eastAsia" w:ascii="仿宋" w:hAnsi="仿宋" w:eastAsia="仿宋" w:cs="仿宋"/>
          <w:sz w:val="32"/>
          <w:szCs w:val="32"/>
        </w:rPr>
        <w:t>%</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2874E2AF">
      <w:pPr>
        <w:shd w:val="clear"/>
        <w:spacing w:line="600" w:lineRule="exact"/>
        <w:ind w:firstLine="640" w:firstLineChars="200"/>
        <w:outlineLvl w:val="9"/>
        <w:rPr>
          <w:rFonts w:hint="eastAsia"/>
          <w:lang w:eastAsia="zh-CN"/>
        </w:rPr>
      </w:pPr>
      <w:r>
        <w:rPr>
          <w:rFonts w:hint="eastAsia" w:ascii="仿宋_GB2312" w:hAnsi="仿宋_GB2312" w:eastAsia="仿宋_GB2312" w:cs="仿宋_GB2312"/>
          <w:sz w:val="32"/>
          <w:szCs w:val="32"/>
          <w:highlight w:val="none"/>
          <w:lang w:val="en-US" w:eastAsia="zh-CN"/>
        </w:rPr>
        <w:t>指标3：</w:t>
      </w:r>
      <w:r>
        <w:rPr>
          <w:rFonts w:hint="eastAsia" w:ascii="仿宋" w:hAnsi="仿宋" w:eastAsia="仿宋" w:cs="仿宋"/>
          <w:sz w:val="32"/>
          <w:szCs w:val="32"/>
          <w:lang w:val="en-US" w:eastAsia="zh-CN"/>
        </w:rPr>
        <w:t>项目资金支付率</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≥9</w:t>
      </w:r>
      <w:r>
        <w:rPr>
          <w:rFonts w:hint="eastAsia" w:ascii="仿宋" w:hAnsi="仿宋" w:eastAsia="仿宋" w:cs="仿宋"/>
          <w:sz w:val="32"/>
          <w:szCs w:val="32"/>
          <w:lang w:val="en-US" w:eastAsia="zh-CN"/>
        </w:rPr>
        <w:t>0</w:t>
      </w:r>
      <w:r>
        <w:rPr>
          <w:rFonts w:hint="eastAsia" w:ascii="仿宋" w:hAnsi="仿宋" w:eastAsia="仿宋" w:cs="仿宋"/>
          <w:sz w:val="32"/>
          <w:szCs w:val="32"/>
        </w:rPr>
        <w:t>%</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83.10%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92.33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3ED3E23">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020C8050">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 w:hAnsi="仿宋" w:eastAsia="仿宋" w:cs="仿宋"/>
          <w:sz w:val="32"/>
          <w:szCs w:val="32"/>
          <w:lang w:eastAsia="zh-CN"/>
        </w:rPr>
        <w:t>人员（补助）发放及时率</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≥9</w:t>
      </w:r>
      <w:r>
        <w:rPr>
          <w:rFonts w:hint="eastAsia" w:ascii="仿宋" w:hAnsi="仿宋" w:eastAsia="仿宋" w:cs="仿宋"/>
          <w:sz w:val="32"/>
          <w:szCs w:val="32"/>
          <w:lang w:val="en-US" w:eastAsia="zh-CN"/>
        </w:rPr>
        <w:t>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105</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7D26CF8">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5F0C9618">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lang w:eastAsia="zh-CN"/>
        </w:rPr>
        <w:t>发放在职人员（补助）金额</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67万元</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68.64万元</w:t>
      </w:r>
      <w:r>
        <w:rPr>
          <w:rFonts w:hint="eastAsia" w:ascii="仿宋_GB2312" w:hAnsi="仿宋_GB2312" w:eastAsia="仿宋_GB2312" w:cs="仿宋_GB2312"/>
          <w:sz w:val="32"/>
          <w:szCs w:val="32"/>
          <w:highlight w:val="none"/>
        </w:rPr>
        <w:t xml:space="preserve"> ，指标完成率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351EE50">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lang w:val="en-US" w:eastAsia="zh-CN"/>
        </w:rPr>
        <w:t>支付工作人员各项费用</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204.49万元</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186.93万元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92.00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1B1EB2F">
      <w:pPr>
        <w:shd w:val="clear"/>
        <w:spacing w:line="600" w:lineRule="exact"/>
        <w:ind w:firstLine="640" w:firstLineChars="200"/>
        <w:outlineLvl w:val="9"/>
        <w:rPr>
          <w:rFonts w:hint="eastAsi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rPr>
        <w:t>建设工程成本</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100</w:t>
      </w:r>
      <w:r>
        <w:rPr>
          <w:rFonts w:hint="eastAsia" w:ascii="仿宋" w:hAnsi="仿宋" w:eastAsia="仿宋" w:cs="仿宋"/>
          <w:sz w:val="32"/>
          <w:szCs w:val="32"/>
        </w:rPr>
        <w:t>万元</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100</w:t>
      </w:r>
      <w:r>
        <w:rPr>
          <w:rFonts w:hint="eastAsia" w:ascii="仿宋" w:hAnsi="仿宋" w:eastAsia="仿宋" w:cs="仿宋"/>
          <w:sz w:val="32"/>
          <w:szCs w:val="32"/>
        </w:rPr>
        <w:t>万元</w:t>
      </w:r>
      <w:r>
        <w:rPr>
          <w:rFonts w:hint="eastAsia" w:ascii="仿宋_GB2312" w:hAnsi="仿宋_GB2312" w:eastAsia="仿宋_GB2312" w:cs="仿宋_GB2312"/>
          <w:sz w:val="32"/>
          <w:szCs w:val="32"/>
          <w:highlight w:val="none"/>
        </w:rPr>
        <w:t>，指标完成率</w:t>
      </w:r>
      <w:r>
        <w:rPr>
          <w:rFonts w:hint="eastAsia" w:ascii="仿宋" w:hAnsi="仿宋" w:eastAsia="仿宋" w:cs="仿宋"/>
          <w:sz w:val="32"/>
          <w:szCs w:val="32"/>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06AD88B">
      <w:pPr>
        <w:pStyle w:val="29"/>
        <w:numPr>
          <w:ilvl w:val="0"/>
          <w:numId w:val="5"/>
        </w:numPr>
        <w:bidi w:val="0"/>
        <w:rPr>
          <w:rFonts w:hint="eastAsia"/>
          <w:lang w:val="en-US" w:eastAsia="zh-CN"/>
        </w:rPr>
      </w:pPr>
      <w:bookmarkStart w:id="22" w:name="_Toc19568"/>
      <w:r>
        <w:rPr>
          <w:rFonts w:hint="eastAsia"/>
          <w:lang w:val="en-US" w:eastAsia="zh-CN"/>
        </w:rPr>
        <w:t>项目效益情况</w:t>
      </w:r>
      <w:bookmarkEnd w:id="22"/>
    </w:p>
    <w:p w14:paraId="620088C8">
      <w:pPr>
        <w:shd w:val="clear"/>
        <w:spacing w:line="60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4个三级指标构成，权重分为20分，实际得分20分，得分率为100%。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14:paraId="743B87D0">
      <w:pPr>
        <w:pStyle w:val="20"/>
        <w:bidi w:val="0"/>
        <w:rPr>
          <w:rFonts w:hint="eastAsia"/>
          <w:lang w:val="en-US" w:eastAsia="zh-CN"/>
        </w:rPr>
      </w:pPr>
      <w:r>
        <w:rPr>
          <w:rFonts w:hint="eastAsia"/>
          <w:lang w:val="en-US" w:eastAsia="zh-CN"/>
        </w:rPr>
        <w:t>1.实施效益</w:t>
      </w:r>
    </w:p>
    <w:p w14:paraId="2B0868A4">
      <w:pPr>
        <w:shd w:val="clear"/>
        <w:spacing w:line="60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7CBECEBC">
      <w:pPr>
        <w:shd w:val="clear"/>
        <w:spacing w:line="600" w:lineRule="exact"/>
        <w:ind w:firstLine="640" w:firstLineChars="200"/>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rPr>
        <w:t>受益学生人数</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00人</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896</w:t>
      </w:r>
      <w:r>
        <w:rPr>
          <w:rFonts w:hint="eastAsia" w:ascii="仿宋" w:hAnsi="仿宋" w:eastAsia="仿宋" w:cs="仿宋"/>
          <w:sz w:val="32"/>
          <w:szCs w:val="32"/>
        </w:rPr>
        <w:t>人</w:t>
      </w:r>
      <w:r>
        <w:rPr>
          <w:rFonts w:hint="eastAsia" w:ascii="仿宋_GB2312" w:hAnsi="仿宋_GB2312" w:eastAsia="仿宋_GB2312" w:cs="仿宋_GB2312"/>
          <w:sz w:val="32"/>
          <w:szCs w:val="32"/>
          <w:highlight w:val="none"/>
        </w:rPr>
        <w:t xml:space="preserve"> ，指标完成率</w:t>
      </w:r>
      <w:r>
        <w:rPr>
          <w:rFonts w:hint="eastAsia" w:ascii="仿宋_GB2312" w:hAnsi="仿宋_GB2312" w:eastAsia="仿宋_GB2312" w:cs="仿宋_GB2312"/>
          <w:sz w:val="32"/>
          <w:szCs w:val="32"/>
          <w:highlight w:val="none"/>
          <w:lang w:val="en-US" w:eastAsia="zh-CN"/>
        </w:rPr>
        <w:t>99.56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DB44BB5">
      <w:pPr>
        <w:shd w:val="clear"/>
        <w:spacing w:line="60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lang w:val="en-US" w:eastAsia="zh-CN"/>
        </w:rPr>
        <w:t>学生毕业率</w:t>
      </w:r>
      <w:r>
        <w:rPr>
          <w:rFonts w:hint="eastAsia" w:ascii="仿宋_GB2312" w:hAnsi="仿宋_GB2312" w:eastAsia="仿宋_GB2312" w:cs="仿宋_GB2312"/>
          <w:sz w:val="32"/>
          <w:szCs w:val="32"/>
          <w:highlight w:val="none"/>
        </w:rPr>
        <w:t>，指标值：</w:t>
      </w:r>
      <w:r>
        <w:rPr>
          <w:rFonts w:hint="eastAsia" w:ascii="仿宋" w:hAnsi="仿宋" w:eastAsia="仿宋" w:cs="仿宋"/>
          <w:sz w:val="32"/>
          <w:szCs w:val="32"/>
        </w:rPr>
        <w:t>≥</w:t>
      </w:r>
      <w:r>
        <w:rPr>
          <w:rFonts w:hint="eastAsia" w:ascii="仿宋" w:hAnsi="仿宋" w:eastAsia="仿宋" w:cs="仿宋"/>
          <w:sz w:val="32"/>
          <w:szCs w:val="32"/>
          <w:lang w:val="en-US" w:eastAsia="zh-CN"/>
        </w:rPr>
        <w:t>95%</w:t>
      </w:r>
      <w:r>
        <w:rPr>
          <w:rFonts w:hint="eastAsia" w:ascii="仿宋_GB2312" w:hAnsi="仿宋_GB2312" w:eastAsia="仿宋_GB2312" w:cs="仿宋_GB2312"/>
          <w:sz w:val="32"/>
          <w:szCs w:val="32"/>
          <w:highlight w:val="none"/>
        </w:rPr>
        <w:t>，实际完成值：</w:t>
      </w:r>
      <w:r>
        <w:rPr>
          <w:rFonts w:hint="eastAsia" w:ascii="仿宋" w:hAnsi="仿宋" w:eastAsia="仿宋" w:cs="仿宋"/>
          <w:sz w:val="32"/>
          <w:szCs w:val="32"/>
          <w:lang w:val="en-US" w:eastAsia="zh-CN"/>
        </w:rPr>
        <w:t>99%</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C983BEA">
      <w:pPr>
        <w:pStyle w:val="20"/>
        <w:bidi w:val="0"/>
        <w:rPr>
          <w:rFonts w:hint="eastAsia"/>
          <w:lang w:val="en-US" w:eastAsia="zh-CN"/>
        </w:rPr>
      </w:pPr>
      <w:r>
        <w:rPr>
          <w:rFonts w:hint="eastAsia"/>
          <w:lang w:val="en-US" w:eastAsia="zh-CN"/>
        </w:rPr>
        <w:t>2.满意度</w:t>
      </w:r>
    </w:p>
    <w:p w14:paraId="6AF18701">
      <w:pPr>
        <w:shd w:val="clear"/>
        <w:spacing w:line="600" w:lineRule="exact"/>
        <w:ind w:firstLine="640" w:firstLineChars="200"/>
        <w:outlineLvl w:val="9"/>
        <w:rPr>
          <w:rFonts w:hint="default"/>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学生满意度，指标值：≥85%，实际完成值：</w:t>
      </w:r>
      <w:r>
        <w:rPr>
          <w:rFonts w:hint="eastAsia" w:ascii="仿宋" w:hAnsi="仿宋" w:eastAsia="仿宋" w:cs="仿宋"/>
          <w:sz w:val="32"/>
          <w:szCs w:val="32"/>
        </w:rPr>
        <w:t>9</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_GB2312" w:hAnsi="仿宋_GB2312" w:eastAsia="仿宋_GB2312" w:cs="仿宋_GB2312"/>
          <w:b w:val="0"/>
          <w:bCs w:val="0"/>
          <w:kern w:val="2"/>
          <w:sz w:val="32"/>
          <w:szCs w:val="32"/>
          <w:highlight w:val="none"/>
          <w:lang w:val="en-US" w:eastAsia="zh-CN" w:bidi="ar-SA"/>
        </w:rPr>
        <w:t xml:space="preserve"> ，指标完成率100%。</w:t>
      </w:r>
      <w:r>
        <w:rPr>
          <w:rFonts w:hint="eastAsia" w:ascii="仿宋" w:hAnsi="仿宋" w:eastAsia="仿宋" w:cs="仿宋"/>
          <w:b w:val="0"/>
          <w:bCs w:val="0"/>
          <w:kern w:val="2"/>
          <w:sz w:val="32"/>
          <w:szCs w:val="32"/>
          <w:lang w:val="en-US" w:eastAsia="zh-CN" w:bidi="ar-SA"/>
        </w:rPr>
        <w:t>学员满意度，</w:t>
      </w:r>
      <w:r>
        <w:rPr>
          <w:rFonts w:hint="eastAsia" w:ascii="仿宋_GB2312" w:hAnsi="仿宋_GB2312" w:eastAsia="仿宋_GB2312" w:cs="仿宋_GB2312"/>
          <w:b w:val="0"/>
          <w:bCs w:val="0"/>
          <w:kern w:val="2"/>
          <w:sz w:val="32"/>
          <w:szCs w:val="32"/>
          <w:highlight w:val="none"/>
          <w:lang w:val="en-US" w:eastAsia="zh-CN" w:bidi="ar-SA"/>
        </w:rPr>
        <w:t>指标值：≥95%，实际完成值：</w:t>
      </w:r>
      <w:r>
        <w:rPr>
          <w:rFonts w:hint="eastAsia" w:ascii="仿宋" w:hAnsi="仿宋" w:eastAsia="仿宋" w:cs="仿宋"/>
          <w:sz w:val="32"/>
          <w:szCs w:val="32"/>
        </w:rPr>
        <w:t>9</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_GB2312" w:hAnsi="仿宋_GB2312" w:eastAsia="仿宋_GB2312" w:cs="仿宋_GB2312"/>
          <w:b w:val="0"/>
          <w:bCs w:val="0"/>
          <w:kern w:val="2"/>
          <w:sz w:val="32"/>
          <w:szCs w:val="32"/>
          <w:highlight w:val="none"/>
          <w:lang w:val="en-US" w:eastAsia="zh-CN" w:bidi="ar-SA"/>
        </w:rPr>
        <w:t xml:space="preserve"> ，指标完成率100%。</w:t>
      </w:r>
    </w:p>
    <w:p w14:paraId="77916379">
      <w:pPr>
        <w:pStyle w:val="19"/>
        <w:bidi w:val="0"/>
        <w:rPr>
          <w:rFonts w:hint="eastAsia"/>
          <w:lang w:eastAsia="zh-Hans"/>
        </w:rPr>
      </w:pPr>
      <w:bookmarkStart w:id="23" w:name="_Toc23116"/>
      <w:r>
        <w:rPr>
          <w:rFonts w:hint="eastAsia"/>
          <w:lang w:eastAsia="zh-Hans"/>
        </w:rPr>
        <w:t>五、预算执行进度与绩效指标总体完成率偏差</w:t>
      </w:r>
      <w:bookmarkEnd w:id="23"/>
    </w:p>
    <w:p w14:paraId="77936428">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弥补成本性支出经费项目年初预算556.00万元，全年预算556.00万元，实际支出462.05万元，预算执行率为83.10%，项目绩效指标总体完成率为96.94%，</w:t>
      </w:r>
      <w:r>
        <w:rPr>
          <w:rFonts w:hint="eastAsia" w:ascii="仿宋_GB2312" w:hAnsi="仿宋_GB2312" w:eastAsia="仿宋_GB2312" w:cs="仿宋_GB2312"/>
          <w:b w:val="0"/>
          <w:bCs w:val="0"/>
          <w:kern w:val="2"/>
          <w:sz w:val="32"/>
          <w:szCs w:val="32"/>
          <w:highlight w:val="none"/>
          <w:lang w:val="en-US" w:eastAsia="zh-Hans" w:bidi="ar-SA"/>
        </w:rPr>
        <w:t>总体</w:t>
      </w:r>
      <w:r>
        <w:rPr>
          <w:rFonts w:hint="eastAsia" w:ascii="仿宋_GB2312" w:hAnsi="仿宋_GB2312" w:eastAsia="仿宋_GB2312" w:cs="仿宋_GB2312"/>
          <w:b w:val="0"/>
          <w:bCs w:val="0"/>
          <w:kern w:val="2"/>
          <w:sz w:val="32"/>
          <w:szCs w:val="32"/>
          <w:highlight w:val="none"/>
          <w:lang w:val="en-US" w:eastAsia="zh-CN" w:bidi="ar-SA"/>
        </w:rPr>
        <w:t>偏差率为13.84%,</w:t>
      </w:r>
      <w:r>
        <w:rPr>
          <w:rFonts w:hint="eastAsia" w:ascii="仿宋_GB2312" w:hAnsi="仿宋_GB2312" w:eastAsia="仿宋_GB2312" w:cs="仿宋_GB2312"/>
          <w:b w:val="0"/>
          <w:bCs w:val="0"/>
          <w:kern w:val="2"/>
          <w:sz w:val="32"/>
          <w:szCs w:val="32"/>
          <w:highlight w:val="none"/>
          <w:lang w:val="en-US" w:eastAsia="zh-Hans" w:bidi="ar-SA"/>
        </w:rPr>
        <w:t>偏差</w:t>
      </w:r>
      <w:r>
        <w:rPr>
          <w:rFonts w:hint="eastAsia" w:ascii="仿宋_GB2312" w:hAnsi="仿宋_GB2312" w:eastAsia="仿宋_GB2312" w:cs="仿宋_GB2312"/>
          <w:b w:val="0"/>
          <w:bCs w:val="0"/>
          <w:kern w:val="2"/>
          <w:sz w:val="32"/>
          <w:szCs w:val="32"/>
          <w:highlight w:val="none"/>
          <w:lang w:val="en-US" w:eastAsia="zh-CN" w:bidi="ar-SA"/>
        </w:rPr>
        <w:t>原因：学校严格落实《关于印发〈新疆维吾尔自治区编制外聘用人员有序分流安置指导意见〉的通知》、《自治区编制外聘用人员规范管理暂行办法》等文件精神，根据实际情况对不能胜任岗位工作、年龄较大的人员进行摸底，学校制定分流工作方案，有序对编制外聘用人员进行分流，有序分流4人，导致工作人员（补助）人数、工作人员费用指标值与绩效目标相差较大；受政策影响，培训工作受到了极大的冲击，总工会培训项目因政策原因转变方式，今年也无法开展培训，社会人员鉴定考试人员数量加大，造成培训人员数量减少，培训课时延长，造成年初计划的培训人数绩效目标没有完成。</w:t>
      </w:r>
      <w:r>
        <w:rPr>
          <w:rFonts w:hint="eastAsia" w:ascii="仿宋_GB2312" w:hAnsi="仿宋_GB2312" w:eastAsia="仿宋_GB2312" w:cs="仿宋_GB2312"/>
          <w:b w:val="0"/>
          <w:bCs w:val="0"/>
          <w:kern w:val="2"/>
          <w:sz w:val="32"/>
          <w:szCs w:val="32"/>
          <w:highlight w:val="none"/>
          <w:lang w:val="en-US" w:eastAsia="zh-Hans" w:bidi="ar-SA"/>
        </w:rPr>
        <w:t>改进</w:t>
      </w:r>
      <w:r>
        <w:rPr>
          <w:rFonts w:hint="eastAsia" w:ascii="仿宋_GB2312" w:hAnsi="仿宋_GB2312" w:eastAsia="仿宋_GB2312" w:cs="仿宋_GB2312"/>
          <w:b w:val="0"/>
          <w:bCs w:val="0"/>
          <w:kern w:val="2"/>
          <w:sz w:val="32"/>
          <w:szCs w:val="32"/>
          <w:highlight w:val="none"/>
          <w:lang w:val="en-US" w:eastAsia="zh-CN" w:bidi="ar-SA"/>
        </w:rPr>
        <w:t>措施：加强项目预算安排的准确性，需进一步加强单位预算管理意识，减少绩效目标差距；不断更新培训理念，探索培训模式，积极对接上级主管部门，不断拓宽社会化评价范围，做好培训服务，增加培训数量。</w:t>
      </w:r>
    </w:p>
    <w:p w14:paraId="7103E2BA">
      <w:pPr>
        <w:pStyle w:val="19"/>
        <w:bidi w:val="0"/>
        <w:rPr>
          <w:rStyle w:val="21"/>
          <w:rFonts w:ascii="Times New Roman" w:hAnsi="Times New Roman" w:cs="Times New Roman"/>
          <w:color w:val="auto"/>
        </w:rPr>
      </w:pPr>
      <w:bookmarkStart w:id="24" w:name="_Toc12609"/>
      <w:r>
        <w:rPr>
          <w:rFonts w:hint="eastAsia" w:eastAsia="黑体"/>
          <w:sz w:val="32"/>
          <w:szCs w:val="32"/>
          <w:lang w:eastAsia="zh-Hans"/>
        </w:rPr>
        <w:t>六</w:t>
      </w:r>
      <w:r>
        <w:rPr>
          <w:rFonts w:eastAsia="黑体"/>
          <w:sz w:val="32"/>
          <w:szCs w:val="32"/>
        </w:rPr>
        <w:t>、主要经验及做法、存在的问题及原因分析</w:t>
      </w:r>
      <w:bookmarkEnd w:id="24"/>
    </w:p>
    <w:p w14:paraId="788546A6">
      <w:pPr>
        <w:pStyle w:val="29"/>
        <w:bidi w:val="0"/>
      </w:pPr>
      <w:bookmarkStart w:id="25" w:name="_Toc21817"/>
      <w:r>
        <w:t>（一）主要经验及做法</w:t>
      </w:r>
      <w:bookmarkEnd w:id="25"/>
    </w:p>
    <w:p w14:paraId="0E574A52">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本项目是维持学校日常教学、校舍建设等活动正常进行的项目，主要为财政专户管理资金和银行利息收入，都用于学校日常支出、校舍建设自筹资金部分，数据资料主要来源于学校综合管理处、教务处、信息管理处、培训处、财务人事处等。在学校党支部牵头组织下成立监察督导小组，结合评价项目的特性，对项目资金的管理使用、支付等情况进行检查，确保项目质量和资金的安全使用并客观、公正地对项目支出进行评价，以反映项目资金的绩效。通过绩效评价，树立绩效管理理念，做好预算绩效管理，提高财政资金效益，优化财政支出结构。</w:t>
      </w:r>
    </w:p>
    <w:p w14:paraId="038213BA">
      <w:pPr>
        <w:pStyle w:val="29"/>
        <w:numPr>
          <w:ilvl w:val="0"/>
          <w:numId w:val="6"/>
        </w:numPr>
        <w:bidi w:val="0"/>
      </w:pPr>
      <w:bookmarkStart w:id="26" w:name="_Toc12153"/>
      <w:r>
        <w:t>存在的问题及原因分析</w:t>
      </w:r>
      <w:bookmarkEnd w:id="26"/>
    </w:p>
    <w:p w14:paraId="70C41027">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存在的主要问题是项目资金无法有效保证。成本性支出项目资金为财政专户管理资金，没有中央和自治区一般公共预算拨款、政府性基金预算拨款等资金。财政专户管理资金主要来源是学校的教育收费（财政专户）非税收入，只有加大创收力度，努力拓展新的培训项目和新的培训领域保证培训收入，才能保质保量地完成项目绩效目标。</w:t>
      </w:r>
    </w:p>
    <w:p w14:paraId="65886FF4">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107E8ED">
      <w:pPr>
        <w:pStyle w:val="19"/>
        <w:bidi w:val="0"/>
        <w:rPr>
          <w:rFonts w:eastAsia="黑体"/>
          <w:sz w:val="32"/>
          <w:szCs w:val="32"/>
        </w:rPr>
      </w:pPr>
      <w:bookmarkStart w:id="27" w:name="_Toc19508"/>
      <w:r>
        <w:rPr>
          <w:rFonts w:hint="eastAsia" w:eastAsia="黑体"/>
          <w:sz w:val="32"/>
          <w:szCs w:val="32"/>
          <w:lang w:eastAsia="zh-Hans"/>
        </w:rPr>
        <w:t>七、</w:t>
      </w:r>
      <w:r>
        <w:rPr>
          <w:rFonts w:eastAsia="黑体"/>
          <w:sz w:val="32"/>
          <w:szCs w:val="32"/>
        </w:rPr>
        <w:t>有关建议</w:t>
      </w:r>
      <w:bookmarkEnd w:id="27"/>
    </w:p>
    <w:p w14:paraId="075DCC06">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1.多进行有关绩效管理工作方面的培训，进一步夯实业务基础，提高我单位绩效人员水平。</w:t>
      </w:r>
    </w:p>
    <w:p w14:paraId="42310DB3">
      <w:pPr>
        <w:shd w:val="clear"/>
        <w:spacing w:line="600" w:lineRule="exact"/>
        <w:ind w:firstLine="640" w:firstLineChars="20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2.进一步加强对绩效管理工作的组织领导，提高对预算绩效管理工作重要性的认识，总结经验查找问题，抓紧研究制定更全面更完善的绩效评价管理办法，加大对全面实施预算绩效管理和绩效管理工作的学习力度，让“花钱必问效，无效必问责”的理念深入工作每个环节。</w:t>
      </w:r>
    </w:p>
    <w:p w14:paraId="459D9143">
      <w:pPr>
        <w:shd w:val="clear"/>
        <w:spacing w:line="600" w:lineRule="exact"/>
        <w:ind w:firstLine="640" w:firstLineChars="200"/>
        <w:outlineLvl w:val="9"/>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3.逐步加强项目预算安排的准确性，减少年初预算与年终决算差距，需进一步加强单位预算管理意识，加强对项目支出绩效评价相关政策的学习与培训，以便更好地做好项目绩效评价工作。</w:t>
      </w:r>
    </w:p>
    <w:p w14:paraId="0F87F431">
      <w:pPr>
        <w:pStyle w:val="19"/>
        <w:bidi w:val="0"/>
        <w:rPr>
          <w:rFonts w:eastAsia="黑体"/>
          <w:sz w:val="32"/>
          <w:szCs w:val="32"/>
        </w:rPr>
      </w:pPr>
      <w:bookmarkStart w:id="28" w:name="_Toc14783"/>
      <w:r>
        <w:rPr>
          <w:rFonts w:hint="eastAsia" w:eastAsia="黑体"/>
          <w:sz w:val="32"/>
          <w:szCs w:val="32"/>
          <w:lang w:eastAsia="zh-Hans"/>
        </w:rPr>
        <w:t>八、</w:t>
      </w:r>
      <w:r>
        <w:rPr>
          <w:rFonts w:eastAsia="黑体"/>
          <w:sz w:val="32"/>
          <w:szCs w:val="32"/>
        </w:rPr>
        <w:t>其他需要说</w:t>
      </w:r>
      <w:bookmarkStart w:id="29" w:name="page8"/>
      <w:bookmarkEnd w:id="29"/>
      <w:r>
        <w:rPr>
          <w:rFonts w:eastAsia="黑体"/>
          <w:sz w:val="32"/>
          <w:szCs w:val="32"/>
        </w:rPr>
        <w:t>明的问题</w:t>
      </w:r>
      <w:bookmarkEnd w:id="28"/>
    </w:p>
    <w:p w14:paraId="2F032961">
      <w:pPr>
        <w:pStyle w:val="14"/>
        <w:spacing w:after="0" w:line="560" w:lineRule="exact"/>
        <w:ind w:left="0" w:leftChars="0" w:firstLine="640"/>
        <w:outlineLvl w:val="9"/>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Hans" w:bidi="ar-SA"/>
        </w:rPr>
        <w:t>本项目无其他需说明的问题。</w:t>
      </w:r>
    </w:p>
    <w:p w14:paraId="62707439">
      <w:pPr>
        <w:pStyle w:val="14"/>
        <w:spacing w:after="0" w:line="560" w:lineRule="exact"/>
        <w:ind w:left="0" w:leftChars="0" w:firstLine="640"/>
        <w:rPr>
          <w:rFonts w:hint="eastAsia" w:ascii="仿宋_GB2312" w:hAnsi="仿宋_GB2312" w:eastAsia="仿宋_GB2312" w:cs="仿宋_GB2312"/>
          <w:b w:val="0"/>
          <w:bCs w:val="0"/>
          <w:kern w:val="2"/>
          <w:sz w:val="32"/>
          <w:szCs w:val="32"/>
          <w:highlight w:val="none"/>
          <w:lang w:val="en-US" w:eastAsia="zh-CN" w:bidi="ar-SA"/>
        </w:rPr>
      </w:pPr>
    </w:p>
    <w:p w14:paraId="5F1D559D">
      <w:pPr>
        <w:pStyle w:val="14"/>
        <w:spacing w:after="0" w:line="560" w:lineRule="exact"/>
        <w:ind w:left="0" w:leftChars="0" w:firstLine="640"/>
        <w:rPr>
          <w:rFonts w:hint="eastAsia" w:ascii="仿宋_GB2312" w:hAnsi="仿宋_GB2312" w:eastAsia="仿宋_GB2312" w:cs="仿宋_GB2312"/>
          <w:b w:val="0"/>
          <w:bCs w:val="0"/>
          <w:kern w:val="2"/>
          <w:sz w:val="32"/>
          <w:szCs w:val="32"/>
          <w:highlight w:val="none"/>
          <w:lang w:val="en-US" w:eastAsia="zh-CN" w:bidi="ar-SA"/>
        </w:rPr>
      </w:pPr>
    </w:p>
    <w:p w14:paraId="5EBC4419">
      <w:pPr>
        <w:pStyle w:val="14"/>
        <w:spacing w:after="0" w:line="560" w:lineRule="exact"/>
        <w:ind w:left="0" w:leftChars="0" w:firstLine="0" w:firstLineChars="0"/>
        <w:rPr>
          <w:rFonts w:ascii="仿宋_GB2312" w:hAnsi="仿宋_GB2312" w:eastAsia="仿宋_GB2312" w:cs="仿宋_GB2312"/>
          <w:sz w:val="32"/>
          <w:szCs w:val="32"/>
        </w:rPr>
      </w:pPr>
    </w:p>
    <w:p w14:paraId="13D60D17">
      <w:pPr>
        <w:widowControl/>
        <w:jc w:val="center"/>
        <w:textAlignment w:val="center"/>
        <w:rPr>
          <w:rFonts w:eastAsia="方正小标宋简体"/>
          <w:b/>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p>
    <w:tbl>
      <w:tblPr>
        <w:tblStyle w:val="15"/>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14:paraId="2D7FFBE9">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5F946F8E">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14:paraId="7E1D0B29">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E02D1">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3</w:t>
            </w:r>
            <w:r>
              <w:rPr>
                <w:kern w:val="0"/>
                <w:sz w:val="22"/>
                <w:szCs w:val="22"/>
                <w:lang w:bidi="ar"/>
              </w:rPr>
              <w:t>年度）</w:t>
            </w:r>
          </w:p>
        </w:tc>
      </w:tr>
      <w:tr w14:paraId="6FDBC4F4">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83ED5">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375A3">
            <w:pPr>
              <w:widowControl/>
              <w:jc w:val="center"/>
              <w:textAlignment w:val="center"/>
              <w:rPr>
                <w:sz w:val="18"/>
                <w:szCs w:val="18"/>
              </w:rPr>
            </w:pPr>
          </w:p>
        </w:tc>
      </w:tr>
      <w:tr w14:paraId="2173221B">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002945">
            <w:pPr>
              <w:widowControl/>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9AA5F">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D048D">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7956C">
            <w:pPr>
              <w:jc w:val="center"/>
              <w:rPr>
                <w:sz w:val="18"/>
                <w:szCs w:val="18"/>
              </w:rPr>
            </w:pPr>
          </w:p>
        </w:tc>
      </w:tr>
      <w:tr w14:paraId="66CE8088">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4E537">
            <w:pPr>
              <w:widowControl/>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64DED">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779F91">
            <w:pPr>
              <w:widowControl/>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4801EB">
            <w:pPr>
              <w:widowControl/>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EC08B1">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BE4046">
            <w:pPr>
              <w:widowControl/>
              <w:jc w:val="center"/>
              <w:textAlignment w:val="center"/>
              <w:rPr>
                <w:sz w:val="18"/>
                <w:szCs w:val="18"/>
              </w:rPr>
            </w:pPr>
            <w:r>
              <w:rPr>
                <w:kern w:val="0"/>
                <w:sz w:val="18"/>
                <w:szCs w:val="18"/>
                <w:lang w:bidi="ar"/>
              </w:rPr>
              <w:t>执行率</w:t>
            </w:r>
          </w:p>
        </w:tc>
      </w:tr>
      <w:tr w14:paraId="2154E777">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2E876">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D44DD">
            <w:pPr>
              <w:widowControl/>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0A6E9">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556</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A88B93">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556</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6787E">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462.05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CAD06">
            <w:pPr>
              <w:widowControl/>
              <w:jc w:val="center"/>
              <w:textAlignment w:val="center"/>
              <w:rPr>
                <w:rFonts w:hint="default" w:eastAsia="宋体"/>
                <w:sz w:val="18"/>
                <w:szCs w:val="18"/>
                <w:lang w:val="en-US" w:eastAsia="zh-CN"/>
              </w:rPr>
            </w:pPr>
            <w:r>
              <w:rPr>
                <w:rFonts w:hint="eastAsia"/>
                <w:sz w:val="18"/>
                <w:szCs w:val="18"/>
                <w:lang w:val="en-US" w:eastAsia="zh-CN"/>
              </w:rPr>
              <w:t>83.10%</w:t>
            </w:r>
          </w:p>
        </w:tc>
      </w:tr>
      <w:tr w14:paraId="5E0E4CBB">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D42E2">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0AA2E">
            <w:pPr>
              <w:widowControl/>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0CAB3">
            <w:pPr>
              <w:widowControl/>
              <w:jc w:val="center"/>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D3B25">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A1911">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34353">
            <w:pPr>
              <w:widowControl/>
              <w:jc w:val="center"/>
              <w:textAlignment w:val="center"/>
              <w:rPr>
                <w:sz w:val="18"/>
                <w:szCs w:val="18"/>
              </w:rPr>
            </w:pPr>
          </w:p>
        </w:tc>
      </w:tr>
      <w:tr w14:paraId="32D9682B">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D23183">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F6633D">
            <w:pPr>
              <w:widowControl/>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97A1C6">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FB2C7">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9B5CC">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1DECEE">
            <w:pPr>
              <w:jc w:val="center"/>
              <w:rPr>
                <w:sz w:val="18"/>
                <w:szCs w:val="18"/>
              </w:rPr>
            </w:pPr>
          </w:p>
        </w:tc>
      </w:tr>
      <w:tr w14:paraId="04023EAC">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E057C">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1B404">
            <w:pPr>
              <w:widowControl/>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1C3D8">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556</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4B3F8">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556</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3699C7">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462.05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6390B">
            <w:pPr>
              <w:widowControl/>
              <w:jc w:val="center"/>
              <w:textAlignment w:val="center"/>
              <w:rPr>
                <w:sz w:val="18"/>
                <w:szCs w:val="18"/>
              </w:rPr>
            </w:pPr>
            <w:r>
              <w:rPr>
                <w:rFonts w:hint="eastAsia"/>
                <w:sz w:val="18"/>
                <w:szCs w:val="18"/>
                <w:lang w:val="en-US" w:eastAsia="zh-CN"/>
              </w:rPr>
              <w:t>83.10%</w:t>
            </w:r>
          </w:p>
        </w:tc>
      </w:tr>
      <w:tr w14:paraId="499E727C">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D276D">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497D00">
            <w:pPr>
              <w:widowControl/>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5DC9F">
            <w:pPr>
              <w:widowControl/>
              <w:jc w:val="center"/>
              <w:textAlignment w:val="center"/>
              <w:rPr>
                <w:sz w:val="18"/>
                <w:szCs w:val="18"/>
              </w:rPr>
            </w:pPr>
            <w:r>
              <w:rPr>
                <w:kern w:val="0"/>
                <w:sz w:val="18"/>
                <w:szCs w:val="18"/>
                <w:lang w:bidi="ar"/>
              </w:rPr>
              <w:t>实际完成情况</w:t>
            </w:r>
          </w:p>
        </w:tc>
      </w:tr>
      <w:tr w14:paraId="7A517C5B">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6777FC">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BA102F">
            <w:pPr>
              <w:widowControl/>
              <w:textAlignment w:val="center"/>
              <w:rPr>
                <w:sz w:val="18"/>
                <w:szCs w:val="18"/>
              </w:rPr>
            </w:pPr>
            <w:r>
              <w:rPr>
                <w:rFonts w:hint="eastAsia" w:ascii="宋体" w:hAnsi="宋体" w:eastAsia="宋体" w:cs="宋体"/>
                <w:i w:val="0"/>
                <w:iCs w:val="0"/>
                <w:color w:val="000000"/>
                <w:kern w:val="0"/>
                <w:sz w:val="18"/>
                <w:szCs w:val="18"/>
                <w:u w:val="none"/>
                <w:lang w:val="en-US" w:eastAsia="zh-CN" w:bidi="ar"/>
              </w:rPr>
              <w:t>1.通过财政专户资金弥补公用经费不足，以满足学校日常教学要求。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2.以专业建设为引领，以技能竞赛为驱动，以职业培训为平台，以师资队伍建设为支撑，校企合作、教培并举，立德树人，努力培养德智体美劳全面发展的社会主义建设者和接班人。</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A2FC5">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通过财政专户资金弥补公用经费不足，满足了学校日常教学要求。以专业建设为引领，以技能竞赛为驱动，以职业培训为平台，以师资队伍建设为支撑，校企合作、教培并举，立德树人，培养德智体美劳全面发展的社会主义建设者和接班人。</w:t>
            </w:r>
          </w:p>
        </w:tc>
      </w:tr>
      <w:tr w14:paraId="2938FC52">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745657">
            <w:pPr>
              <w:widowControl/>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71FE9">
            <w:pPr>
              <w:widowControl/>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FFB85D">
            <w:pPr>
              <w:widowControl/>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F87DCC">
            <w:pPr>
              <w:widowControl/>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F6368">
            <w:pPr>
              <w:widowControl/>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BCE7D0">
            <w:pPr>
              <w:widowControl/>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3913A">
            <w:pPr>
              <w:widowControl/>
              <w:jc w:val="center"/>
              <w:textAlignment w:val="center"/>
              <w:rPr>
                <w:sz w:val="18"/>
                <w:szCs w:val="18"/>
              </w:rPr>
            </w:pPr>
            <w:r>
              <w:rPr>
                <w:kern w:val="0"/>
                <w:sz w:val="18"/>
                <w:szCs w:val="18"/>
                <w:lang w:bidi="ar"/>
              </w:rPr>
              <w:t>偏差原因分析及改进措施</w:t>
            </w:r>
          </w:p>
        </w:tc>
      </w:tr>
      <w:tr w14:paraId="339CCBE1">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F37F0">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B5DB23">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C2DD7">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F1B67">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FFD18">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7DC2B">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12A87">
            <w:pPr>
              <w:jc w:val="center"/>
              <w:rPr>
                <w:sz w:val="18"/>
                <w:szCs w:val="18"/>
              </w:rPr>
            </w:pPr>
          </w:p>
        </w:tc>
      </w:tr>
      <w:tr w14:paraId="66737127">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254AF">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33C50F">
            <w:pPr>
              <w:widowControl/>
              <w:jc w:val="center"/>
              <w:textAlignment w:val="center"/>
              <w:rPr>
                <w:sz w:val="18"/>
                <w:szCs w:val="18"/>
              </w:rPr>
            </w:pPr>
            <w:r>
              <w:rPr>
                <w:kern w:val="0"/>
                <w:sz w:val="18"/>
                <w:szCs w:val="18"/>
                <w:lang w:bidi="ar"/>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22FE6">
            <w:pPr>
              <w:widowControl/>
              <w:jc w:val="center"/>
              <w:textAlignment w:val="center"/>
              <w:rPr>
                <w:sz w:val="18"/>
                <w:szCs w:val="18"/>
              </w:rPr>
            </w:pPr>
            <w:r>
              <w:rPr>
                <w:kern w:val="0"/>
                <w:sz w:val="18"/>
                <w:szCs w:val="18"/>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67990">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发放在职人员（补助）人数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2C415">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&gt;=40人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EC48E">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42人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3416F">
            <w:pPr>
              <w:jc w:val="center"/>
              <w:rPr>
                <w:sz w:val="18"/>
                <w:szCs w:val="18"/>
              </w:rPr>
            </w:pPr>
          </w:p>
        </w:tc>
      </w:tr>
      <w:tr w14:paraId="3691F53A">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58B7E">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3F6B94D">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9CB938">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914A7">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工作人员（补助）人数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2E83AC">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&gt;=20人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9BC4C3">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15人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570C3">
            <w:pPr>
              <w:jc w:val="center"/>
              <w:rPr>
                <w:sz w:val="18"/>
                <w:szCs w:val="18"/>
              </w:rPr>
            </w:pPr>
            <w:r>
              <w:rPr>
                <w:rFonts w:hint="eastAsia" w:ascii="宋体" w:hAnsi="宋体" w:eastAsia="宋体" w:cs="宋体"/>
                <w:i w:val="0"/>
                <w:iCs w:val="0"/>
                <w:color w:val="000000"/>
                <w:kern w:val="0"/>
                <w:sz w:val="18"/>
                <w:szCs w:val="18"/>
                <w:u w:val="none"/>
                <w:lang w:val="en-US" w:eastAsia="zh-CN" w:bidi="ar"/>
              </w:rPr>
              <w:t>偏差原因：根据实际情况，对不能胜任岗位工作、年龄较大的人员进行摸底，并制定有序分流工作方案，有序分流4人。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改进措施：我校编外临聘人员未经过社会化招聘，整体素质受限，现根据工作岗位需求进行有序分流。</w:t>
            </w:r>
          </w:p>
        </w:tc>
      </w:tr>
      <w:tr w14:paraId="3D192CC0">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38B78">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F0FB663">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1F9BD">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5635DC">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发放（补助）次数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88BD6">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=12次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9D562">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12次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A4F59">
            <w:pPr>
              <w:jc w:val="center"/>
              <w:rPr>
                <w:sz w:val="18"/>
                <w:szCs w:val="18"/>
              </w:rPr>
            </w:pPr>
          </w:p>
        </w:tc>
      </w:tr>
      <w:tr w14:paraId="528DEA8F">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5E05C">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3FB8D40">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9D0F87">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26E25">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培训学员人数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9DD242">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&gt;=9000人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C4932">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6681</w:t>
            </w:r>
            <w:r>
              <w:rPr>
                <w:rFonts w:hint="eastAsia" w:ascii="宋体" w:hAnsi="宋体" w:cs="宋体"/>
                <w:i w:val="0"/>
                <w:iCs w:val="0"/>
                <w:color w:val="000000"/>
                <w:kern w:val="0"/>
                <w:sz w:val="18"/>
                <w:szCs w:val="18"/>
                <w:u w:val="none"/>
                <w:lang w:val="en-US" w:eastAsia="zh-CN" w:bidi="ar"/>
              </w:rPr>
              <w:t>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25D837">
            <w:pPr>
              <w:jc w:val="center"/>
              <w:rPr>
                <w:sz w:val="18"/>
                <w:szCs w:val="18"/>
              </w:rPr>
            </w:pPr>
          </w:p>
        </w:tc>
      </w:tr>
      <w:tr w14:paraId="2A7A80EA">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6AE340">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6AD9BB5">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C15367">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391002">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师生团体心理辅导次数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A2FE7">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E3BD1">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4次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792582">
            <w:pPr>
              <w:jc w:val="center"/>
              <w:rPr>
                <w:sz w:val="18"/>
                <w:szCs w:val="18"/>
              </w:rPr>
            </w:pPr>
          </w:p>
        </w:tc>
      </w:tr>
      <w:tr w14:paraId="314EF36A">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A45620">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CBBEDA">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A0D1E9">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C7F0C3">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建设工程数量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9CFB8">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&gt;=1个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AEC26">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7AEFC">
            <w:pPr>
              <w:jc w:val="center"/>
              <w:rPr>
                <w:sz w:val="18"/>
                <w:szCs w:val="18"/>
              </w:rPr>
            </w:pPr>
          </w:p>
        </w:tc>
      </w:tr>
      <w:tr w14:paraId="4DBE1365">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3D1F0">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06223CD">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A4D003">
            <w:pPr>
              <w:widowControl/>
              <w:jc w:val="center"/>
              <w:textAlignment w:val="center"/>
              <w:rPr>
                <w:kern w:val="0"/>
                <w:sz w:val="18"/>
                <w:szCs w:val="18"/>
                <w:lang w:bidi="ar"/>
              </w:rPr>
            </w:pPr>
            <w:r>
              <w:rPr>
                <w:kern w:val="0"/>
                <w:sz w:val="18"/>
                <w:szCs w:val="18"/>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1B3C58">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人员（补助）发放准确率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787CB">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FB4265">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5F8FF3">
            <w:pPr>
              <w:jc w:val="center"/>
              <w:rPr>
                <w:sz w:val="18"/>
                <w:szCs w:val="18"/>
              </w:rPr>
            </w:pPr>
          </w:p>
        </w:tc>
      </w:tr>
      <w:tr w14:paraId="06F97D8D">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74E50">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50257">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334BD">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5F26BA">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培训学员合格率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479CE">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D45B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4DBBA">
            <w:pPr>
              <w:jc w:val="center"/>
              <w:rPr>
                <w:sz w:val="18"/>
                <w:szCs w:val="18"/>
              </w:rPr>
            </w:pPr>
          </w:p>
        </w:tc>
      </w:tr>
      <w:tr w14:paraId="48B2CE4B">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2A7A0">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C29A2">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991A">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65D7D">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项目资金支付率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05F3B">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8FC04">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CCEE86">
            <w:pPr>
              <w:jc w:val="center"/>
              <w:rPr>
                <w:sz w:val="18"/>
                <w:szCs w:val="18"/>
              </w:rPr>
            </w:pPr>
          </w:p>
        </w:tc>
      </w:tr>
      <w:tr w14:paraId="49738DEF">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C956B5">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A4A141">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ADA742">
            <w:pPr>
              <w:widowControl/>
              <w:jc w:val="center"/>
              <w:textAlignment w:val="center"/>
              <w:rPr>
                <w:sz w:val="18"/>
                <w:szCs w:val="18"/>
              </w:rPr>
            </w:pPr>
            <w:r>
              <w:rPr>
                <w:kern w:val="0"/>
                <w:sz w:val="18"/>
                <w:szCs w:val="18"/>
                <w:lang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C3FF3">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人员（补助）发放及时率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DB990">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EED72E">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41731">
            <w:pPr>
              <w:jc w:val="center"/>
              <w:rPr>
                <w:sz w:val="18"/>
                <w:szCs w:val="18"/>
              </w:rPr>
            </w:pPr>
          </w:p>
        </w:tc>
      </w:tr>
      <w:tr w14:paraId="27D42228">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9CC82">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18ED17">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D0420">
            <w:pPr>
              <w:widowControl/>
              <w:jc w:val="center"/>
              <w:textAlignment w:val="center"/>
              <w:rPr>
                <w:sz w:val="18"/>
                <w:szCs w:val="18"/>
              </w:rPr>
            </w:pPr>
            <w:r>
              <w:rPr>
                <w:kern w:val="0"/>
                <w:sz w:val="18"/>
                <w:szCs w:val="18"/>
                <w:lang w:bidi="ar"/>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9C568">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发放在职人员（补助）金额</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077FFC">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&lt;=67万元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EB1273">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68.64万元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691FA">
            <w:pPr>
              <w:jc w:val="center"/>
              <w:rPr>
                <w:sz w:val="18"/>
                <w:szCs w:val="18"/>
              </w:rPr>
            </w:pPr>
          </w:p>
        </w:tc>
      </w:tr>
      <w:tr w14:paraId="5CB7029C">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D170D5">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A143A">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BA84A">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E8C81">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支付工作人员各项费用</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A474E">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&lt;=204.49万元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03E122">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186.93万元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0FC2A5">
            <w:pPr>
              <w:jc w:val="center"/>
              <w:rPr>
                <w:sz w:val="18"/>
                <w:szCs w:val="18"/>
              </w:rPr>
            </w:pPr>
          </w:p>
        </w:tc>
      </w:tr>
      <w:tr w14:paraId="7E6923E6">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78FD10">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FA80B">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E25CC">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1B47D7">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建设工程成本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4F6E7">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&lt;=100万元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75CC8D">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100万元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1FE4C">
            <w:pPr>
              <w:jc w:val="center"/>
              <w:rPr>
                <w:sz w:val="18"/>
                <w:szCs w:val="18"/>
              </w:rPr>
            </w:pPr>
          </w:p>
        </w:tc>
      </w:tr>
      <w:tr w14:paraId="3732D2BB">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22423">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CE85831">
            <w:pPr>
              <w:widowControl/>
              <w:jc w:val="center"/>
              <w:textAlignment w:val="center"/>
              <w:rPr>
                <w:sz w:val="18"/>
                <w:szCs w:val="18"/>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6B72E">
            <w:pPr>
              <w:widowControl/>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2F4D6">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受益学生人数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83DAF">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&gt;=900人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A9393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896人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2EDA8">
            <w:pPr>
              <w:jc w:val="center"/>
              <w:rPr>
                <w:sz w:val="18"/>
                <w:szCs w:val="18"/>
              </w:rPr>
            </w:pPr>
          </w:p>
        </w:tc>
      </w:tr>
      <w:tr w14:paraId="3302D0E9">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C1D75">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073E2C6">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49D279">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EA3BB0">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学生毕业率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6C5A98">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22BF31">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99%</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31D568">
            <w:pPr>
              <w:jc w:val="center"/>
              <w:rPr>
                <w:sz w:val="18"/>
                <w:szCs w:val="18"/>
              </w:rPr>
            </w:pPr>
          </w:p>
        </w:tc>
      </w:tr>
      <w:tr w14:paraId="3DB89979">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F68207">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D05DC57">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34C0BA">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967AE8">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773CFD">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9ECB5D">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D2398">
            <w:pPr>
              <w:jc w:val="center"/>
              <w:rPr>
                <w:sz w:val="18"/>
                <w:szCs w:val="18"/>
              </w:rPr>
            </w:pPr>
          </w:p>
        </w:tc>
      </w:tr>
      <w:tr w14:paraId="6458A0B0">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6A022">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AE84489">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864A05">
            <w:pPr>
              <w:widowControl/>
              <w:jc w:val="center"/>
              <w:textAlignment w:val="center"/>
              <w:rPr>
                <w:kern w:val="0"/>
                <w:sz w:val="18"/>
                <w:szCs w:val="18"/>
                <w:lang w:bidi="ar"/>
              </w:rPr>
            </w:pPr>
            <w:r>
              <w:rPr>
                <w:kern w:val="0"/>
                <w:sz w:val="18"/>
                <w:szCs w:val="18"/>
                <w:lang w:bidi="ar"/>
              </w:rPr>
              <w:t>生态效益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AD557">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85121">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D57841">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7D9245">
            <w:pPr>
              <w:jc w:val="center"/>
              <w:rPr>
                <w:sz w:val="18"/>
                <w:szCs w:val="18"/>
              </w:rPr>
            </w:pPr>
          </w:p>
        </w:tc>
      </w:tr>
      <w:tr w14:paraId="4AB7AA4E">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22748A">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D73C8">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22EE4">
            <w:pPr>
              <w:widowControl/>
              <w:jc w:val="center"/>
              <w:textAlignment w:val="center"/>
              <w:rPr>
                <w:kern w:val="0"/>
                <w:sz w:val="18"/>
                <w:szCs w:val="18"/>
                <w:lang w:bidi="ar"/>
              </w:rPr>
            </w:pPr>
            <w:r>
              <w:rPr>
                <w:kern w:val="0"/>
                <w:sz w:val="18"/>
                <w:szCs w:val="18"/>
                <w:lang w:bidi="ar"/>
              </w:rPr>
              <w:t>可持续影响指标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08BDC6">
            <w:pPr>
              <w:widowControl/>
              <w:jc w:val="left"/>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8E700">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3ED7E8">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0BCEE">
            <w:pPr>
              <w:jc w:val="center"/>
              <w:rPr>
                <w:sz w:val="18"/>
                <w:szCs w:val="18"/>
              </w:rPr>
            </w:pPr>
          </w:p>
        </w:tc>
      </w:tr>
      <w:tr w14:paraId="4B40DDEA">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1178D">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BB8FB2">
            <w:pPr>
              <w:widowControl/>
              <w:jc w:val="center"/>
              <w:textAlignment w:val="center"/>
              <w:rPr>
                <w:sz w:val="18"/>
                <w:szCs w:val="18"/>
              </w:rPr>
            </w:pPr>
            <w:r>
              <w:rPr>
                <w:kern w:val="0"/>
                <w:sz w:val="18"/>
                <w:szCs w:val="18"/>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E29F3">
            <w:pPr>
              <w:widowControl/>
              <w:jc w:val="center"/>
              <w:textAlignment w:val="center"/>
              <w:rPr>
                <w:sz w:val="18"/>
                <w:szCs w:val="18"/>
              </w:rPr>
            </w:pPr>
            <w:r>
              <w:rPr>
                <w:kern w:val="0"/>
                <w:sz w:val="18"/>
                <w:szCs w:val="18"/>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1371F">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学生满意度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7D0188">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&gt;=85%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F668C">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99%</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AEE0C6">
            <w:pPr>
              <w:jc w:val="center"/>
              <w:rPr>
                <w:sz w:val="18"/>
                <w:szCs w:val="18"/>
              </w:rPr>
            </w:pPr>
          </w:p>
        </w:tc>
      </w:tr>
      <w:tr w14:paraId="067D9FBC">
        <w:tblPrEx>
          <w:tblCellMar>
            <w:top w:w="0" w:type="dxa"/>
            <w:left w:w="0" w:type="dxa"/>
            <w:bottom w:w="0" w:type="dxa"/>
            <w:right w:w="0" w:type="dxa"/>
          </w:tblCellMar>
        </w:tblPrEx>
        <w:trPr>
          <w:trHeight w:val="432" w:hRule="atLeast"/>
        </w:trPr>
        <w:tc>
          <w:tcPr>
            <w:tcW w:w="79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9CF1B">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5C1EF">
            <w:pPr>
              <w:widowControl/>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7EB1E">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DDD01D">
            <w:pPr>
              <w:widowControl/>
              <w:jc w:val="left"/>
              <w:textAlignment w:val="center"/>
              <w:rPr>
                <w:sz w:val="18"/>
                <w:szCs w:val="18"/>
              </w:rPr>
            </w:pPr>
            <w:r>
              <w:rPr>
                <w:rFonts w:hint="eastAsia" w:ascii="宋体" w:hAnsi="宋体" w:eastAsia="宋体" w:cs="宋体"/>
                <w:i w:val="0"/>
                <w:iCs w:val="0"/>
                <w:color w:val="000000"/>
                <w:kern w:val="0"/>
                <w:sz w:val="18"/>
                <w:szCs w:val="18"/>
                <w:u w:val="none"/>
                <w:lang w:val="en-US" w:eastAsia="zh-CN" w:bidi="ar"/>
              </w:rPr>
              <w:t>学员满意度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3FCF12">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&gt;=95%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03DD0">
            <w:pPr>
              <w:widowControl/>
              <w:jc w:val="center"/>
              <w:textAlignment w:val="center"/>
              <w:rPr>
                <w:sz w:val="18"/>
                <w:szCs w:val="18"/>
              </w:rPr>
            </w:pPr>
            <w:r>
              <w:rPr>
                <w:rFonts w:hint="eastAsia" w:ascii="宋体" w:hAnsi="宋体" w:eastAsia="宋体" w:cs="宋体"/>
                <w:i w:val="0"/>
                <w:iCs w:val="0"/>
                <w:color w:val="000000"/>
                <w:kern w:val="0"/>
                <w:sz w:val="18"/>
                <w:szCs w:val="18"/>
                <w:u w:val="none"/>
                <w:lang w:val="en-US" w:eastAsia="zh-CN" w:bidi="ar"/>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99BB9E">
            <w:pPr>
              <w:jc w:val="center"/>
              <w:rPr>
                <w:sz w:val="18"/>
                <w:szCs w:val="18"/>
              </w:rPr>
            </w:pPr>
          </w:p>
        </w:tc>
      </w:tr>
    </w:tbl>
    <w:p w14:paraId="46F8C421">
      <w:pPr>
        <w:pStyle w:val="2"/>
        <w:jc w:val="both"/>
        <w:outlineLvl w:val="9"/>
        <w:rPr>
          <w:rFonts w:ascii="Times New Roman" w:hAnsi="Times New Roman" w:eastAsia="黑体"/>
          <w:b w:val="0"/>
          <w:bCs w:val="0"/>
        </w:rPr>
      </w:pPr>
    </w:p>
    <w:p w14:paraId="1DF724F7">
      <w:pPr>
        <w:pStyle w:val="2"/>
        <w:outlineLvl w:val="9"/>
        <w:rPr>
          <w:rFonts w:ascii="Times New Roman" w:hAnsi="Times New Roman" w:eastAsia="黑体"/>
          <w:b w:val="0"/>
          <w:bCs w:val="0"/>
        </w:rPr>
      </w:pPr>
    </w:p>
    <w:p w14:paraId="59D68FE6">
      <w:pPr>
        <w:pStyle w:val="2"/>
        <w:jc w:val="both"/>
        <w:outlineLvl w:val="9"/>
        <w:rPr>
          <w:rFonts w:ascii="Times New Roman" w:hAnsi="Times New Roman"/>
        </w:rPr>
        <w:sectPr>
          <w:pgSz w:w="11906" w:h="16838"/>
          <w:pgMar w:top="1440" w:right="1558" w:bottom="1440" w:left="1800" w:header="851" w:footer="992" w:gutter="0"/>
          <w:cols w:space="425" w:num="1"/>
          <w:docGrid w:type="lines" w:linePitch="312" w:charSpace="0"/>
        </w:sectPr>
      </w:pPr>
    </w:p>
    <w:p w14:paraId="0CFAFAB5">
      <w:pPr>
        <w:spacing w:line="600" w:lineRule="exact"/>
        <w:outlineLvl w:val="0"/>
        <w:rPr>
          <w:rFonts w:hint="eastAsia" w:ascii="黑体" w:hAnsi="黑体" w:eastAsia="黑体" w:cs="黑体"/>
        </w:rPr>
      </w:pPr>
      <w:bookmarkStart w:id="30" w:name="_Toc4952"/>
      <w:r>
        <w:rPr>
          <w:rFonts w:hint="eastAsia" w:ascii="黑体" w:hAnsi="黑体" w:eastAsia="黑体" w:cs="黑体"/>
          <w:bCs/>
          <w:sz w:val="32"/>
          <w:szCs w:val="32"/>
        </w:rPr>
        <w:t>附件1</w:t>
      </w:r>
      <w:bookmarkEnd w:id="30"/>
    </w:p>
    <w:p w14:paraId="5E81B8D7">
      <w:pPr>
        <w:pStyle w:val="22"/>
        <w:ind w:firstLine="562"/>
        <w:jc w:val="center"/>
        <w:outlineLvl w:val="0"/>
        <w:rPr>
          <w:sz w:val="28"/>
          <w:szCs w:val="40"/>
        </w:rPr>
      </w:pPr>
      <w:bookmarkStart w:id="31" w:name="_Toc26499_WPSOffice_Level2"/>
      <w:bookmarkStart w:id="32" w:name="_Toc6031"/>
      <w:bookmarkStart w:id="33" w:name="_Toc30064_WPSOffice_Level1"/>
      <w:r>
        <w:rPr>
          <w:rFonts w:hint="eastAsia"/>
          <w:b/>
          <w:bCs/>
          <w:sz w:val="28"/>
          <w:szCs w:val="40"/>
          <w:lang w:val="en-US" w:eastAsia="zh-CN"/>
        </w:rPr>
        <w:t>弥补</w:t>
      </w:r>
      <w:r>
        <w:rPr>
          <w:rFonts w:hint="eastAsia"/>
          <w:b/>
          <w:bCs/>
          <w:sz w:val="28"/>
          <w:szCs w:val="40"/>
        </w:rPr>
        <w:t>成本性支出</w:t>
      </w:r>
      <w:r>
        <w:rPr>
          <w:rFonts w:hint="eastAsia"/>
          <w:b/>
          <w:bCs/>
          <w:sz w:val="28"/>
          <w:szCs w:val="40"/>
          <w:lang w:val="en-US" w:eastAsia="zh-CN"/>
        </w:rPr>
        <w:t>经费</w:t>
      </w:r>
      <w:r>
        <w:rPr>
          <w:rFonts w:hint="eastAsia"/>
          <w:b/>
          <w:bCs/>
          <w:sz w:val="28"/>
          <w:szCs w:val="40"/>
        </w:rPr>
        <w:t>项目绩效评价指标体系及综合评分表</w:t>
      </w:r>
      <w:bookmarkEnd w:id="31"/>
      <w:bookmarkEnd w:id="32"/>
      <w:bookmarkEnd w:id="33"/>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14:paraId="587A9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57B3FB1E">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33C231CA">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52F93F7A">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7D7AEA0B">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14:paraId="345063D8">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5DC58E57">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6A9DA314">
            <w:pPr>
              <w:widowControl/>
              <w:spacing w:line="0" w:lineRule="atLeast"/>
              <w:jc w:val="center"/>
              <w:rPr>
                <w:b/>
                <w:bCs/>
                <w:color w:val="000000"/>
                <w:kern w:val="0"/>
                <w:sz w:val="22"/>
                <w:szCs w:val="22"/>
              </w:rPr>
            </w:pPr>
            <w:r>
              <w:rPr>
                <w:b/>
                <w:bCs/>
                <w:color w:val="000000"/>
                <w:kern w:val="0"/>
                <w:sz w:val="22"/>
                <w:szCs w:val="22"/>
              </w:rPr>
              <w:t>得分</w:t>
            </w:r>
          </w:p>
        </w:tc>
      </w:tr>
      <w:tr w14:paraId="6B183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2E877260">
            <w:pPr>
              <w:widowControl/>
              <w:spacing w:line="0" w:lineRule="atLeast"/>
              <w:jc w:val="center"/>
              <w:rPr>
                <w:color w:val="000000"/>
                <w:kern w:val="0"/>
                <w:sz w:val="22"/>
                <w:szCs w:val="22"/>
              </w:rPr>
            </w:pPr>
          </w:p>
          <w:p w14:paraId="67359E72">
            <w:pPr>
              <w:widowControl/>
              <w:spacing w:line="0" w:lineRule="atLeast"/>
              <w:jc w:val="center"/>
              <w:rPr>
                <w:color w:val="000000"/>
                <w:kern w:val="0"/>
                <w:sz w:val="22"/>
                <w:szCs w:val="22"/>
              </w:rPr>
            </w:pPr>
          </w:p>
          <w:p w14:paraId="300388A0">
            <w:pPr>
              <w:widowControl/>
              <w:spacing w:line="0" w:lineRule="atLeast"/>
              <w:jc w:val="center"/>
              <w:rPr>
                <w:color w:val="000000"/>
                <w:kern w:val="0"/>
                <w:sz w:val="22"/>
                <w:szCs w:val="22"/>
              </w:rPr>
            </w:pPr>
          </w:p>
          <w:p w14:paraId="4AE196FE">
            <w:pPr>
              <w:widowControl/>
              <w:spacing w:line="0" w:lineRule="atLeast"/>
              <w:jc w:val="center"/>
              <w:rPr>
                <w:color w:val="000000"/>
                <w:kern w:val="0"/>
                <w:sz w:val="22"/>
                <w:szCs w:val="22"/>
              </w:rPr>
            </w:pPr>
          </w:p>
          <w:p w14:paraId="0B6E4E77">
            <w:pPr>
              <w:widowControl/>
              <w:spacing w:line="0" w:lineRule="atLeast"/>
              <w:jc w:val="center"/>
              <w:rPr>
                <w:color w:val="000000"/>
                <w:kern w:val="0"/>
                <w:sz w:val="22"/>
                <w:szCs w:val="22"/>
              </w:rPr>
            </w:pPr>
          </w:p>
          <w:p w14:paraId="61AE59C5">
            <w:pPr>
              <w:widowControl/>
              <w:spacing w:line="0" w:lineRule="atLeast"/>
              <w:jc w:val="center"/>
              <w:rPr>
                <w:color w:val="000000"/>
                <w:kern w:val="0"/>
                <w:sz w:val="22"/>
                <w:szCs w:val="22"/>
              </w:rPr>
            </w:pPr>
          </w:p>
          <w:p w14:paraId="73A2AA11">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14:paraId="5FDA1103">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29431D13">
            <w:pPr>
              <w:widowControl/>
              <w:spacing w:line="0" w:lineRule="atLeast"/>
              <w:jc w:val="center"/>
              <w:rPr>
                <w:color w:val="000000"/>
                <w:kern w:val="0"/>
                <w:sz w:val="22"/>
                <w:szCs w:val="22"/>
              </w:rPr>
            </w:pPr>
            <w:r>
              <w:rPr>
                <w:color w:val="000000"/>
                <w:kern w:val="0"/>
                <w:sz w:val="22"/>
                <w:szCs w:val="22"/>
              </w:rPr>
              <w:t>立项依据</w:t>
            </w:r>
          </w:p>
          <w:p w14:paraId="1D310389">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230C8CEB">
            <w:pPr>
              <w:widowControl/>
              <w:spacing w:line="0" w:lineRule="atLeast"/>
              <w:rPr>
                <w:color w:val="000000"/>
                <w:kern w:val="0"/>
                <w:sz w:val="22"/>
                <w:szCs w:val="22"/>
              </w:rPr>
            </w:pPr>
            <w:r>
              <w:rPr>
                <w:color w:val="000000"/>
                <w:kern w:val="0"/>
                <w:sz w:val="22"/>
                <w:szCs w:val="22"/>
              </w:rPr>
              <w:t>项目是否符合经济社会发展规划和部门年度工作计划；是否根据需要制定中长期实施规划</w:t>
            </w:r>
          </w:p>
        </w:tc>
        <w:tc>
          <w:tcPr>
            <w:tcW w:w="2048" w:type="pct"/>
            <w:shd w:val="clear" w:color="auto" w:fill="FFFFFF"/>
            <w:vAlign w:val="center"/>
          </w:tcPr>
          <w:p w14:paraId="30F0000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w:t>
            </w:r>
            <w:r>
              <w:rPr>
                <w:color w:val="000000"/>
                <w:kern w:val="0"/>
                <w:sz w:val="22"/>
                <w:szCs w:val="22"/>
              </w:rPr>
              <w:t>项目符合经济社会发展规划和部门年度工作计划（2分）</w:t>
            </w:r>
            <w:r>
              <w:rPr>
                <w:rFonts w:hint="eastAsia"/>
                <w:color w:val="000000"/>
                <w:kern w:val="0"/>
                <w:sz w:val="22"/>
                <w:szCs w:val="22"/>
              </w:rPr>
              <w:t>；</w:t>
            </w:r>
          </w:p>
          <w:p w14:paraId="0C2459CE">
            <w:pPr>
              <w:widowControl/>
              <w:spacing w:line="0" w:lineRule="atLeast"/>
              <w:rPr>
                <w:color w:val="000000"/>
                <w:kern w:val="0"/>
                <w:sz w:val="22"/>
                <w:szCs w:val="22"/>
              </w:rPr>
            </w:pPr>
            <w:r>
              <w:rPr>
                <w:rFonts w:hint="eastAsia"/>
                <w:color w:val="000000"/>
                <w:kern w:val="0"/>
                <w:sz w:val="22"/>
                <w:szCs w:val="22"/>
              </w:rPr>
              <w:t>②</w:t>
            </w:r>
            <w:r>
              <w:rPr>
                <w:color w:val="000000"/>
                <w:kern w:val="0"/>
                <w:sz w:val="22"/>
                <w:szCs w:val="22"/>
              </w:rPr>
              <w:t>根据需要制定中长期实施规划（1分）</w:t>
            </w:r>
            <w:r>
              <w:rPr>
                <w:rFonts w:hint="eastAsia"/>
                <w:color w:val="000000"/>
                <w:kern w:val="0"/>
                <w:sz w:val="22"/>
                <w:szCs w:val="22"/>
              </w:rPr>
              <w:t>。</w:t>
            </w:r>
          </w:p>
        </w:tc>
        <w:tc>
          <w:tcPr>
            <w:tcW w:w="512" w:type="pct"/>
            <w:shd w:val="clear" w:color="auto" w:fill="FFFFFF"/>
            <w:vAlign w:val="center"/>
          </w:tcPr>
          <w:p w14:paraId="63D8F22A">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5B53588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FDC2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6DAAE85E">
            <w:pPr>
              <w:spacing w:line="0" w:lineRule="atLeast"/>
              <w:jc w:val="center"/>
              <w:rPr>
                <w:color w:val="000000"/>
                <w:kern w:val="0"/>
                <w:sz w:val="22"/>
                <w:szCs w:val="22"/>
              </w:rPr>
            </w:pPr>
          </w:p>
        </w:tc>
        <w:tc>
          <w:tcPr>
            <w:tcW w:w="301" w:type="pct"/>
            <w:vMerge w:val="continue"/>
            <w:shd w:val="clear" w:color="auto" w:fill="FFFFFF"/>
            <w:vAlign w:val="center"/>
          </w:tcPr>
          <w:p w14:paraId="42B9CC34">
            <w:pPr>
              <w:widowControl/>
              <w:spacing w:line="0" w:lineRule="atLeast"/>
              <w:jc w:val="center"/>
              <w:rPr>
                <w:color w:val="000000"/>
                <w:kern w:val="0"/>
                <w:sz w:val="22"/>
                <w:szCs w:val="22"/>
              </w:rPr>
            </w:pPr>
          </w:p>
        </w:tc>
        <w:tc>
          <w:tcPr>
            <w:tcW w:w="344" w:type="pct"/>
            <w:shd w:val="clear" w:color="auto" w:fill="FFFFFF"/>
            <w:vAlign w:val="center"/>
          </w:tcPr>
          <w:p w14:paraId="5292BE72">
            <w:pPr>
              <w:widowControl/>
              <w:spacing w:line="0" w:lineRule="atLeast"/>
              <w:jc w:val="center"/>
              <w:rPr>
                <w:color w:val="000000"/>
                <w:kern w:val="0"/>
                <w:sz w:val="22"/>
                <w:szCs w:val="22"/>
              </w:rPr>
            </w:pPr>
            <w:r>
              <w:rPr>
                <w:color w:val="000000"/>
                <w:kern w:val="0"/>
                <w:sz w:val="22"/>
                <w:szCs w:val="22"/>
              </w:rPr>
              <w:t>立项程序</w:t>
            </w:r>
          </w:p>
          <w:p w14:paraId="0E91AA16">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1C0E8D8E">
            <w:pPr>
              <w:widowControl/>
              <w:spacing w:line="0" w:lineRule="atLeast"/>
              <w:rPr>
                <w:color w:val="000000"/>
                <w:kern w:val="0"/>
                <w:sz w:val="22"/>
                <w:szCs w:val="22"/>
              </w:rPr>
            </w:pPr>
            <w:r>
              <w:rPr>
                <w:color w:val="000000"/>
                <w:kern w:val="0"/>
                <w:sz w:val="22"/>
                <w:szCs w:val="22"/>
              </w:rPr>
              <w:t>项目是否符合申报条件；申报、批复程序是否符合相关管理办法；项目调整是否履行相应手续</w:t>
            </w:r>
          </w:p>
        </w:tc>
        <w:tc>
          <w:tcPr>
            <w:tcW w:w="2048" w:type="pct"/>
            <w:shd w:val="clear" w:color="auto" w:fill="FFFFFF"/>
            <w:vAlign w:val="center"/>
          </w:tcPr>
          <w:p w14:paraId="7CAB1D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w:t>
            </w:r>
            <w:r>
              <w:rPr>
                <w:color w:val="000000"/>
                <w:kern w:val="0"/>
                <w:sz w:val="22"/>
                <w:szCs w:val="22"/>
              </w:rPr>
              <w:t>项目符合申报条件（</w:t>
            </w:r>
            <w:r>
              <w:rPr>
                <w:rFonts w:hint="eastAsia"/>
                <w:color w:val="000000"/>
                <w:kern w:val="0"/>
                <w:sz w:val="22"/>
                <w:szCs w:val="22"/>
                <w:lang w:val="en-US" w:eastAsia="zh-CN"/>
              </w:rPr>
              <w:t>1</w:t>
            </w:r>
            <w:r>
              <w:rPr>
                <w:color w:val="000000"/>
                <w:kern w:val="0"/>
                <w:sz w:val="22"/>
                <w:szCs w:val="22"/>
              </w:rPr>
              <w:t>分）</w:t>
            </w:r>
            <w:r>
              <w:rPr>
                <w:rFonts w:hint="eastAsia"/>
                <w:color w:val="000000"/>
                <w:kern w:val="0"/>
                <w:sz w:val="22"/>
                <w:szCs w:val="22"/>
              </w:rPr>
              <w:t>；</w:t>
            </w:r>
          </w:p>
          <w:p w14:paraId="609206E7">
            <w:pPr>
              <w:widowControl/>
              <w:spacing w:line="0" w:lineRule="atLeast"/>
              <w:rPr>
                <w:color w:val="000000"/>
                <w:kern w:val="0"/>
                <w:sz w:val="22"/>
                <w:szCs w:val="22"/>
              </w:rPr>
            </w:pPr>
            <w:r>
              <w:rPr>
                <w:rFonts w:hint="eastAsia"/>
                <w:color w:val="000000"/>
                <w:kern w:val="0"/>
                <w:sz w:val="22"/>
                <w:szCs w:val="22"/>
              </w:rPr>
              <w:t>②</w:t>
            </w:r>
            <w:r>
              <w:rPr>
                <w:color w:val="000000"/>
                <w:kern w:val="0"/>
                <w:sz w:val="22"/>
                <w:szCs w:val="22"/>
              </w:rPr>
              <w:t>申报、批复程序符合相关管理办法（</w:t>
            </w:r>
            <w:r>
              <w:rPr>
                <w:rFonts w:hint="eastAsia"/>
                <w:color w:val="000000"/>
                <w:kern w:val="0"/>
                <w:sz w:val="22"/>
                <w:szCs w:val="22"/>
                <w:lang w:val="en-US" w:eastAsia="zh-CN"/>
              </w:rPr>
              <w:t>1</w:t>
            </w:r>
            <w:r>
              <w:rPr>
                <w:color w:val="000000"/>
                <w:kern w:val="0"/>
                <w:sz w:val="22"/>
                <w:szCs w:val="22"/>
              </w:rPr>
              <w:t>分）</w:t>
            </w:r>
            <w:r>
              <w:rPr>
                <w:rFonts w:hint="eastAsia"/>
                <w:color w:val="000000"/>
                <w:kern w:val="0"/>
                <w:sz w:val="22"/>
                <w:szCs w:val="22"/>
              </w:rPr>
              <w:t>；</w:t>
            </w:r>
          </w:p>
          <w:p w14:paraId="6C392CA4">
            <w:pPr>
              <w:widowControl/>
              <w:spacing w:line="0" w:lineRule="atLeast"/>
              <w:rPr>
                <w:color w:val="000000"/>
                <w:kern w:val="0"/>
                <w:sz w:val="22"/>
                <w:szCs w:val="22"/>
              </w:rPr>
            </w:pPr>
            <w:r>
              <w:rPr>
                <w:color w:val="000000"/>
                <w:kern w:val="0"/>
                <w:sz w:val="22"/>
                <w:szCs w:val="22"/>
              </w:rPr>
              <w:t>③项目实施调整履行相应手续（1分）</w:t>
            </w:r>
            <w:r>
              <w:rPr>
                <w:rFonts w:hint="eastAsia"/>
                <w:color w:val="000000"/>
                <w:kern w:val="0"/>
                <w:sz w:val="22"/>
                <w:szCs w:val="22"/>
              </w:rPr>
              <w:t>。</w:t>
            </w:r>
          </w:p>
        </w:tc>
        <w:tc>
          <w:tcPr>
            <w:tcW w:w="512" w:type="pct"/>
            <w:shd w:val="clear" w:color="auto" w:fill="FFFFFF"/>
            <w:vAlign w:val="center"/>
          </w:tcPr>
          <w:p w14:paraId="59B83125">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401A57AB">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A610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658DF9D0">
            <w:pPr>
              <w:spacing w:line="0" w:lineRule="atLeast"/>
              <w:jc w:val="center"/>
              <w:rPr>
                <w:color w:val="000000"/>
                <w:kern w:val="0"/>
                <w:sz w:val="22"/>
                <w:szCs w:val="22"/>
              </w:rPr>
            </w:pPr>
          </w:p>
        </w:tc>
        <w:tc>
          <w:tcPr>
            <w:tcW w:w="301" w:type="pct"/>
            <w:vMerge w:val="restart"/>
            <w:shd w:val="clear" w:color="auto" w:fill="FFFFFF"/>
            <w:vAlign w:val="center"/>
          </w:tcPr>
          <w:p w14:paraId="3BB4F902">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1DC1A1D5">
            <w:pPr>
              <w:widowControl/>
              <w:spacing w:line="0" w:lineRule="atLeast"/>
              <w:jc w:val="center"/>
              <w:rPr>
                <w:color w:val="000000"/>
                <w:kern w:val="0"/>
                <w:sz w:val="22"/>
                <w:szCs w:val="22"/>
              </w:rPr>
            </w:pPr>
            <w:r>
              <w:rPr>
                <w:color w:val="000000"/>
                <w:kern w:val="0"/>
                <w:sz w:val="22"/>
                <w:szCs w:val="22"/>
              </w:rPr>
              <w:t>绩效目标</w:t>
            </w:r>
          </w:p>
          <w:p w14:paraId="10FE5577">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0917D1BE">
            <w:pPr>
              <w:widowControl/>
              <w:spacing w:line="0" w:lineRule="atLeast"/>
              <w:rPr>
                <w:color w:val="000000"/>
                <w:kern w:val="0"/>
                <w:sz w:val="22"/>
                <w:szCs w:val="22"/>
              </w:rPr>
            </w:pPr>
            <w:r>
              <w:rPr>
                <w:color w:val="000000"/>
                <w:kern w:val="0"/>
                <w:sz w:val="22"/>
                <w:szCs w:val="22"/>
              </w:rPr>
              <w:t>目标是否明确、细化、量化</w:t>
            </w:r>
          </w:p>
        </w:tc>
        <w:tc>
          <w:tcPr>
            <w:tcW w:w="2048" w:type="pct"/>
            <w:shd w:val="clear" w:color="000000" w:fill="FFFFFF"/>
            <w:vAlign w:val="center"/>
          </w:tcPr>
          <w:p w14:paraId="30CD7B3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w:t>
            </w:r>
            <w:r>
              <w:rPr>
                <w:color w:val="000000"/>
                <w:kern w:val="0"/>
                <w:sz w:val="22"/>
                <w:szCs w:val="22"/>
              </w:rPr>
              <w:t>目标明确（1分）</w:t>
            </w:r>
            <w:r>
              <w:rPr>
                <w:rFonts w:hint="eastAsia"/>
                <w:color w:val="000000"/>
                <w:kern w:val="0"/>
                <w:sz w:val="22"/>
                <w:szCs w:val="22"/>
              </w:rPr>
              <w:t>；</w:t>
            </w:r>
          </w:p>
          <w:p w14:paraId="63567C7E">
            <w:pPr>
              <w:widowControl/>
              <w:spacing w:line="0" w:lineRule="atLeast"/>
              <w:rPr>
                <w:color w:val="000000"/>
                <w:kern w:val="0"/>
                <w:sz w:val="22"/>
                <w:szCs w:val="22"/>
              </w:rPr>
            </w:pPr>
            <w:r>
              <w:rPr>
                <w:rFonts w:hint="eastAsia"/>
                <w:color w:val="000000"/>
                <w:kern w:val="0"/>
                <w:sz w:val="22"/>
                <w:szCs w:val="22"/>
              </w:rPr>
              <w:t>②</w:t>
            </w:r>
            <w:r>
              <w:rPr>
                <w:color w:val="000000"/>
                <w:kern w:val="0"/>
                <w:sz w:val="22"/>
                <w:szCs w:val="22"/>
              </w:rPr>
              <w:t>目标细化（1分）</w:t>
            </w:r>
            <w:r>
              <w:rPr>
                <w:rFonts w:hint="eastAsia"/>
                <w:color w:val="000000"/>
                <w:kern w:val="0"/>
                <w:sz w:val="22"/>
                <w:szCs w:val="22"/>
              </w:rPr>
              <w:t>；</w:t>
            </w:r>
          </w:p>
          <w:p w14:paraId="5CE41B5D">
            <w:pPr>
              <w:widowControl/>
              <w:spacing w:line="0" w:lineRule="atLeast"/>
              <w:rPr>
                <w:color w:val="000000"/>
                <w:kern w:val="0"/>
                <w:sz w:val="22"/>
                <w:szCs w:val="22"/>
              </w:rPr>
            </w:pPr>
            <w:r>
              <w:rPr>
                <w:color w:val="000000"/>
                <w:kern w:val="0"/>
                <w:sz w:val="22"/>
                <w:szCs w:val="22"/>
              </w:rPr>
              <w:t>③目标量化（</w:t>
            </w:r>
            <w:r>
              <w:rPr>
                <w:rFonts w:hint="eastAsia"/>
                <w:color w:val="000000"/>
                <w:kern w:val="0"/>
                <w:sz w:val="22"/>
                <w:szCs w:val="22"/>
                <w:lang w:val="en-US" w:eastAsia="zh-CN"/>
              </w:rPr>
              <w:t>1</w:t>
            </w:r>
            <w:r>
              <w:rPr>
                <w:color w:val="000000"/>
                <w:kern w:val="0"/>
                <w:sz w:val="22"/>
                <w:szCs w:val="22"/>
              </w:rPr>
              <w:t>分）</w:t>
            </w:r>
            <w:r>
              <w:rPr>
                <w:rFonts w:hint="eastAsia"/>
                <w:color w:val="000000"/>
                <w:kern w:val="0"/>
                <w:sz w:val="22"/>
                <w:szCs w:val="22"/>
              </w:rPr>
              <w:t>。</w:t>
            </w:r>
          </w:p>
        </w:tc>
        <w:tc>
          <w:tcPr>
            <w:tcW w:w="512" w:type="pct"/>
            <w:shd w:val="clear" w:color="000000" w:fill="FFFFFF"/>
            <w:vAlign w:val="center"/>
          </w:tcPr>
          <w:p w14:paraId="6A0F7968">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59E6505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8B82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5A8330CE">
            <w:pPr>
              <w:widowControl/>
              <w:spacing w:line="0" w:lineRule="atLeast"/>
              <w:jc w:val="center"/>
              <w:rPr>
                <w:color w:val="000000"/>
                <w:kern w:val="0"/>
                <w:sz w:val="22"/>
                <w:szCs w:val="22"/>
              </w:rPr>
            </w:pPr>
          </w:p>
        </w:tc>
        <w:tc>
          <w:tcPr>
            <w:tcW w:w="301" w:type="pct"/>
            <w:vMerge w:val="continue"/>
            <w:shd w:val="clear" w:color="auto" w:fill="FFFFFF"/>
            <w:vAlign w:val="center"/>
          </w:tcPr>
          <w:p w14:paraId="3AE68320">
            <w:pPr>
              <w:widowControl/>
              <w:spacing w:line="0" w:lineRule="atLeast"/>
              <w:jc w:val="center"/>
              <w:rPr>
                <w:color w:val="000000"/>
                <w:kern w:val="0"/>
                <w:sz w:val="22"/>
                <w:szCs w:val="22"/>
              </w:rPr>
            </w:pPr>
          </w:p>
        </w:tc>
        <w:tc>
          <w:tcPr>
            <w:tcW w:w="344" w:type="pct"/>
            <w:shd w:val="clear" w:color="auto" w:fill="FFFFFF"/>
            <w:vAlign w:val="center"/>
          </w:tcPr>
          <w:p w14:paraId="27238990">
            <w:pPr>
              <w:widowControl/>
              <w:spacing w:line="0" w:lineRule="atLeast"/>
              <w:jc w:val="center"/>
              <w:rPr>
                <w:color w:val="000000"/>
                <w:kern w:val="0"/>
                <w:sz w:val="22"/>
                <w:szCs w:val="22"/>
              </w:rPr>
            </w:pPr>
            <w:r>
              <w:rPr>
                <w:color w:val="000000"/>
                <w:kern w:val="0"/>
                <w:sz w:val="22"/>
                <w:szCs w:val="22"/>
              </w:rPr>
              <w:t>绩效指标</w:t>
            </w:r>
          </w:p>
          <w:p w14:paraId="70BF92A7">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19C2953A">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14:paraId="50140DB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rFonts w:hint="eastAsia"/>
                <w:color w:val="000000"/>
                <w:kern w:val="0"/>
                <w:sz w:val="22"/>
                <w:szCs w:val="22"/>
                <w:lang w:eastAsia="zh-CN"/>
              </w:rPr>
              <w:t>（</w:t>
            </w:r>
            <w:r>
              <w:rPr>
                <w:rFonts w:hint="eastAsia"/>
                <w:color w:val="000000"/>
                <w:kern w:val="0"/>
                <w:sz w:val="22"/>
                <w:szCs w:val="22"/>
                <w:lang w:val="en-US" w:eastAsia="zh-CN"/>
              </w:rPr>
              <w:t>1分</w:t>
            </w:r>
            <w:r>
              <w:rPr>
                <w:rFonts w:hint="eastAsia"/>
                <w:color w:val="000000"/>
                <w:kern w:val="0"/>
                <w:sz w:val="22"/>
                <w:szCs w:val="22"/>
                <w:lang w:eastAsia="zh-CN"/>
              </w:rPr>
              <w:t>）</w:t>
            </w:r>
            <w:r>
              <w:rPr>
                <w:color w:val="000000"/>
                <w:kern w:val="0"/>
                <w:sz w:val="22"/>
                <w:szCs w:val="22"/>
              </w:rPr>
              <w:t>；</w:t>
            </w:r>
            <w:r>
              <w:rPr>
                <w:color w:val="000000"/>
                <w:kern w:val="0"/>
                <w:sz w:val="22"/>
                <w:szCs w:val="22"/>
              </w:rPr>
              <w:br w:type="textWrapping"/>
            </w:r>
            <w:r>
              <w:rPr>
                <w:color w:val="000000"/>
                <w:kern w:val="0"/>
                <w:sz w:val="22"/>
                <w:szCs w:val="22"/>
              </w:rPr>
              <w:t>②是否通过清晰、可衡量的指标值予以体现</w:t>
            </w:r>
            <w:r>
              <w:rPr>
                <w:rFonts w:hint="eastAsia"/>
                <w:color w:val="000000"/>
                <w:kern w:val="0"/>
                <w:sz w:val="22"/>
                <w:szCs w:val="22"/>
                <w:lang w:eastAsia="zh-CN"/>
              </w:rPr>
              <w:t>（</w:t>
            </w:r>
            <w:r>
              <w:rPr>
                <w:rFonts w:hint="eastAsia"/>
                <w:color w:val="000000"/>
                <w:kern w:val="0"/>
                <w:sz w:val="22"/>
                <w:szCs w:val="22"/>
                <w:lang w:val="en-US" w:eastAsia="zh-CN"/>
              </w:rPr>
              <w:t>1分</w:t>
            </w:r>
            <w:r>
              <w:rPr>
                <w:rFonts w:hint="eastAsia"/>
                <w:color w:val="000000"/>
                <w:kern w:val="0"/>
                <w:sz w:val="22"/>
                <w:szCs w:val="22"/>
                <w:lang w:eastAsia="zh-CN"/>
              </w:rPr>
              <w:t>）</w:t>
            </w:r>
            <w:r>
              <w:rPr>
                <w:color w:val="000000"/>
                <w:kern w:val="0"/>
                <w:sz w:val="22"/>
                <w:szCs w:val="22"/>
              </w:rPr>
              <w:t>；</w:t>
            </w:r>
            <w:r>
              <w:rPr>
                <w:color w:val="000000"/>
                <w:kern w:val="0"/>
                <w:sz w:val="22"/>
                <w:szCs w:val="22"/>
              </w:rPr>
              <w:br w:type="textWrapping"/>
            </w:r>
            <w:r>
              <w:rPr>
                <w:color w:val="000000"/>
                <w:kern w:val="0"/>
                <w:sz w:val="22"/>
                <w:szCs w:val="22"/>
              </w:rPr>
              <w:t>③是否与项目目标任务数或计划数相对应</w:t>
            </w:r>
            <w:r>
              <w:rPr>
                <w:rFonts w:hint="eastAsia"/>
                <w:color w:val="000000"/>
                <w:kern w:val="0"/>
                <w:sz w:val="22"/>
                <w:szCs w:val="22"/>
                <w:lang w:eastAsia="zh-CN"/>
              </w:rPr>
              <w:t>（</w:t>
            </w:r>
            <w:r>
              <w:rPr>
                <w:rFonts w:hint="eastAsia"/>
                <w:color w:val="000000"/>
                <w:kern w:val="0"/>
                <w:sz w:val="22"/>
                <w:szCs w:val="22"/>
                <w:lang w:val="en-US" w:eastAsia="zh-CN"/>
              </w:rPr>
              <w:t>1分</w:t>
            </w:r>
            <w:r>
              <w:rPr>
                <w:rFonts w:hint="eastAsia"/>
                <w:color w:val="000000"/>
                <w:kern w:val="0"/>
                <w:sz w:val="22"/>
                <w:szCs w:val="22"/>
                <w:lang w:eastAsia="zh-CN"/>
              </w:rPr>
              <w:t>）</w:t>
            </w:r>
            <w:r>
              <w:rPr>
                <w:color w:val="000000"/>
                <w:kern w:val="0"/>
                <w:sz w:val="22"/>
                <w:szCs w:val="22"/>
              </w:rPr>
              <w:t>。</w:t>
            </w:r>
            <w:r>
              <w:rPr>
                <w:color w:val="000000"/>
                <w:kern w:val="0"/>
                <w:sz w:val="22"/>
                <w:szCs w:val="22"/>
              </w:rPr>
              <w:br w:type="textWrapping"/>
            </w:r>
          </w:p>
        </w:tc>
        <w:tc>
          <w:tcPr>
            <w:tcW w:w="512" w:type="pct"/>
            <w:shd w:val="clear" w:color="000000" w:fill="FFFFFF"/>
            <w:vAlign w:val="center"/>
          </w:tcPr>
          <w:p w14:paraId="43373355">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16E0A5A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74FF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6768B60F">
            <w:pPr>
              <w:spacing w:line="0" w:lineRule="atLeast"/>
              <w:jc w:val="center"/>
              <w:rPr>
                <w:color w:val="000000"/>
                <w:kern w:val="0"/>
                <w:sz w:val="22"/>
                <w:szCs w:val="22"/>
              </w:rPr>
            </w:pPr>
          </w:p>
        </w:tc>
        <w:tc>
          <w:tcPr>
            <w:tcW w:w="301" w:type="pct"/>
            <w:vMerge w:val="restart"/>
            <w:shd w:val="clear" w:color="auto" w:fill="FFFFFF"/>
            <w:vAlign w:val="center"/>
          </w:tcPr>
          <w:p w14:paraId="2B269C88">
            <w:pPr>
              <w:widowControl/>
              <w:spacing w:line="0" w:lineRule="atLeast"/>
              <w:jc w:val="center"/>
              <w:rPr>
                <w:color w:val="000000"/>
                <w:kern w:val="0"/>
                <w:sz w:val="22"/>
                <w:szCs w:val="22"/>
              </w:rPr>
            </w:pPr>
            <w:r>
              <w:rPr>
                <w:color w:val="000000"/>
                <w:kern w:val="0"/>
                <w:sz w:val="22"/>
                <w:szCs w:val="22"/>
              </w:rPr>
              <w:t>资金投入</w:t>
            </w:r>
          </w:p>
          <w:p w14:paraId="1BE99B55">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15F7B37B">
            <w:pPr>
              <w:widowControl/>
              <w:spacing w:line="0" w:lineRule="atLeast"/>
              <w:jc w:val="center"/>
              <w:rPr>
                <w:color w:val="000000"/>
                <w:kern w:val="0"/>
                <w:sz w:val="22"/>
                <w:szCs w:val="22"/>
              </w:rPr>
            </w:pPr>
            <w:r>
              <w:rPr>
                <w:color w:val="000000"/>
                <w:kern w:val="0"/>
                <w:sz w:val="22"/>
                <w:szCs w:val="22"/>
              </w:rPr>
              <w:t>预算编制</w:t>
            </w:r>
          </w:p>
          <w:p w14:paraId="33B00A59">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4B710C98">
            <w:pPr>
              <w:widowControl/>
              <w:spacing w:line="0" w:lineRule="atLeast"/>
              <w:rPr>
                <w:color w:val="000000"/>
                <w:kern w:val="0"/>
                <w:sz w:val="22"/>
                <w:szCs w:val="22"/>
              </w:rPr>
            </w:pPr>
            <w:r>
              <w:rPr>
                <w:rFonts w:hint="eastAsia"/>
                <w:color w:val="000000"/>
                <w:kern w:val="0"/>
                <w:sz w:val="22"/>
                <w:szCs w:val="22"/>
              </w:rPr>
              <w:t>是否经过科学论证、有明确标准，资金额度与年度目标是否相适应。</w:t>
            </w:r>
          </w:p>
        </w:tc>
        <w:tc>
          <w:tcPr>
            <w:tcW w:w="2048" w:type="pct"/>
            <w:shd w:val="clear" w:color="auto" w:fill="FFFFFF"/>
            <w:vAlign w:val="center"/>
          </w:tcPr>
          <w:p w14:paraId="20D5157E">
            <w:pPr>
              <w:widowControl/>
              <w:spacing w:line="0" w:lineRule="atLeast"/>
              <w:rPr>
                <w:rFonts w:hint="eastAsia"/>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①预算内容与项目内容是否匹配（</w:t>
            </w:r>
            <w:r>
              <w:rPr>
                <w:rFonts w:hint="eastAsia"/>
                <w:color w:val="000000"/>
                <w:kern w:val="0"/>
                <w:sz w:val="22"/>
                <w:szCs w:val="22"/>
                <w:lang w:val="en-US" w:eastAsia="zh-CN"/>
              </w:rPr>
              <w:t>2</w:t>
            </w:r>
            <w:r>
              <w:rPr>
                <w:rFonts w:hint="eastAsia"/>
                <w:color w:val="000000"/>
                <w:kern w:val="0"/>
                <w:sz w:val="22"/>
                <w:szCs w:val="22"/>
              </w:rPr>
              <w:t>分）；</w:t>
            </w:r>
          </w:p>
          <w:p w14:paraId="67B93B7B">
            <w:pPr>
              <w:widowControl/>
              <w:spacing w:line="0" w:lineRule="atLeast"/>
              <w:rPr>
                <w:color w:val="000000"/>
                <w:kern w:val="0"/>
                <w:sz w:val="22"/>
                <w:szCs w:val="22"/>
              </w:rPr>
            </w:pPr>
            <w:r>
              <w:rPr>
                <w:rFonts w:hint="eastAsia"/>
                <w:color w:val="000000"/>
                <w:kern w:val="0"/>
                <w:sz w:val="22"/>
                <w:szCs w:val="22"/>
              </w:rPr>
              <w:t>②预算确定的项目投资额或资金量是否与工作任务相匹配（2分）</w:t>
            </w:r>
          </w:p>
        </w:tc>
        <w:tc>
          <w:tcPr>
            <w:tcW w:w="512" w:type="pct"/>
            <w:shd w:val="clear" w:color="auto" w:fill="FFFFFF"/>
            <w:vAlign w:val="center"/>
          </w:tcPr>
          <w:p w14:paraId="23748EB9">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6C91B73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D89F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2504AECD">
            <w:pPr>
              <w:widowControl/>
              <w:spacing w:line="0" w:lineRule="atLeast"/>
              <w:jc w:val="center"/>
              <w:rPr>
                <w:color w:val="000000"/>
                <w:kern w:val="0"/>
                <w:sz w:val="22"/>
                <w:szCs w:val="22"/>
              </w:rPr>
            </w:pPr>
          </w:p>
        </w:tc>
        <w:tc>
          <w:tcPr>
            <w:tcW w:w="301" w:type="pct"/>
            <w:vMerge w:val="continue"/>
            <w:shd w:val="clear" w:color="auto" w:fill="FFFFFF"/>
            <w:vAlign w:val="center"/>
          </w:tcPr>
          <w:p w14:paraId="04EE8414">
            <w:pPr>
              <w:widowControl/>
              <w:spacing w:line="0" w:lineRule="atLeast"/>
              <w:jc w:val="center"/>
              <w:rPr>
                <w:color w:val="000000"/>
                <w:kern w:val="0"/>
                <w:sz w:val="22"/>
                <w:szCs w:val="22"/>
              </w:rPr>
            </w:pPr>
          </w:p>
        </w:tc>
        <w:tc>
          <w:tcPr>
            <w:tcW w:w="344" w:type="pct"/>
            <w:shd w:val="clear" w:color="auto" w:fill="FFFFFF"/>
            <w:vAlign w:val="center"/>
          </w:tcPr>
          <w:p w14:paraId="16E4591C">
            <w:pPr>
              <w:widowControl/>
              <w:spacing w:line="0" w:lineRule="atLeast"/>
              <w:jc w:val="center"/>
              <w:rPr>
                <w:color w:val="000000"/>
                <w:kern w:val="0"/>
                <w:sz w:val="22"/>
                <w:szCs w:val="22"/>
              </w:rPr>
            </w:pPr>
            <w:r>
              <w:rPr>
                <w:color w:val="000000"/>
                <w:kern w:val="0"/>
                <w:sz w:val="22"/>
                <w:szCs w:val="22"/>
              </w:rPr>
              <w:t>资金分配</w:t>
            </w:r>
          </w:p>
          <w:p w14:paraId="47999919">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2937104E">
            <w:pPr>
              <w:widowControl/>
              <w:spacing w:line="0" w:lineRule="atLeast"/>
              <w:rPr>
                <w:color w:val="000000"/>
                <w:kern w:val="0"/>
                <w:sz w:val="22"/>
                <w:szCs w:val="22"/>
              </w:rPr>
            </w:pPr>
            <w:r>
              <w:rPr>
                <w:rFonts w:hint="eastAsia"/>
                <w:color w:val="000000"/>
                <w:kern w:val="0"/>
                <w:sz w:val="22"/>
                <w:szCs w:val="22"/>
              </w:rPr>
              <w:t>是否根据需要制定相关资金管理办法，并在管理办法中明确资金分配办法；资金分配因素是否全面、合理。</w:t>
            </w:r>
          </w:p>
        </w:tc>
        <w:tc>
          <w:tcPr>
            <w:tcW w:w="2048" w:type="pct"/>
            <w:shd w:val="clear" w:color="auto" w:fill="FFFFFF"/>
            <w:vAlign w:val="center"/>
          </w:tcPr>
          <w:p w14:paraId="5943348E">
            <w:pPr>
              <w:widowControl/>
              <w:spacing w:line="0" w:lineRule="atLeast"/>
              <w:rPr>
                <w:rFonts w:hint="eastAsia"/>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①办法健全、规范（</w:t>
            </w:r>
            <w:r>
              <w:rPr>
                <w:rFonts w:hint="eastAsia"/>
                <w:color w:val="000000"/>
                <w:kern w:val="0"/>
                <w:sz w:val="22"/>
                <w:szCs w:val="22"/>
                <w:lang w:val="en-US" w:eastAsia="zh-CN"/>
              </w:rPr>
              <w:t>1</w:t>
            </w:r>
            <w:r>
              <w:rPr>
                <w:rFonts w:hint="eastAsia"/>
                <w:color w:val="000000"/>
                <w:kern w:val="0"/>
                <w:sz w:val="22"/>
                <w:szCs w:val="22"/>
              </w:rPr>
              <w:t>分）；</w:t>
            </w:r>
          </w:p>
          <w:p w14:paraId="3CC2089A">
            <w:pPr>
              <w:widowControl/>
              <w:spacing w:line="0" w:lineRule="atLeast"/>
              <w:rPr>
                <w:rFonts w:hint="eastAsia"/>
                <w:color w:val="000000"/>
                <w:kern w:val="0"/>
                <w:sz w:val="22"/>
                <w:szCs w:val="22"/>
              </w:rPr>
            </w:pPr>
            <w:r>
              <w:rPr>
                <w:rFonts w:hint="eastAsia"/>
                <w:color w:val="000000"/>
                <w:kern w:val="0"/>
                <w:sz w:val="22"/>
                <w:szCs w:val="22"/>
              </w:rPr>
              <w:t>②申报、批复程序符合相关管理办法（</w:t>
            </w:r>
            <w:r>
              <w:rPr>
                <w:rFonts w:hint="eastAsia"/>
                <w:color w:val="000000"/>
                <w:kern w:val="0"/>
                <w:sz w:val="22"/>
                <w:szCs w:val="22"/>
                <w:lang w:val="en-US" w:eastAsia="zh-CN"/>
              </w:rPr>
              <w:t>1</w:t>
            </w:r>
            <w:r>
              <w:rPr>
                <w:rFonts w:hint="eastAsia"/>
                <w:color w:val="000000"/>
                <w:kern w:val="0"/>
                <w:sz w:val="22"/>
                <w:szCs w:val="22"/>
              </w:rPr>
              <w:t>分）；</w:t>
            </w:r>
          </w:p>
          <w:p w14:paraId="30DB961D">
            <w:pPr>
              <w:widowControl/>
              <w:spacing w:line="0" w:lineRule="atLeast"/>
              <w:rPr>
                <w:color w:val="000000"/>
                <w:kern w:val="0"/>
                <w:sz w:val="22"/>
                <w:szCs w:val="22"/>
              </w:rPr>
            </w:pPr>
            <w:r>
              <w:rPr>
                <w:rFonts w:hint="eastAsia"/>
                <w:color w:val="000000"/>
                <w:kern w:val="0"/>
                <w:sz w:val="22"/>
                <w:szCs w:val="22"/>
              </w:rPr>
              <w:t>③资金分配合理（</w:t>
            </w:r>
            <w:r>
              <w:rPr>
                <w:rFonts w:hint="eastAsia"/>
                <w:color w:val="000000"/>
                <w:kern w:val="0"/>
                <w:sz w:val="22"/>
                <w:szCs w:val="22"/>
                <w:lang w:val="en-US" w:eastAsia="zh-CN"/>
              </w:rPr>
              <w:t>2</w:t>
            </w:r>
            <w:r>
              <w:rPr>
                <w:rFonts w:hint="eastAsia"/>
                <w:color w:val="000000"/>
                <w:kern w:val="0"/>
                <w:sz w:val="22"/>
                <w:szCs w:val="22"/>
              </w:rPr>
              <w:t>分）</w:t>
            </w:r>
          </w:p>
        </w:tc>
        <w:tc>
          <w:tcPr>
            <w:tcW w:w="512" w:type="pct"/>
            <w:shd w:val="clear" w:color="auto" w:fill="FFFFFF"/>
            <w:vAlign w:val="center"/>
          </w:tcPr>
          <w:p w14:paraId="1E60336E">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3F8C5D4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B6AB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4395AADF">
            <w:pPr>
              <w:spacing w:line="0" w:lineRule="atLeast"/>
              <w:jc w:val="center"/>
              <w:rPr>
                <w:color w:val="000000"/>
                <w:kern w:val="0"/>
                <w:sz w:val="22"/>
                <w:szCs w:val="22"/>
              </w:rPr>
            </w:pPr>
          </w:p>
          <w:p w14:paraId="712FAA29">
            <w:pPr>
              <w:spacing w:line="0" w:lineRule="atLeast"/>
              <w:jc w:val="center"/>
              <w:rPr>
                <w:color w:val="000000"/>
                <w:kern w:val="0"/>
                <w:sz w:val="22"/>
                <w:szCs w:val="22"/>
              </w:rPr>
            </w:pPr>
          </w:p>
          <w:p w14:paraId="34614999">
            <w:pPr>
              <w:spacing w:line="0" w:lineRule="atLeast"/>
              <w:jc w:val="center"/>
              <w:rPr>
                <w:color w:val="000000"/>
                <w:kern w:val="0"/>
                <w:sz w:val="22"/>
                <w:szCs w:val="22"/>
              </w:rPr>
            </w:pPr>
          </w:p>
          <w:p w14:paraId="34E04294">
            <w:pPr>
              <w:spacing w:line="0" w:lineRule="atLeast"/>
              <w:jc w:val="center"/>
              <w:rPr>
                <w:color w:val="000000"/>
                <w:kern w:val="0"/>
                <w:sz w:val="22"/>
                <w:szCs w:val="22"/>
              </w:rPr>
            </w:pPr>
          </w:p>
          <w:p w14:paraId="35D77194">
            <w:pPr>
              <w:spacing w:line="0" w:lineRule="atLeast"/>
              <w:jc w:val="center"/>
              <w:rPr>
                <w:color w:val="000000"/>
                <w:kern w:val="0"/>
                <w:sz w:val="22"/>
                <w:szCs w:val="22"/>
              </w:rPr>
            </w:pPr>
          </w:p>
          <w:p w14:paraId="5C232990">
            <w:pPr>
              <w:spacing w:line="0" w:lineRule="atLeast"/>
              <w:jc w:val="center"/>
              <w:rPr>
                <w:color w:val="000000"/>
                <w:kern w:val="0"/>
                <w:sz w:val="22"/>
                <w:szCs w:val="22"/>
              </w:rPr>
            </w:pPr>
          </w:p>
          <w:p w14:paraId="75920169">
            <w:pPr>
              <w:spacing w:line="0" w:lineRule="atLeast"/>
              <w:jc w:val="center"/>
              <w:rPr>
                <w:color w:val="000000"/>
                <w:kern w:val="0"/>
                <w:sz w:val="22"/>
                <w:szCs w:val="22"/>
              </w:rPr>
            </w:pPr>
          </w:p>
          <w:p w14:paraId="078027A5">
            <w:pPr>
              <w:spacing w:line="0" w:lineRule="atLeast"/>
              <w:jc w:val="center"/>
              <w:rPr>
                <w:color w:val="000000"/>
                <w:kern w:val="0"/>
                <w:sz w:val="22"/>
                <w:szCs w:val="22"/>
              </w:rPr>
            </w:pPr>
          </w:p>
          <w:p w14:paraId="5D17C4E0">
            <w:pPr>
              <w:spacing w:line="0" w:lineRule="atLeast"/>
              <w:jc w:val="center"/>
              <w:rPr>
                <w:color w:val="000000"/>
                <w:kern w:val="0"/>
                <w:sz w:val="22"/>
                <w:szCs w:val="22"/>
              </w:rPr>
            </w:pPr>
          </w:p>
          <w:p w14:paraId="0849B82A">
            <w:pPr>
              <w:spacing w:line="0" w:lineRule="atLeast"/>
              <w:jc w:val="center"/>
              <w:rPr>
                <w:color w:val="000000"/>
                <w:kern w:val="0"/>
                <w:sz w:val="22"/>
                <w:szCs w:val="22"/>
              </w:rPr>
            </w:pPr>
          </w:p>
          <w:p w14:paraId="6F80D192">
            <w:pPr>
              <w:spacing w:line="0" w:lineRule="atLeast"/>
              <w:jc w:val="center"/>
              <w:rPr>
                <w:color w:val="000000"/>
                <w:kern w:val="0"/>
                <w:sz w:val="22"/>
                <w:szCs w:val="22"/>
              </w:rPr>
            </w:pPr>
          </w:p>
          <w:p w14:paraId="21328A5B">
            <w:pPr>
              <w:spacing w:line="0" w:lineRule="atLeast"/>
              <w:jc w:val="center"/>
              <w:rPr>
                <w:color w:val="000000"/>
                <w:kern w:val="0"/>
                <w:sz w:val="22"/>
                <w:szCs w:val="22"/>
              </w:rPr>
            </w:pPr>
          </w:p>
          <w:p w14:paraId="304D6CF0">
            <w:pPr>
              <w:spacing w:line="0" w:lineRule="atLeast"/>
              <w:jc w:val="center"/>
              <w:rPr>
                <w:color w:val="000000"/>
                <w:kern w:val="0"/>
                <w:sz w:val="22"/>
                <w:szCs w:val="22"/>
              </w:rPr>
            </w:pPr>
          </w:p>
          <w:p w14:paraId="6692D99D">
            <w:pPr>
              <w:spacing w:line="0" w:lineRule="atLeast"/>
              <w:jc w:val="center"/>
              <w:rPr>
                <w:color w:val="000000"/>
                <w:kern w:val="0"/>
                <w:sz w:val="22"/>
                <w:szCs w:val="22"/>
              </w:rPr>
            </w:pPr>
          </w:p>
          <w:p w14:paraId="55FF45ED">
            <w:pPr>
              <w:spacing w:line="0" w:lineRule="atLeast"/>
              <w:jc w:val="center"/>
              <w:rPr>
                <w:color w:val="000000"/>
                <w:kern w:val="0"/>
                <w:sz w:val="22"/>
                <w:szCs w:val="22"/>
              </w:rPr>
            </w:pPr>
          </w:p>
          <w:p w14:paraId="11894A30">
            <w:pPr>
              <w:spacing w:line="0" w:lineRule="atLeast"/>
              <w:jc w:val="center"/>
              <w:rPr>
                <w:color w:val="000000"/>
                <w:kern w:val="0"/>
                <w:sz w:val="22"/>
                <w:szCs w:val="22"/>
              </w:rPr>
            </w:pPr>
            <w:r>
              <w:rPr>
                <w:color w:val="000000"/>
                <w:kern w:val="0"/>
                <w:sz w:val="22"/>
                <w:szCs w:val="22"/>
              </w:rPr>
              <w:t>过程</w:t>
            </w:r>
          </w:p>
          <w:p w14:paraId="0006C635">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14:paraId="62835867">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6DB9B18C">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0B00F083">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14:paraId="56848306">
            <w:pPr>
              <w:widowControl/>
              <w:spacing w:line="0" w:lineRule="atLeast"/>
              <w:rPr>
                <w:rFonts w:hint="eastAsia"/>
                <w:color w:val="000000"/>
                <w:kern w:val="0"/>
                <w:sz w:val="22"/>
                <w:szCs w:val="22"/>
              </w:rPr>
            </w:pPr>
            <w:r>
              <w:rPr>
                <w:rFonts w:hint="eastAsia"/>
                <w:color w:val="000000"/>
                <w:kern w:val="0"/>
                <w:sz w:val="22"/>
                <w:szCs w:val="22"/>
              </w:rPr>
              <w:t>评价要点：</w:t>
            </w:r>
          </w:p>
          <w:p w14:paraId="72588F2D">
            <w:pPr>
              <w:widowControl/>
              <w:spacing w:line="0" w:lineRule="atLeast"/>
              <w:rPr>
                <w:color w:val="000000"/>
                <w:kern w:val="0"/>
                <w:sz w:val="22"/>
                <w:szCs w:val="22"/>
              </w:rPr>
            </w:pPr>
            <w:r>
              <w:rPr>
                <w:rFonts w:hint="eastAsia"/>
                <w:color w:val="000000"/>
                <w:kern w:val="0"/>
                <w:sz w:val="22"/>
                <w:szCs w:val="22"/>
              </w:rPr>
              <w:t>①资金到位率=（实际到位资金/预算资金）×100%（</w:t>
            </w:r>
            <w:r>
              <w:rPr>
                <w:rFonts w:hint="eastAsia"/>
                <w:color w:val="000000"/>
                <w:kern w:val="0"/>
                <w:sz w:val="22"/>
                <w:szCs w:val="22"/>
                <w:lang w:val="en-US" w:eastAsia="zh-CN"/>
              </w:rPr>
              <w:t>4</w:t>
            </w:r>
            <w:r>
              <w:rPr>
                <w:rFonts w:hint="eastAsia"/>
                <w:color w:val="000000"/>
                <w:kern w:val="0"/>
                <w:sz w:val="22"/>
                <w:szCs w:val="22"/>
              </w:rPr>
              <w:t>分）</w:t>
            </w:r>
          </w:p>
        </w:tc>
        <w:tc>
          <w:tcPr>
            <w:tcW w:w="512" w:type="pct"/>
            <w:shd w:val="clear" w:color="000000" w:fill="FFFFFF"/>
            <w:vAlign w:val="center"/>
          </w:tcPr>
          <w:p w14:paraId="04CC92F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2AD5270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3.32</w:t>
            </w:r>
          </w:p>
        </w:tc>
      </w:tr>
      <w:tr w14:paraId="73275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01FE97BC">
            <w:pPr>
              <w:spacing w:line="0" w:lineRule="atLeast"/>
              <w:jc w:val="center"/>
              <w:rPr>
                <w:color w:val="000000"/>
                <w:kern w:val="0"/>
                <w:sz w:val="22"/>
                <w:szCs w:val="22"/>
              </w:rPr>
            </w:pPr>
          </w:p>
        </w:tc>
        <w:tc>
          <w:tcPr>
            <w:tcW w:w="301" w:type="pct"/>
            <w:vMerge w:val="continue"/>
            <w:shd w:val="clear" w:color="auto" w:fill="FFFFFF"/>
            <w:vAlign w:val="center"/>
          </w:tcPr>
          <w:p w14:paraId="54C53327">
            <w:pPr>
              <w:spacing w:line="0" w:lineRule="atLeast"/>
              <w:jc w:val="center"/>
              <w:rPr>
                <w:color w:val="000000"/>
                <w:kern w:val="0"/>
                <w:sz w:val="22"/>
                <w:szCs w:val="22"/>
              </w:rPr>
            </w:pPr>
          </w:p>
        </w:tc>
        <w:tc>
          <w:tcPr>
            <w:tcW w:w="344" w:type="pct"/>
            <w:shd w:val="clear" w:color="auto" w:fill="FFFFFF"/>
            <w:vAlign w:val="center"/>
          </w:tcPr>
          <w:p w14:paraId="5500EDD7">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350C8E32">
            <w:pPr>
              <w:widowControl/>
              <w:spacing w:line="0" w:lineRule="atLeast"/>
              <w:rPr>
                <w:color w:val="000000"/>
                <w:kern w:val="0"/>
                <w:sz w:val="22"/>
                <w:szCs w:val="22"/>
              </w:rPr>
            </w:pPr>
            <w:r>
              <w:rPr>
                <w:rFonts w:hint="eastAsia"/>
                <w:color w:val="000000"/>
                <w:kern w:val="0"/>
                <w:sz w:val="22"/>
                <w:szCs w:val="22"/>
              </w:rPr>
              <w:t>项目预算资金是否按照计划执行。</w:t>
            </w:r>
          </w:p>
        </w:tc>
        <w:tc>
          <w:tcPr>
            <w:tcW w:w="2048" w:type="pct"/>
            <w:shd w:val="clear" w:color="auto" w:fill="FFFFFF"/>
            <w:vAlign w:val="center"/>
          </w:tcPr>
          <w:p w14:paraId="2F4EFA33">
            <w:pPr>
              <w:widowControl/>
              <w:spacing w:line="0" w:lineRule="atLeast"/>
              <w:rPr>
                <w:rFonts w:hint="eastAsia"/>
                <w:color w:val="000000"/>
                <w:kern w:val="0"/>
                <w:sz w:val="22"/>
                <w:szCs w:val="22"/>
              </w:rPr>
            </w:pPr>
            <w:r>
              <w:rPr>
                <w:rFonts w:hint="eastAsia"/>
                <w:color w:val="000000"/>
                <w:kern w:val="0"/>
                <w:sz w:val="22"/>
                <w:szCs w:val="22"/>
              </w:rPr>
              <w:t>评价要点：</w:t>
            </w:r>
          </w:p>
          <w:p w14:paraId="778AFC13">
            <w:pPr>
              <w:widowControl/>
              <w:spacing w:line="0" w:lineRule="atLeast"/>
              <w:rPr>
                <w:color w:val="000000"/>
                <w:kern w:val="0"/>
                <w:sz w:val="22"/>
                <w:szCs w:val="22"/>
              </w:rPr>
            </w:pPr>
            <w:r>
              <w:rPr>
                <w:rFonts w:hint="eastAsia"/>
                <w:color w:val="000000"/>
                <w:kern w:val="0"/>
                <w:sz w:val="22"/>
                <w:szCs w:val="22"/>
              </w:rPr>
              <w:t>①预算执行率=（实际支出资金/实际到位资金）×100%（10分）。</w:t>
            </w:r>
          </w:p>
        </w:tc>
        <w:tc>
          <w:tcPr>
            <w:tcW w:w="512" w:type="pct"/>
            <w:shd w:val="clear" w:color="auto" w:fill="FFFFFF"/>
            <w:vAlign w:val="center"/>
          </w:tcPr>
          <w:p w14:paraId="35A1B90D">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682897C1">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4</w:t>
            </w:r>
          </w:p>
        </w:tc>
      </w:tr>
      <w:tr w14:paraId="2312B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34D720CF">
            <w:pPr>
              <w:spacing w:line="0" w:lineRule="atLeast"/>
              <w:jc w:val="center"/>
              <w:rPr>
                <w:color w:val="000000"/>
                <w:kern w:val="0"/>
                <w:sz w:val="22"/>
                <w:szCs w:val="22"/>
              </w:rPr>
            </w:pPr>
          </w:p>
        </w:tc>
        <w:tc>
          <w:tcPr>
            <w:tcW w:w="301" w:type="pct"/>
            <w:shd w:val="clear" w:color="auto" w:fill="FFFFFF"/>
            <w:vAlign w:val="center"/>
          </w:tcPr>
          <w:p w14:paraId="17110A74">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071BA3CF">
            <w:pPr>
              <w:widowControl/>
              <w:spacing w:line="0" w:lineRule="atLeast"/>
              <w:jc w:val="center"/>
              <w:rPr>
                <w:color w:val="000000"/>
                <w:kern w:val="0"/>
                <w:sz w:val="22"/>
                <w:szCs w:val="22"/>
              </w:rPr>
            </w:pPr>
            <w:r>
              <w:rPr>
                <w:color w:val="000000"/>
                <w:kern w:val="0"/>
                <w:sz w:val="22"/>
                <w:szCs w:val="22"/>
              </w:rPr>
              <w:t>资金使用</w:t>
            </w:r>
          </w:p>
          <w:p w14:paraId="48E13E57">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0DA899E2">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14:paraId="6B9A84C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rFonts w:hint="eastAsia"/>
                <w:color w:val="000000"/>
                <w:kern w:val="0"/>
                <w:sz w:val="22"/>
                <w:szCs w:val="22"/>
              </w:rPr>
              <w:t>①符合国家财经法规和财务管理制度以及有关专项资金管理办法的规定（</w:t>
            </w:r>
            <w:r>
              <w:rPr>
                <w:rFonts w:hint="eastAsia"/>
                <w:color w:val="000000"/>
                <w:kern w:val="0"/>
                <w:sz w:val="22"/>
                <w:szCs w:val="22"/>
                <w:lang w:val="en-US" w:eastAsia="zh-CN"/>
              </w:rPr>
              <w:t>2</w:t>
            </w:r>
            <w:r>
              <w:rPr>
                <w:rFonts w:hint="eastAsia"/>
                <w:color w:val="000000"/>
                <w:kern w:val="0"/>
                <w:sz w:val="22"/>
                <w:szCs w:val="22"/>
              </w:rPr>
              <w:t>分）；</w:t>
            </w:r>
          </w:p>
          <w:p w14:paraId="03EC8A72">
            <w:pPr>
              <w:widowControl/>
              <w:spacing w:line="0" w:lineRule="atLeast"/>
              <w:rPr>
                <w:color w:val="000000"/>
                <w:kern w:val="0"/>
                <w:sz w:val="22"/>
                <w:szCs w:val="22"/>
              </w:rPr>
            </w:pPr>
            <w:r>
              <w:rPr>
                <w:color w:val="000000"/>
                <w:kern w:val="0"/>
                <w:sz w:val="22"/>
                <w:szCs w:val="22"/>
              </w:rPr>
              <w:t>②</w:t>
            </w:r>
            <w:r>
              <w:rPr>
                <w:rFonts w:hint="eastAsia"/>
                <w:color w:val="000000"/>
                <w:kern w:val="0"/>
                <w:sz w:val="22"/>
                <w:szCs w:val="22"/>
              </w:rPr>
              <w:t>无截留、挤占、挪用、</w:t>
            </w:r>
            <w:r>
              <w:rPr>
                <w:color w:val="000000"/>
                <w:kern w:val="0"/>
                <w:sz w:val="22"/>
                <w:szCs w:val="22"/>
              </w:rPr>
              <w:t>虚列支出</w:t>
            </w:r>
            <w:r>
              <w:rPr>
                <w:rFonts w:hint="eastAsia"/>
                <w:color w:val="000000"/>
                <w:kern w:val="0"/>
                <w:sz w:val="22"/>
                <w:szCs w:val="22"/>
              </w:rPr>
              <w:t>等情况（</w:t>
            </w:r>
            <w:r>
              <w:rPr>
                <w:rFonts w:hint="eastAsia"/>
                <w:color w:val="000000"/>
                <w:kern w:val="0"/>
                <w:sz w:val="22"/>
                <w:szCs w:val="22"/>
                <w:lang w:val="en-US" w:eastAsia="zh-CN"/>
              </w:rPr>
              <w:t>2</w:t>
            </w:r>
            <w:r>
              <w:rPr>
                <w:rFonts w:hint="eastAsia"/>
                <w:color w:val="000000"/>
                <w:kern w:val="0"/>
                <w:sz w:val="22"/>
                <w:szCs w:val="22"/>
              </w:rPr>
              <w:t>分）。</w:t>
            </w:r>
          </w:p>
        </w:tc>
        <w:tc>
          <w:tcPr>
            <w:tcW w:w="512" w:type="pct"/>
            <w:shd w:val="clear" w:color="000000" w:fill="FFFFFF"/>
            <w:vAlign w:val="center"/>
          </w:tcPr>
          <w:p w14:paraId="39E8D272">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14ACA0A5">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4</w:t>
            </w:r>
          </w:p>
        </w:tc>
      </w:tr>
      <w:tr w14:paraId="4DF965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258C5A90">
            <w:pPr>
              <w:spacing w:line="0" w:lineRule="atLeast"/>
              <w:jc w:val="center"/>
              <w:rPr>
                <w:color w:val="000000"/>
                <w:kern w:val="0"/>
                <w:sz w:val="22"/>
                <w:szCs w:val="22"/>
              </w:rPr>
            </w:pPr>
          </w:p>
        </w:tc>
        <w:tc>
          <w:tcPr>
            <w:tcW w:w="301" w:type="pct"/>
            <w:vMerge w:val="restart"/>
            <w:shd w:val="clear" w:color="auto" w:fill="FFFFFF"/>
            <w:vAlign w:val="center"/>
          </w:tcPr>
          <w:p w14:paraId="17864F2E">
            <w:pPr>
              <w:widowControl/>
              <w:spacing w:line="0" w:lineRule="atLeast"/>
              <w:jc w:val="center"/>
              <w:rPr>
                <w:color w:val="000000"/>
                <w:kern w:val="0"/>
                <w:sz w:val="22"/>
                <w:szCs w:val="22"/>
              </w:rPr>
            </w:pPr>
            <w:r>
              <w:rPr>
                <w:color w:val="000000"/>
                <w:kern w:val="0"/>
                <w:sz w:val="22"/>
                <w:szCs w:val="22"/>
              </w:rPr>
              <w:t>组织实施</w:t>
            </w:r>
          </w:p>
          <w:p w14:paraId="2AFF1EFF">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05E55FE2">
            <w:pPr>
              <w:widowControl/>
              <w:spacing w:line="0" w:lineRule="atLeast"/>
              <w:jc w:val="center"/>
              <w:rPr>
                <w:color w:val="000000"/>
                <w:kern w:val="0"/>
                <w:sz w:val="22"/>
                <w:szCs w:val="22"/>
              </w:rPr>
            </w:pPr>
            <w:r>
              <w:rPr>
                <w:color w:val="000000"/>
                <w:kern w:val="0"/>
                <w:sz w:val="22"/>
                <w:szCs w:val="22"/>
              </w:rPr>
              <w:t>管理制度</w:t>
            </w:r>
          </w:p>
          <w:p w14:paraId="62B135B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2CB5AC10">
            <w:pPr>
              <w:widowControl/>
              <w:spacing w:line="0" w:lineRule="atLeast"/>
              <w:rPr>
                <w:color w:val="000000"/>
                <w:kern w:val="0"/>
                <w:sz w:val="22"/>
                <w:szCs w:val="22"/>
              </w:rPr>
            </w:pPr>
            <w:r>
              <w:rPr>
                <w:rFonts w:hint="eastAsia"/>
                <w:color w:val="000000"/>
                <w:kern w:val="0"/>
                <w:sz w:val="22"/>
                <w:szCs w:val="22"/>
              </w:rPr>
              <w:t>项目实施单位的财务和业务管理制度是否健全.</w:t>
            </w:r>
          </w:p>
        </w:tc>
        <w:tc>
          <w:tcPr>
            <w:tcW w:w="2048" w:type="pct"/>
            <w:shd w:val="clear" w:color="000000" w:fill="FFFFFF"/>
            <w:vAlign w:val="center"/>
          </w:tcPr>
          <w:p w14:paraId="7C31F58B">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①是否已制定或具有相应的财务和业务管理制度（</w:t>
            </w:r>
            <w:r>
              <w:rPr>
                <w:rFonts w:hint="eastAsia"/>
                <w:color w:val="000000"/>
                <w:kern w:val="0"/>
                <w:sz w:val="22"/>
                <w:szCs w:val="22"/>
                <w:lang w:val="en-US" w:eastAsia="zh-CN"/>
              </w:rPr>
              <w:t>2</w:t>
            </w:r>
            <w:r>
              <w:rPr>
                <w:rFonts w:hint="eastAsia"/>
                <w:color w:val="000000"/>
                <w:kern w:val="0"/>
                <w:sz w:val="22"/>
                <w:szCs w:val="22"/>
              </w:rPr>
              <w:t>分）；</w:t>
            </w:r>
            <w:r>
              <w:rPr>
                <w:rFonts w:hint="eastAsia"/>
                <w:color w:val="000000"/>
                <w:kern w:val="0"/>
                <w:sz w:val="22"/>
                <w:szCs w:val="22"/>
              </w:rPr>
              <w:br w:type="textWrapping"/>
            </w:r>
            <w:r>
              <w:rPr>
                <w:rFonts w:hint="eastAsia"/>
                <w:color w:val="000000"/>
                <w:kern w:val="0"/>
                <w:sz w:val="22"/>
                <w:szCs w:val="22"/>
              </w:rPr>
              <w:t>②财务和业务管理制度是否合法、合规、完整（2分）。</w:t>
            </w:r>
          </w:p>
        </w:tc>
        <w:tc>
          <w:tcPr>
            <w:tcW w:w="512" w:type="pct"/>
            <w:shd w:val="clear" w:color="000000" w:fill="FFFFFF"/>
            <w:vAlign w:val="center"/>
          </w:tcPr>
          <w:p w14:paraId="51EA7995">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47F2A69E">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4</w:t>
            </w:r>
          </w:p>
        </w:tc>
      </w:tr>
      <w:tr w14:paraId="1FB13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6444BFB9">
            <w:pPr>
              <w:widowControl/>
              <w:spacing w:line="0" w:lineRule="atLeast"/>
              <w:jc w:val="center"/>
              <w:rPr>
                <w:color w:val="000000"/>
                <w:kern w:val="0"/>
                <w:sz w:val="22"/>
                <w:szCs w:val="22"/>
              </w:rPr>
            </w:pPr>
          </w:p>
        </w:tc>
        <w:tc>
          <w:tcPr>
            <w:tcW w:w="301" w:type="pct"/>
            <w:vMerge w:val="continue"/>
            <w:shd w:val="clear" w:color="auto" w:fill="FFFFFF"/>
            <w:vAlign w:val="center"/>
          </w:tcPr>
          <w:p w14:paraId="00F5CDB3">
            <w:pPr>
              <w:widowControl/>
              <w:spacing w:line="0" w:lineRule="atLeast"/>
              <w:jc w:val="center"/>
              <w:rPr>
                <w:color w:val="000000"/>
                <w:kern w:val="0"/>
                <w:sz w:val="22"/>
                <w:szCs w:val="22"/>
              </w:rPr>
            </w:pPr>
          </w:p>
        </w:tc>
        <w:tc>
          <w:tcPr>
            <w:tcW w:w="344" w:type="pct"/>
            <w:shd w:val="clear" w:color="auto" w:fill="FFFFFF"/>
            <w:vAlign w:val="center"/>
          </w:tcPr>
          <w:p w14:paraId="2E3AF1B3">
            <w:pPr>
              <w:widowControl/>
              <w:spacing w:line="0" w:lineRule="atLeast"/>
              <w:jc w:val="center"/>
              <w:rPr>
                <w:color w:val="000000"/>
                <w:kern w:val="0"/>
                <w:sz w:val="22"/>
                <w:szCs w:val="22"/>
              </w:rPr>
            </w:pPr>
            <w:r>
              <w:rPr>
                <w:color w:val="000000"/>
                <w:kern w:val="0"/>
                <w:sz w:val="22"/>
                <w:szCs w:val="22"/>
              </w:rPr>
              <w:t>制度执行</w:t>
            </w:r>
          </w:p>
          <w:p w14:paraId="0369351B">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5EF1604F">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14:paraId="0F9375E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rFonts w:hint="eastAsia"/>
                <w:color w:val="000000"/>
                <w:kern w:val="0"/>
                <w:sz w:val="22"/>
                <w:szCs w:val="22"/>
                <w:lang w:eastAsia="zh-CN"/>
              </w:rPr>
              <w:t>（</w:t>
            </w:r>
            <w:r>
              <w:rPr>
                <w:rFonts w:hint="eastAsia"/>
                <w:color w:val="000000"/>
                <w:kern w:val="0"/>
                <w:sz w:val="22"/>
                <w:szCs w:val="22"/>
                <w:lang w:val="en-US" w:eastAsia="zh-CN"/>
              </w:rPr>
              <w:t>2分）</w:t>
            </w:r>
            <w:r>
              <w:rPr>
                <w:color w:val="000000"/>
                <w:kern w:val="0"/>
                <w:sz w:val="22"/>
                <w:szCs w:val="22"/>
              </w:rPr>
              <w:t>；</w:t>
            </w:r>
            <w:r>
              <w:rPr>
                <w:color w:val="000000"/>
                <w:kern w:val="0"/>
                <w:sz w:val="22"/>
                <w:szCs w:val="22"/>
              </w:rPr>
              <w:br w:type="textWrapping"/>
            </w:r>
            <w:r>
              <w:rPr>
                <w:color w:val="000000"/>
                <w:kern w:val="0"/>
                <w:sz w:val="22"/>
                <w:szCs w:val="22"/>
              </w:rPr>
              <w:t>②项目调整及支出调整手续是否完备</w:t>
            </w:r>
            <w:r>
              <w:rPr>
                <w:rFonts w:hint="eastAsia"/>
                <w:color w:val="000000"/>
                <w:kern w:val="0"/>
                <w:sz w:val="22"/>
                <w:szCs w:val="22"/>
                <w:lang w:eastAsia="zh-CN"/>
              </w:rPr>
              <w:t>（</w:t>
            </w:r>
            <w:r>
              <w:rPr>
                <w:rFonts w:hint="eastAsia"/>
                <w:color w:val="000000"/>
                <w:kern w:val="0"/>
                <w:sz w:val="22"/>
                <w:szCs w:val="22"/>
                <w:lang w:val="en-US" w:eastAsia="zh-CN"/>
              </w:rPr>
              <w:t>2分）</w:t>
            </w:r>
            <w:r>
              <w:rPr>
                <w:color w:val="000000"/>
                <w:kern w:val="0"/>
                <w:sz w:val="22"/>
                <w:szCs w:val="22"/>
              </w:rPr>
              <w:t>；</w:t>
            </w:r>
            <w:r>
              <w:rPr>
                <w:color w:val="000000"/>
                <w:kern w:val="0"/>
                <w:sz w:val="22"/>
                <w:szCs w:val="22"/>
              </w:rPr>
              <w:br w:type="textWrapping"/>
            </w:r>
          </w:p>
        </w:tc>
        <w:tc>
          <w:tcPr>
            <w:tcW w:w="512" w:type="pct"/>
            <w:shd w:val="clear" w:color="000000" w:fill="FFFFFF"/>
            <w:vAlign w:val="center"/>
          </w:tcPr>
          <w:p w14:paraId="3FBD674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39354C3A">
            <w:pPr>
              <w:widowControl/>
              <w:spacing w:line="0" w:lineRule="atLeast"/>
              <w:jc w:val="center"/>
              <w:rPr>
                <w:rFonts w:hint="eastAsia" w:eastAsia="宋体"/>
                <w:b/>
                <w:bCs/>
                <w:color w:val="000000"/>
                <w:kern w:val="0"/>
                <w:sz w:val="22"/>
                <w:szCs w:val="22"/>
                <w:lang w:eastAsia="zh-CN"/>
              </w:rPr>
            </w:pPr>
            <w:r>
              <w:rPr>
                <w:rFonts w:hint="eastAsia"/>
                <w:b/>
                <w:bCs/>
                <w:color w:val="000000"/>
                <w:kern w:val="0"/>
                <w:sz w:val="22"/>
                <w:szCs w:val="22"/>
                <w:highlight w:val="none"/>
                <w:lang w:val="en-US" w:eastAsia="zh-CN"/>
              </w:rPr>
              <w:t>4</w:t>
            </w:r>
          </w:p>
        </w:tc>
      </w:tr>
      <w:tr w14:paraId="13B60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3EC909CE">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14:paraId="1969A588">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5D1D693A">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4861817B">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14:paraId="53B4F55A">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①实际完成率=（实际产出数/计划产出数）×100%。</w:t>
            </w:r>
          </w:p>
        </w:tc>
        <w:tc>
          <w:tcPr>
            <w:tcW w:w="512" w:type="pct"/>
            <w:shd w:val="clear" w:color="000000" w:fill="FFFFFF"/>
            <w:vAlign w:val="center"/>
          </w:tcPr>
          <w:p w14:paraId="5D045341">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F597A67">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8.31</w:t>
            </w:r>
          </w:p>
        </w:tc>
      </w:tr>
      <w:tr w14:paraId="62444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104AEFE9">
            <w:pPr>
              <w:widowControl/>
              <w:spacing w:line="0" w:lineRule="atLeast"/>
              <w:jc w:val="center"/>
              <w:rPr>
                <w:color w:val="000000"/>
                <w:kern w:val="0"/>
                <w:sz w:val="22"/>
                <w:szCs w:val="22"/>
              </w:rPr>
            </w:pPr>
          </w:p>
        </w:tc>
        <w:tc>
          <w:tcPr>
            <w:tcW w:w="301" w:type="pct"/>
            <w:shd w:val="clear" w:color="auto" w:fill="FFFFFF"/>
            <w:vAlign w:val="center"/>
          </w:tcPr>
          <w:p w14:paraId="5141E1B2">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6EEB17E">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5EC444D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14:paraId="0CB19F34">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①质量达标率=（质量达标产出数/实际产出数）×100%。</w:t>
            </w:r>
          </w:p>
        </w:tc>
        <w:tc>
          <w:tcPr>
            <w:tcW w:w="512" w:type="pct"/>
            <w:shd w:val="clear" w:color="000000" w:fill="FFFFFF"/>
            <w:vAlign w:val="center"/>
          </w:tcPr>
          <w:p w14:paraId="16DBA28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64BD60E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9.70</w:t>
            </w:r>
          </w:p>
        </w:tc>
      </w:tr>
      <w:tr w14:paraId="270E1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68CEA805">
            <w:pPr>
              <w:spacing w:line="0" w:lineRule="atLeast"/>
              <w:jc w:val="center"/>
              <w:rPr>
                <w:color w:val="000000"/>
                <w:kern w:val="0"/>
                <w:sz w:val="22"/>
                <w:szCs w:val="22"/>
              </w:rPr>
            </w:pPr>
          </w:p>
        </w:tc>
        <w:tc>
          <w:tcPr>
            <w:tcW w:w="301" w:type="pct"/>
            <w:shd w:val="clear" w:color="auto" w:fill="FFFFFF"/>
            <w:vAlign w:val="center"/>
          </w:tcPr>
          <w:p w14:paraId="644FF517">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126D15D8">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643C0EF1">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14:paraId="706F9C71">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w:t>
            </w:r>
            <w:r>
              <w:rPr>
                <w:color w:val="000000"/>
                <w:kern w:val="0"/>
                <w:sz w:val="22"/>
                <w:szCs w:val="22"/>
              </w:rPr>
              <w:t>对照年初或调整</w:t>
            </w:r>
            <w:r>
              <w:rPr>
                <w:rFonts w:hint="eastAsia"/>
                <w:color w:val="000000"/>
                <w:kern w:val="0"/>
                <w:sz w:val="22"/>
                <w:szCs w:val="22"/>
              </w:rPr>
              <w:t>后</w:t>
            </w:r>
            <w:r>
              <w:rPr>
                <w:color w:val="000000"/>
                <w:kern w:val="0"/>
                <w:sz w:val="22"/>
                <w:szCs w:val="22"/>
              </w:rPr>
              <w:t>的绩效目标评价产出时效</w:t>
            </w:r>
          </w:p>
        </w:tc>
        <w:tc>
          <w:tcPr>
            <w:tcW w:w="512" w:type="pct"/>
            <w:shd w:val="clear" w:color="000000" w:fill="FFFFFF"/>
            <w:vAlign w:val="center"/>
          </w:tcPr>
          <w:p w14:paraId="024EC63F">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1823A9F7">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D631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78702E8C">
            <w:pPr>
              <w:widowControl/>
              <w:spacing w:line="0" w:lineRule="atLeast"/>
              <w:jc w:val="center"/>
              <w:rPr>
                <w:color w:val="000000"/>
                <w:kern w:val="0"/>
                <w:sz w:val="22"/>
                <w:szCs w:val="22"/>
              </w:rPr>
            </w:pPr>
          </w:p>
        </w:tc>
        <w:tc>
          <w:tcPr>
            <w:tcW w:w="301" w:type="pct"/>
            <w:shd w:val="clear" w:color="auto" w:fill="FFFFFF"/>
            <w:vAlign w:val="center"/>
          </w:tcPr>
          <w:p w14:paraId="75CE904B">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7B29EE0C">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2EBE192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14:paraId="1BE9EAE9">
            <w:pPr>
              <w:widowControl/>
              <w:spacing w:line="0" w:lineRule="atLeast"/>
              <w:rPr>
                <w:color w:val="000000"/>
                <w:kern w:val="0"/>
                <w:sz w:val="22"/>
                <w:szCs w:val="22"/>
              </w:rPr>
            </w:pPr>
            <w:r>
              <w:rPr>
                <w:color w:val="000000"/>
                <w:kern w:val="0"/>
                <w:sz w:val="22"/>
                <w:szCs w:val="22"/>
              </w:rPr>
              <w:br w:type="textWrapping"/>
            </w: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w:t>
            </w:r>
            <w:r>
              <w:rPr>
                <w:color w:val="000000"/>
                <w:kern w:val="0"/>
                <w:sz w:val="22"/>
                <w:szCs w:val="22"/>
              </w:rPr>
              <w:t>对照年初或调整</w:t>
            </w:r>
            <w:r>
              <w:rPr>
                <w:rFonts w:hint="eastAsia"/>
                <w:color w:val="000000"/>
                <w:kern w:val="0"/>
                <w:sz w:val="22"/>
                <w:szCs w:val="22"/>
              </w:rPr>
              <w:t>后</w:t>
            </w:r>
            <w:r>
              <w:rPr>
                <w:color w:val="000000"/>
                <w:kern w:val="0"/>
                <w:sz w:val="22"/>
                <w:szCs w:val="22"/>
              </w:rPr>
              <w:t>的绩效目标评价产出成本</w:t>
            </w:r>
            <w:r>
              <w:rPr>
                <w:rFonts w:hint="eastAsia"/>
                <w:color w:val="000000"/>
                <w:kern w:val="0"/>
                <w:sz w:val="22"/>
                <w:szCs w:val="22"/>
              </w:rPr>
              <w:t>。</w:t>
            </w:r>
          </w:p>
        </w:tc>
        <w:tc>
          <w:tcPr>
            <w:tcW w:w="512" w:type="pct"/>
            <w:shd w:val="clear" w:color="000000" w:fill="FFFFFF"/>
            <w:vAlign w:val="center"/>
          </w:tcPr>
          <w:p w14:paraId="2EFF48C5">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753417B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63C0E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0E18E1A8">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14:paraId="47CB135A">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21A1D214">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606B90D8">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14:paraId="356F2714">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w:t>
            </w:r>
            <w:r>
              <w:rPr>
                <w:color w:val="000000"/>
                <w:kern w:val="0"/>
                <w:sz w:val="22"/>
                <w:szCs w:val="22"/>
              </w:rPr>
              <w:t>对照年初或调整</w:t>
            </w:r>
            <w:r>
              <w:rPr>
                <w:rFonts w:hint="eastAsia"/>
                <w:color w:val="000000"/>
                <w:kern w:val="0"/>
                <w:sz w:val="22"/>
                <w:szCs w:val="22"/>
              </w:rPr>
              <w:t>后</w:t>
            </w:r>
            <w:r>
              <w:rPr>
                <w:color w:val="000000"/>
                <w:kern w:val="0"/>
                <w:sz w:val="22"/>
                <w:szCs w:val="22"/>
              </w:rPr>
              <w:t>申报的绩效目标评价社会效益</w:t>
            </w:r>
          </w:p>
        </w:tc>
        <w:tc>
          <w:tcPr>
            <w:tcW w:w="512" w:type="pct"/>
            <w:shd w:val="clear" w:color="auto" w:fill="FFFFFF"/>
            <w:vAlign w:val="center"/>
          </w:tcPr>
          <w:p w14:paraId="033F9815">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09CA5E91">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868D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47C0BBBF">
            <w:pPr>
              <w:widowControl/>
              <w:spacing w:line="0" w:lineRule="atLeast"/>
              <w:jc w:val="center"/>
              <w:rPr>
                <w:color w:val="000000"/>
                <w:kern w:val="0"/>
                <w:sz w:val="22"/>
                <w:szCs w:val="22"/>
              </w:rPr>
            </w:pPr>
          </w:p>
        </w:tc>
        <w:tc>
          <w:tcPr>
            <w:tcW w:w="301" w:type="pct"/>
            <w:vMerge w:val="continue"/>
            <w:shd w:val="clear" w:color="auto" w:fill="FFFFFF"/>
            <w:vAlign w:val="center"/>
          </w:tcPr>
          <w:p w14:paraId="3C178B76">
            <w:pPr>
              <w:widowControl/>
              <w:spacing w:line="0" w:lineRule="atLeast"/>
              <w:jc w:val="center"/>
              <w:rPr>
                <w:color w:val="000000"/>
                <w:kern w:val="0"/>
                <w:sz w:val="22"/>
                <w:szCs w:val="22"/>
              </w:rPr>
            </w:pPr>
          </w:p>
        </w:tc>
        <w:tc>
          <w:tcPr>
            <w:tcW w:w="344" w:type="pct"/>
            <w:shd w:val="clear" w:color="auto" w:fill="FFFFFF"/>
            <w:vAlign w:val="center"/>
          </w:tcPr>
          <w:p w14:paraId="71FCF352">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5A315751">
            <w:pPr>
              <w:widowControl/>
              <w:spacing w:line="0" w:lineRule="atLeast"/>
              <w:rPr>
                <w:color w:val="000000"/>
                <w:kern w:val="0"/>
                <w:sz w:val="22"/>
                <w:szCs w:val="22"/>
              </w:rPr>
            </w:pPr>
            <w:r>
              <w:rPr>
                <w:color w:val="000000"/>
                <w:kern w:val="0"/>
                <w:sz w:val="22"/>
                <w:szCs w:val="22"/>
              </w:rPr>
              <w:t>项目预期服务对象对项目实施的满意程度</w:t>
            </w:r>
          </w:p>
        </w:tc>
        <w:tc>
          <w:tcPr>
            <w:tcW w:w="2048" w:type="pct"/>
            <w:shd w:val="clear" w:color="000000" w:fill="FFFFFF"/>
            <w:vAlign w:val="center"/>
          </w:tcPr>
          <w:p w14:paraId="5C01F057">
            <w:pPr>
              <w:widowControl/>
              <w:spacing w:line="0" w:lineRule="atLeas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w:t>
            </w:r>
            <w:r>
              <w:rPr>
                <w:color w:val="000000"/>
                <w:kern w:val="0"/>
                <w:sz w:val="22"/>
                <w:szCs w:val="22"/>
              </w:rPr>
              <w:t>对照年初或调整</w:t>
            </w:r>
            <w:r>
              <w:rPr>
                <w:rFonts w:hint="eastAsia"/>
                <w:color w:val="000000"/>
                <w:kern w:val="0"/>
                <w:sz w:val="22"/>
                <w:szCs w:val="22"/>
              </w:rPr>
              <w:t>后</w:t>
            </w:r>
            <w:r>
              <w:rPr>
                <w:color w:val="000000"/>
                <w:kern w:val="0"/>
                <w:sz w:val="22"/>
                <w:szCs w:val="22"/>
              </w:rPr>
              <w:t>申报的绩效目标评价服务对象满意度</w:t>
            </w:r>
          </w:p>
        </w:tc>
        <w:tc>
          <w:tcPr>
            <w:tcW w:w="512" w:type="pct"/>
            <w:shd w:val="clear" w:color="000000" w:fill="FFFFFF"/>
            <w:vAlign w:val="center"/>
          </w:tcPr>
          <w:p w14:paraId="079EC228">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6E76AF8">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3FC84738"/>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341325-2002-4AFF-B2AC-9196F8DEA2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D4DFF43-7D7F-4E56-8519-501A0C732B3E}"/>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AA3BB7D-66B8-4168-9D2D-E0C5942F98C4}"/>
  </w:font>
  <w:font w:name="楷体_GB2312">
    <w:altName w:val="楷体"/>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FE61B4E0-180C-46A5-B8A1-41126D5D9CE8}"/>
  </w:font>
  <w:font w:name="方正小标宋_GBK">
    <w:panose1 w:val="02000000000000000000"/>
    <w:charset w:val="86"/>
    <w:family w:val="script"/>
    <w:pitch w:val="default"/>
    <w:sig w:usb0="A00002BF" w:usb1="38CF7CFA" w:usb2="00082016" w:usb3="00000000" w:csb0="00040001" w:csb1="00000000"/>
    <w:embedRegular r:id="rId5" w:fontKey="{D0717CD7-4BAF-423B-BB90-1BD6508C1846}"/>
  </w:font>
  <w:font w:name="楷体">
    <w:panose1 w:val="02010609060101010101"/>
    <w:charset w:val="86"/>
    <w:family w:val="modern"/>
    <w:pitch w:val="default"/>
    <w:sig w:usb0="800002BF" w:usb1="38CF7CFA" w:usb2="00000016" w:usb3="00000000" w:csb0="00040001" w:csb1="00000000"/>
    <w:embedRegular r:id="rId6" w:fontKey="{DE359AFC-4530-4A66-AAB3-1B8774A44E0D}"/>
  </w:font>
  <w:font w:name="仿宋">
    <w:panose1 w:val="02010609060101010101"/>
    <w:charset w:val="86"/>
    <w:family w:val="modern"/>
    <w:pitch w:val="default"/>
    <w:sig w:usb0="800002BF" w:usb1="38CF7CFA" w:usb2="00000016" w:usb3="00000000" w:csb0="00040001" w:csb1="00000000"/>
    <w:embedRegular r:id="rId7" w:fontKey="{DC5F5E0B-373F-41DF-9011-3B3511045E0E}"/>
  </w:font>
  <w:font w:name="方正小标宋简体">
    <w:panose1 w:val="02000000000000000000"/>
    <w:charset w:val="86"/>
    <w:family w:val="auto"/>
    <w:pitch w:val="default"/>
    <w:sig w:usb0="00000001" w:usb1="080E0000" w:usb2="00000000" w:usb3="00000000" w:csb0="00040000" w:csb1="00000000"/>
    <w:embedRegular r:id="rId8" w:fontKey="{DFFC6A31-82C6-41E9-9737-7F6990BEC3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279DF44">
        <w:pPr>
          <w:pStyle w:val="8"/>
          <w:jc w:val="center"/>
        </w:pPr>
        <w:r>
          <w:fldChar w:fldCharType="begin"/>
        </w:r>
        <w:r>
          <w:instrText xml:space="preserve">PAGE   \* MERGEFORMAT</w:instrText>
        </w:r>
        <w:r>
          <w:fldChar w:fldCharType="separate"/>
        </w:r>
        <w:r>
          <w:rPr>
            <w:lang w:val="zh-CN"/>
          </w:rPr>
          <w:t>13</w:t>
        </w:r>
        <w:r>
          <w:fldChar w:fldCharType="end"/>
        </w:r>
      </w:p>
    </w:sdtContent>
  </w:sdt>
  <w:p w14:paraId="4F7933B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4AAF7511"/>
    <w:multiLevelType w:val="singleLevel"/>
    <w:tmpl w:val="4AAF7511"/>
    <w:lvl w:ilvl="0" w:tentative="0">
      <w:start w:val="2"/>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NjA2ZTJkOWM0MmExM2M5MzU0YmM3YWZlN2I4ZWQifQ=="/>
  </w:docVars>
  <w:rsids>
    <w:rsidRoot w:val="FF6C4049"/>
    <w:rsid w:val="006F7242"/>
    <w:rsid w:val="007B168A"/>
    <w:rsid w:val="008B2CFE"/>
    <w:rsid w:val="00F26FF6"/>
    <w:rsid w:val="01CE7161"/>
    <w:rsid w:val="022655F4"/>
    <w:rsid w:val="03E219EE"/>
    <w:rsid w:val="05766F80"/>
    <w:rsid w:val="07397B77"/>
    <w:rsid w:val="076D3A81"/>
    <w:rsid w:val="099C43EE"/>
    <w:rsid w:val="0A4A1C71"/>
    <w:rsid w:val="10685029"/>
    <w:rsid w:val="11845E93"/>
    <w:rsid w:val="13471461"/>
    <w:rsid w:val="13B90F01"/>
    <w:rsid w:val="15360A41"/>
    <w:rsid w:val="167C538B"/>
    <w:rsid w:val="181066D2"/>
    <w:rsid w:val="1C671E73"/>
    <w:rsid w:val="1E1B192D"/>
    <w:rsid w:val="1EB83620"/>
    <w:rsid w:val="1EBB0A1A"/>
    <w:rsid w:val="230961F8"/>
    <w:rsid w:val="23BC326A"/>
    <w:rsid w:val="242F6132"/>
    <w:rsid w:val="29BF1D06"/>
    <w:rsid w:val="2A1A518F"/>
    <w:rsid w:val="2E9279E9"/>
    <w:rsid w:val="2F0E295D"/>
    <w:rsid w:val="300264A9"/>
    <w:rsid w:val="30065F29"/>
    <w:rsid w:val="30501BA9"/>
    <w:rsid w:val="306C6A04"/>
    <w:rsid w:val="33477C6A"/>
    <w:rsid w:val="341E218B"/>
    <w:rsid w:val="378974B0"/>
    <w:rsid w:val="37E961A0"/>
    <w:rsid w:val="385E288C"/>
    <w:rsid w:val="38CA40DD"/>
    <w:rsid w:val="395F2B56"/>
    <w:rsid w:val="3B7D557D"/>
    <w:rsid w:val="3BECE841"/>
    <w:rsid w:val="3C7C3A87"/>
    <w:rsid w:val="3F1E0E25"/>
    <w:rsid w:val="3FAE33D0"/>
    <w:rsid w:val="3FF7797D"/>
    <w:rsid w:val="41004C87"/>
    <w:rsid w:val="41A90E7A"/>
    <w:rsid w:val="44202F4A"/>
    <w:rsid w:val="448E2D37"/>
    <w:rsid w:val="458F65D9"/>
    <w:rsid w:val="4685487C"/>
    <w:rsid w:val="468E3747"/>
    <w:rsid w:val="4B2C0426"/>
    <w:rsid w:val="4B78366B"/>
    <w:rsid w:val="4D6640C3"/>
    <w:rsid w:val="4DFF405B"/>
    <w:rsid w:val="4F1D58C5"/>
    <w:rsid w:val="4F471CD3"/>
    <w:rsid w:val="517D19DC"/>
    <w:rsid w:val="51A74C45"/>
    <w:rsid w:val="52AE4BBB"/>
    <w:rsid w:val="532B1FC2"/>
    <w:rsid w:val="550C0952"/>
    <w:rsid w:val="574C432A"/>
    <w:rsid w:val="59A22076"/>
    <w:rsid w:val="5BFF6039"/>
    <w:rsid w:val="5D3A2E77"/>
    <w:rsid w:val="5D76A616"/>
    <w:rsid w:val="5D7F20B9"/>
    <w:rsid w:val="5DAC7D0E"/>
    <w:rsid w:val="5E7E5003"/>
    <w:rsid w:val="5F98B5AF"/>
    <w:rsid w:val="5FFE8511"/>
    <w:rsid w:val="5FFEACE2"/>
    <w:rsid w:val="61175BDA"/>
    <w:rsid w:val="633B165F"/>
    <w:rsid w:val="633F751D"/>
    <w:rsid w:val="643EE26D"/>
    <w:rsid w:val="647B624F"/>
    <w:rsid w:val="654E5711"/>
    <w:rsid w:val="657B1042"/>
    <w:rsid w:val="679C2918"/>
    <w:rsid w:val="69B80FA9"/>
    <w:rsid w:val="6B517D09"/>
    <w:rsid w:val="6BD10355"/>
    <w:rsid w:val="6DC72505"/>
    <w:rsid w:val="6F5C41AC"/>
    <w:rsid w:val="6FAF6C78"/>
    <w:rsid w:val="706F4ABF"/>
    <w:rsid w:val="70877D29"/>
    <w:rsid w:val="7317C656"/>
    <w:rsid w:val="734ED73F"/>
    <w:rsid w:val="777A358B"/>
    <w:rsid w:val="77F17064"/>
    <w:rsid w:val="77FD8BE9"/>
    <w:rsid w:val="782B3690"/>
    <w:rsid w:val="783D222D"/>
    <w:rsid w:val="78691D81"/>
    <w:rsid w:val="7995407D"/>
    <w:rsid w:val="79A9BD3F"/>
    <w:rsid w:val="79C124FE"/>
    <w:rsid w:val="7A990D85"/>
    <w:rsid w:val="7BFFFDD0"/>
    <w:rsid w:val="7C336E5F"/>
    <w:rsid w:val="7CDD64F3"/>
    <w:rsid w:val="7D7A5F86"/>
    <w:rsid w:val="7E9975A5"/>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5"/>
    <w:autoRedefine/>
    <w:qFormat/>
    <w:uiPriority w:val="0"/>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3"/>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4"/>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annotation subject"/>
    <w:basedOn w:val="4"/>
    <w:next w:val="4"/>
    <w:link w:val="26"/>
    <w:autoRedefine/>
    <w:qFormat/>
    <w:uiPriority w:val="0"/>
    <w:rPr>
      <w:b/>
      <w:bCs/>
    </w:rPr>
  </w:style>
  <w:style w:type="paragraph" w:styleId="13">
    <w:name w:val="Body Text First Indent"/>
    <w:basedOn w:val="5"/>
    <w:autoRedefine/>
    <w:qFormat/>
    <w:uiPriority w:val="0"/>
    <w:pPr>
      <w:spacing w:after="0"/>
      <w:ind w:firstLine="200" w:firstLineChars="200"/>
    </w:pPr>
  </w:style>
  <w:style w:type="paragraph" w:styleId="14">
    <w:name w:val="Body Text First Indent 2"/>
    <w:basedOn w:val="6"/>
    <w:autoRedefine/>
    <w:qFormat/>
    <w:uiPriority w:val="0"/>
    <w:pPr>
      <w:ind w:firstLine="420" w:firstLineChars="200"/>
    </w:pPr>
  </w:style>
  <w:style w:type="character" w:styleId="17">
    <w:name w:val="Strong"/>
    <w:basedOn w:val="16"/>
    <w:autoRedefine/>
    <w:qFormat/>
    <w:uiPriority w:val="0"/>
    <w:rPr>
      <w:b/>
      <w:bCs/>
    </w:rPr>
  </w:style>
  <w:style w:type="character" w:styleId="18">
    <w:name w:val="annotation reference"/>
    <w:basedOn w:val="16"/>
    <w:autoRedefine/>
    <w:qFormat/>
    <w:uiPriority w:val="0"/>
    <w:rPr>
      <w:sz w:val="21"/>
      <w:szCs w:val="21"/>
    </w:rPr>
  </w:style>
  <w:style w:type="paragraph" w:customStyle="1" w:styleId="19">
    <w:name w:val="一级标题"/>
    <w:basedOn w:val="1"/>
    <w:autoRedefine/>
    <w:qFormat/>
    <w:uiPriority w:val="0"/>
    <w:pPr>
      <w:spacing w:line="560" w:lineRule="exact"/>
      <w:ind w:firstLine="640" w:firstLineChars="200"/>
      <w:outlineLvl w:val="0"/>
    </w:pPr>
    <w:rPr>
      <w:rFonts w:ascii="Times New Roman" w:hAnsi="Times New Roman" w:eastAsia="黑体"/>
      <w:bCs/>
      <w:sz w:val="32"/>
      <w:szCs w:val="32"/>
    </w:rPr>
  </w:style>
  <w:style w:type="paragraph" w:customStyle="1" w:styleId="20">
    <w:name w:val="三级标题"/>
    <w:basedOn w:val="1"/>
    <w:link w:val="30"/>
    <w:autoRedefine/>
    <w:qFormat/>
    <w:uiPriority w:val="0"/>
    <w:pPr>
      <w:widowControl/>
      <w:spacing w:line="560" w:lineRule="exact"/>
      <w:ind w:firstLine="1041" w:firstLineChars="200"/>
      <w:outlineLvl w:val="2"/>
    </w:pPr>
    <w:rPr>
      <w:rFonts w:ascii="Times New Roman" w:hAnsi="Times New Roman" w:eastAsia="仿宋_GB2312"/>
      <w:b/>
      <w:bCs/>
      <w:sz w:val="32"/>
      <w:szCs w:val="32"/>
    </w:rPr>
  </w:style>
  <w:style w:type="character" w:customStyle="1" w:styleId="21">
    <w:name w:val="fontstyle01"/>
    <w:autoRedefine/>
    <w:qFormat/>
    <w:uiPriority w:val="0"/>
    <w:rPr>
      <w:rFonts w:ascii="仿宋_GB2312" w:hAnsi="仿宋_GB2312" w:eastAsia="仿宋_GB2312" w:cs="仿宋_GB2312"/>
      <w:color w:val="000000"/>
      <w:sz w:val="32"/>
      <w:szCs w:val="32"/>
    </w:rPr>
  </w:style>
  <w:style w:type="paragraph" w:customStyle="1" w:styleId="22">
    <w:name w:val="闻政-正文段落文字"/>
    <w:basedOn w:val="1"/>
    <w:autoRedefine/>
    <w:qFormat/>
    <w:uiPriority w:val="3"/>
    <w:pPr>
      <w:spacing w:line="500" w:lineRule="exact"/>
      <w:ind w:firstLine="200"/>
    </w:pPr>
    <w:rPr>
      <w:kern w:val="0"/>
      <w:szCs w:val="28"/>
    </w:rPr>
  </w:style>
  <w:style w:type="character" w:customStyle="1" w:styleId="23">
    <w:name w:val="批注框文本 字符"/>
    <w:basedOn w:val="16"/>
    <w:link w:val="7"/>
    <w:autoRedefine/>
    <w:qFormat/>
    <w:uiPriority w:val="0"/>
    <w:rPr>
      <w:rFonts w:ascii="Times New Roman" w:hAnsi="Times New Roman" w:eastAsia="宋体" w:cs="Times New Roman"/>
      <w:kern w:val="2"/>
      <w:sz w:val="18"/>
      <w:szCs w:val="18"/>
    </w:rPr>
  </w:style>
  <w:style w:type="character" w:customStyle="1" w:styleId="24">
    <w:name w:val="页眉 字符"/>
    <w:basedOn w:val="16"/>
    <w:link w:val="9"/>
    <w:autoRedefine/>
    <w:qFormat/>
    <w:uiPriority w:val="0"/>
    <w:rPr>
      <w:rFonts w:ascii="Times New Roman" w:hAnsi="Times New Roman" w:eastAsia="宋体" w:cs="Times New Roman"/>
      <w:kern w:val="2"/>
      <w:sz w:val="18"/>
      <w:szCs w:val="18"/>
    </w:rPr>
  </w:style>
  <w:style w:type="character" w:customStyle="1" w:styleId="25">
    <w:name w:val="批注文字 字符"/>
    <w:basedOn w:val="16"/>
    <w:link w:val="4"/>
    <w:autoRedefine/>
    <w:qFormat/>
    <w:uiPriority w:val="0"/>
    <w:rPr>
      <w:rFonts w:ascii="Times New Roman" w:hAnsi="Times New Roman" w:eastAsia="宋体" w:cs="Times New Roman"/>
      <w:kern w:val="2"/>
      <w:sz w:val="21"/>
      <w:szCs w:val="24"/>
    </w:rPr>
  </w:style>
  <w:style w:type="character" w:customStyle="1" w:styleId="26">
    <w:name w:val="批注主题 字符"/>
    <w:basedOn w:val="25"/>
    <w:link w:val="12"/>
    <w:autoRedefine/>
    <w:qFormat/>
    <w:uiPriority w:val="0"/>
    <w:rPr>
      <w:rFonts w:ascii="Times New Roman" w:hAnsi="Times New Roman" w:eastAsia="宋体" w:cs="Times New Roman"/>
      <w:b/>
      <w:bCs/>
      <w:kern w:val="2"/>
      <w:sz w:val="21"/>
      <w:szCs w:val="24"/>
    </w:rPr>
  </w:style>
  <w:style w:type="paragraph" w:customStyle="1" w:styleId="27">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28">
    <w:name w:val="WPSOffice手动目录 2"/>
    <w:autoRedefine/>
    <w:qFormat/>
    <w:uiPriority w:val="0"/>
    <w:pPr>
      <w:ind w:leftChars="200"/>
    </w:pPr>
    <w:rPr>
      <w:rFonts w:asciiTheme="minorHAnsi" w:hAnsiTheme="minorHAnsi" w:eastAsiaTheme="minorEastAsia" w:cstheme="minorBidi"/>
      <w:sz w:val="20"/>
      <w:szCs w:val="20"/>
    </w:rPr>
  </w:style>
  <w:style w:type="paragraph" w:customStyle="1" w:styleId="29">
    <w:name w:val="二级标题"/>
    <w:basedOn w:val="1"/>
    <w:autoRedefine/>
    <w:qFormat/>
    <w:uiPriority w:val="0"/>
    <w:pPr>
      <w:spacing w:line="560" w:lineRule="exact"/>
      <w:ind w:firstLine="643" w:firstLineChars="200"/>
      <w:outlineLvl w:val="1"/>
    </w:pPr>
    <w:rPr>
      <w:rFonts w:ascii="Times New Roman" w:hAnsi="Times New Roman" w:eastAsia="楷体_GB2312"/>
      <w:b/>
      <w:bCs/>
      <w:sz w:val="32"/>
      <w:szCs w:val="32"/>
    </w:rPr>
  </w:style>
  <w:style w:type="character" w:customStyle="1" w:styleId="30">
    <w:name w:val="三级标题 Char"/>
    <w:link w:val="20"/>
    <w:autoRedefine/>
    <w:qFormat/>
    <w:uiPriority w:val="0"/>
    <w:rPr>
      <w:rFonts w:ascii="Times New Roman" w:hAnsi="Times New Roman" w:eastAsia="仿宋_GB2312"/>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9557</Words>
  <Characters>10175</Characters>
  <Lines>58</Lines>
  <Paragraphs>16</Paragraphs>
  <TotalTime>15</TotalTime>
  <ScaleCrop>false</ScaleCrop>
  <LinksUpToDate>false</LinksUpToDate>
  <CharactersWithSpaces>10274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梦乡</cp:lastModifiedBy>
  <cp:lastPrinted>2024-04-19T05:22:00Z</cp:lastPrinted>
  <dcterms:modified xsi:type="dcterms:W3CDTF">2024-07-17T16:04:18Z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434FD1BED3BD442C8135CDF5328E27F0_13</vt:lpwstr>
  </property>
</Properties>
</file>