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59E243A">
      <w:pPr>
        <w:spacing w:line="540" w:lineRule="exact"/>
        <w:jc w:val="center"/>
        <w:rPr>
          <w:rFonts w:eastAsia="华文中宋"/>
          <w:b/>
          <w:kern w:val="0"/>
          <w:sz w:val="52"/>
          <w:szCs w:val="52"/>
        </w:rPr>
      </w:pPr>
      <w:bookmarkStart w:id="32" w:name="_GoBack"/>
      <w:bookmarkEnd w:id="32"/>
    </w:p>
    <w:p w14:paraId="6DFED81D">
      <w:pPr>
        <w:spacing w:line="540" w:lineRule="exact"/>
        <w:rPr>
          <w:rFonts w:eastAsia="华文中宋"/>
          <w:b/>
          <w:kern w:val="0"/>
          <w:sz w:val="52"/>
          <w:szCs w:val="52"/>
        </w:rPr>
      </w:pPr>
    </w:p>
    <w:p w14:paraId="1FD6196B">
      <w:pPr>
        <w:spacing w:line="540" w:lineRule="exact"/>
        <w:jc w:val="center"/>
        <w:rPr>
          <w:rFonts w:eastAsia="华文中宋"/>
          <w:b/>
          <w:kern w:val="0"/>
          <w:sz w:val="52"/>
          <w:szCs w:val="52"/>
        </w:rPr>
      </w:pPr>
    </w:p>
    <w:p w14:paraId="47A02E3D">
      <w:pPr>
        <w:spacing w:line="540" w:lineRule="exact"/>
        <w:jc w:val="center"/>
        <w:rPr>
          <w:rFonts w:eastAsia="华文中宋"/>
          <w:b/>
          <w:kern w:val="0"/>
          <w:sz w:val="52"/>
          <w:szCs w:val="52"/>
        </w:rPr>
      </w:pPr>
    </w:p>
    <w:p w14:paraId="295B403C">
      <w:pPr>
        <w:spacing w:line="540" w:lineRule="exact"/>
        <w:jc w:val="center"/>
        <w:outlineLvl w:val="9"/>
        <w:rPr>
          <w:rFonts w:eastAsia="方正小标宋_GBK"/>
          <w:kern w:val="0"/>
          <w:sz w:val="48"/>
          <w:szCs w:val="48"/>
        </w:rPr>
      </w:pPr>
      <w:r>
        <w:rPr>
          <w:rFonts w:hint="eastAsia" w:eastAsia="方正小标宋_GBK"/>
          <w:kern w:val="0"/>
          <w:sz w:val="48"/>
          <w:szCs w:val="48"/>
        </w:rPr>
        <w:t>高技能人才实训基地</w:t>
      </w:r>
      <w:r>
        <w:rPr>
          <w:rFonts w:eastAsia="方正小标宋_GBK"/>
          <w:kern w:val="0"/>
          <w:sz w:val="48"/>
          <w:szCs w:val="48"/>
        </w:rPr>
        <w:t>资金项目支出</w:t>
      </w:r>
    </w:p>
    <w:p w14:paraId="2DE3656A">
      <w:pPr>
        <w:spacing w:line="540" w:lineRule="exact"/>
        <w:jc w:val="center"/>
        <w:outlineLvl w:val="9"/>
        <w:rPr>
          <w:rFonts w:eastAsia="方正小标宋_GBK"/>
          <w:kern w:val="0"/>
          <w:sz w:val="48"/>
          <w:szCs w:val="48"/>
        </w:rPr>
      </w:pPr>
      <w:r>
        <w:rPr>
          <w:rFonts w:eastAsia="方正小标宋_GBK"/>
          <w:kern w:val="0"/>
          <w:sz w:val="48"/>
          <w:szCs w:val="48"/>
        </w:rPr>
        <w:t>绩效评价报告</w:t>
      </w:r>
    </w:p>
    <w:p w14:paraId="2DCD6C9E">
      <w:pPr>
        <w:spacing w:line="540" w:lineRule="exact"/>
        <w:jc w:val="center"/>
        <w:outlineLvl w:val="9"/>
        <w:rPr>
          <w:rFonts w:eastAsia="华文中宋"/>
          <w:b/>
          <w:kern w:val="0"/>
          <w:sz w:val="52"/>
          <w:szCs w:val="52"/>
        </w:rPr>
      </w:pPr>
    </w:p>
    <w:p w14:paraId="7137B424">
      <w:pPr>
        <w:spacing w:line="540" w:lineRule="exact"/>
        <w:jc w:val="center"/>
        <w:outlineLvl w:val="9"/>
        <w:rPr>
          <w:rFonts w:eastAsia="仿宋_GB2312"/>
          <w:kern w:val="0"/>
          <w:sz w:val="36"/>
          <w:szCs w:val="36"/>
        </w:rPr>
      </w:pPr>
      <w:r>
        <w:rPr>
          <w:rFonts w:eastAsia="仿宋_GB2312"/>
          <w:kern w:val="0"/>
          <w:sz w:val="36"/>
          <w:szCs w:val="36"/>
        </w:rPr>
        <w:t>（ 202</w:t>
      </w:r>
      <w:r>
        <w:rPr>
          <w:rFonts w:hint="eastAsia" w:eastAsia="仿宋_GB2312"/>
          <w:kern w:val="0"/>
          <w:sz w:val="36"/>
          <w:szCs w:val="36"/>
          <w:lang w:val="en-US" w:eastAsia="zh-CN"/>
        </w:rPr>
        <w:t>3</w:t>
      </w:r>
      <w:r>
        <w:rPr>
          <w:rFonts w:eastAsia="仿宋_GB2312"/>
          <w:kern w:val="0"/>
          <w:sz w:val="36"/>
          <w:szCs w:val="36"/>
        </w:rPr>
        <w:t>年度）</w:t>
      </w:r>
    </w:p>
    <w:p w14:paraId="3043CB6B">
      <w:pPr>
        <w:spacing w:line="540" w:lineRule="exact"/>
        <w:jc w:val="center"/>
        <w:outlineLvl w:val="9"/>
        <w:rPr>
          <w:rFonts w:eastAsia="仿宋_GB2312"/>
          <w:kern w:val="0"/>
          <w:sz w:val="30"/>
          <w:szCs w:val="30"/>
        </w:rPr>
      </w:pPr>
    </w:p>
    <w:p w14:paraId="5C44CD96">
      <w:pPr>
        <w:spacing w:line="540" w:lineRule="exact"/>
        <w:jc w:val="center"/>
        <w:outlineLvl w:val="9"/>
        <w:rPr>
          <w:rFonts w:eastAsia="仿宋_GB2312"/>
          <w:kern w:val="0"/>
          <w:sz w:val="30"/>
          <w:szCs w:val="30"/>
        </w:rPr>
      </w:pPr>
    </w:p>
    <w:p w14:paraId="7CE41579">
      <w:pPr>
        <w:spacing w:line="540" w:lineRule="exact"/>
        <w:jc w:val="center"/>
        <w:outlineLvl w:val="9"/>
        <w:rPr>
          <w:rFonts w:eastAsia="仿宋_GB2312"/>
          <w:kern w:val="0"/>
          <w:sz w:val="30"/>
          <w:szCs w:val="30"/>
        </w:rPr>
      </w:pPr>
    </w:p>
    <w:p w14:paraId="32CF7779">
      <w:pPr>
        <w:pStyle w:val="2"/>
        <w:outlineLvl w:val="9"/>
      </w:pPr>
    </w:p>
    <w:p w14:paraId="48925EC3">
      <w:pPr>
        <w:spacing w:line="540" w:lineRule="exact"/>
        <w:jc w:val="center"/>
        <w:outlineLvl w:val="9"/>
        <w:rPr>
          <w:rFonts w:eastAsia="仿宋_GB2312"/>
          <w:kern w:val="0"/>
          <w:sz w:val="30"/>
          <w:szCs w:val="30"/>
        </w:rPr>
      </w:pPr>
    </w:p>
    <w:p w14:paraId="1729378D">
      <w:pPr>
        <w:spacing w:line="540" w:lineRule="exact"/>
        <w:outlineLvl w:val="9"/>
        <w:rPr>
          <w:rFonts w:eastAsia="仿宋_GB2312"/>
          <w:kern w:val="0"/>
          <w:sz w:val="30"/>
          <w:szCs w:val="30"/>
        </w:rPr>
      </w:pPr>
    </w:p>
    <w:p w14:paraId="105D60D1">
      <w:pPr>
        <w:spacing w:line="700" w:lineRule="exact"/>
        <w:ind w:firstLine="1440" w:firstLineChars="400"/>
        <w:jc w:val="left"/>
        <w:outlineLvl w:val="9"/>
        <w:rPr>
          <w:rFonts w:eastAsia="仿宋_GB2312"/>
          <w:kern w:val="0"/>
          <w:sz w:val="36"/>
          <w:szCs w:val="36"/>
        </w:rPr>
      </w:pPr>
      <w:r>
        <w:rPr>
          <w:rFonts w:eastAsia="仿宋_GB2312"/>
          <w:kern w:val="0"/>
          <w:sz w:val="36"/>
          <w:szCs w:val="36"/>
        </w:rPr>
        <w:t>项目名称：</w:t>
      </w:r>
      <w:r>
        <w:rPr>
          <w:rFonts w:hint="eastAsia" w:eastAsia="仿宋_GB2312"/>
          <w:kern w:val="0"/>
          <w:sz w:val="36"/>
          <w:szCs w:val="36"/>
        </w:rPr>
        <w:t>国家级高技能人才实训基地建设</w:t>
      </w:r>
    </w:p>
    <w:p w14:paraId="720AA842">
      <w:pPr>
        <w:spacing w:line="700" w:lineRule="exact"/>
        <w:ind w:firstLine="1440" w:firstLineChars="400"/>
        <w:jc w:val="left"/>
        <w:outlineLvl w:val="9"/>
        <w:rPr>
          <w:rFonts w:eastAsia="仿宋_GB2312"/>
          <w:kern w:val="0"/>
          <w:sz w:val="36"/>
          <w:szCs w:val="36"/>
        </w:rPr>
      </w:pPr>
      <w:r>
        <w:rPr>
          <w:rFonts w:eastAsia="仿宋_GB2312"/>
          <w:kern w:val="0"/>
          <w:sz w:val="36"/>
          <w:szCs w:val="36"/>
        </w:rPr>
        <w:t>实施单位（公章）：</w:t>
      </w:r>
      <w:r>
        <w:rPr>
          <w:rFonts w:hint="eastAsia" w:eastAsia="仿宋_GB2312"/>
          <w:kern w:val="0"/>
          <w:sz w:val="36"/>
          <w:szCs w:val="36"/>
        </w:rPr>
        <w:t>新疆安装技工学校</w:t>
      </w:r>
    </w:p>
    <w:p w14:paraId="72D385C9">
      <w:pPr>
        <w:spacing w:line="700" w:lineRule="exact"/>
        <w:ind w:firstLine="1440" w:firstLineChars="400"/>
        <w:jc w:val="left"/>
        <w:outlineLvl w:val="9"/>
        <w:rPr>
          <w:rFonts w:eastAsia="仿宋_GB2312"/>
          <w:kern w:val="0"/>
          <w:sz w:val="36"/>
          <w:szCs w:val="36"/>
        </w:rPr>
      </w:pPr>
      <w:r>
        <w:rPr>
          <w:rFonts w:eastAsia="仿宋_GB2312"/>
          <w:kern w:val="0"/>
          <w:sz w:val="36"/>
          <w:szCs w:val="36"/>
        </w:rPr>
        <w:t>主管部门（公章）：</w:t>
      </w:r>
      <w:r>
        <w:rPr>
          <w:rFonts w:hint="eastAsia" w:eastAsia="仿宋_GB2312"/>
          <w:kern w:val="0"/>
          <w:sz w:val="36"/>
          <w:szCs w:val="36"/>
        </w:rPr>
        <w:t>自治区工业与信息化厅</w:t>
      </w:r>
    </w:p>
    <w:p w14:paraId="33BB3E0F">
      <w:pPr>
        <w:spacing w:line="700" w:lineRule="exact"/>
        <w:ind w:firstLine="1440" w:firstLineChars="400"/>
        <w:jc w:val="left"/>
        <w:outlineLvl w:val="9"/>
        <w:rPr>
          <w:rFonts w:eastAsia="仿宋_GB2312"/>
          <w:kern w:val="0"/>
          <w:sz w:val="36"/>
          <w:szCs w:val="36"/>
        </w:rPr>
      </w:pPr>
      <w:r>
        <w:rPr>
          <w:rFonts w:eastAsia="仿宋_GB2312"/>
          <w:kern w:val="0"/>
          <w:sz w:val="36"/>
          <w:szCs w:val="36"/>
        </w:rPr>
        <w:t>项目负责人（签章）：</w:t>
      </w:r>
      <w:r>
        <w:rPr>
          <w:rFonts w:hint="eastAsia" w:eastAsia="仿宋_GB2312"/>
          <w:kern w:val="0"/>
          <w:sz w:val="36"/>
          <w:szCs w:val="36"/>
        </w:rPr>
        <w:t>徐万征</w:t>
      </w:r>
    </w:p>
    <w:p w14:paraId="0CAF7BDE">
      <w:pPr>
        <w:spacing w:line="700" w:lineRule="exact"/>
        <w:ind w:firstLine="1440" w:firstLineChars="400"/>
        <w:jc w:val="left"/>
        <w:outlineLvl w:val="9"/>
        <w:rPr>
          <w:rFonts w:eastAsia="仿宋_GB2312"/>
          <w:kern w:val="0"/>
          <w:sz w:val="36"/>
          <w:szCs w:val="36"/>
        </w:rPr>
      </w:pPr>
      <w:r>
        <w:rPr>
          <w:rFonts w:eastAsia="仿宋_GB2312"/>
          <w:kern w:val="0"/>
          <w:sz w:val="36"/>
          <w:szCs w:val="36"/>
        </w:rPr>
        <w:t>填报时间：</w:t>
      </w:r>
      <w:r>
        <w:rPr>
          <w:rFonts w:hint="eastAsia" w:eastAsia="仿宋_GB2312"/>
          <w:kern w:val="0"/>
          <w:sz w:val="36"/>
          <w:szCs w:val="36"/>
          <w:lang w:val="en-US" w:eastAsia="zh-CN"/>
        </w:rPr>
        <w:t>2024</w:t>
      </w:r>
      <w:r>
        <w:rPr>
          <w:rFonts w:eastAsia="仿宋_GB2312"/>
          <w:kern w:val="0"/>
          <w:sz w:val="36"/>
          <w:szCs w:val="36"/>
        </w:rPr>
        <w:t>年</w:t>
      </w:r>
      <w:r>
        <w:rPr>
          <w:rFonts w:hint="eastAsia" w:eastAsia="仿宋_GB2312"/>
          <w:kern w:val="0"/>
          <w:sz w:val="36"/>
          <w:szCs w:val="36"/>
          <w:lang w:val="en-US" w:eastAsia="zh-CN"/>
        </w:rPr>
        <w:t>4</w:t>
      </w:r>
      <w:r>
        <w:rPr>
          <w:rFonts w:eastAsia="仿宋_GB2312"/>
          <w:kern w:val="0"/>
          <w:sz w:val="36"/>
          <w:szCs w:val="36"/>
        </w:rPr>
        <w:t>月</w:t>
      </w:r>
      <w:r>
        <w:rPr>
          <w:rFonts w:hint="eastAsia" w:eastAsia="仿宋_GB2312"/>
          <w:kern w:val="0"/>
          <w:sz w:val="36"/>
          <w:szCs w:val="36"/>
          <w:lang w:val="en-US" w:eastAsia="zh-CN"/>
        </w:rPr>
        <w:t>16</w:t>
      </w:r>
      <w:r>
        <w:rPr>
          <w:rFonts w:eastAsia="仿宋_GB2312"/>
          <w:kern w:val="0"/>
          <w:sz w:val="36"/>
          <w:szCs w:val="36"/>
        </w:rPr>
        <w:t>日</w:t>
      </w:r>
    </w:p>
    <w:p w14:paraId="438F69ED">
      <w:pPr>
        <w:spacing w:line="540" w:lineRule="exact"/>
        <w:jc w:val="center"/>
        <w:outlineLvl w:val="9"/>
        <w:rPr>
          <w:rFonts w:eastAsia="仿宋_GB2312"/>
          <w:kern w:val="0"/>
          <w:sz w:val="30"/>
          <w:szCs w:val="30"/>
        </w:rPr>
      </w:pPr>
    </w:p>
    <w:p w14:paraId="40BFD321">
      <w:pPr>
        <w:spacing w:line="540" w:lineRule="exact"/>
        <w:rPr>
          <w:rStyle w:val="19"/>
          <w:rFonts w:eastAsia="黑体"/>
          <w:b w:val="0"/>
          <w:spacing w:val="-4"/>
          <w:sz w:val="32"/>
          <w:szCs w:val="32"/>
        </w:rPr>
      </w:pPr>
    </w:p>
    <w:p w14:paraId="120C28B4">
      <w:pPr>
        <w:spacing w:line="540" w:lineRule="exact"/>
        <w:ind w:firstLine="640"/>
        <w:rPr>
          <w:rStyle w:val="19"/>
          <w:rFonts w:eastAsia="黑体"/>
          <w:b w:val="0"/>
          <w:spacing w:val="-4"/>
          <w:sz w:val="32"/>
          <w:szCs w:val="32"/>
        </w:rPr>
      </w:pPr>
    </w:p>
    <w:p w14:paraId="2D05C343">
      <w:pPr>
        <w:spacing w:line="540" w:lineRule="exact"/>
        <w:rPr>
          <w:rStyle w:val="19"/>
          <w:rFonts w:eastAsia="黑体"/>
          <w:b w:val="0"/>
          <w:spacing w:val="-4"/>
          <w:sz w:val="32"/>
          <w:szCs w:val="32"/>
        </w:rPr>
      </w:pPr>
    </w:p>
    <w:p w14:paraId="14E3758F">
      <w:pPr>
        <w:spacing w:line="560" w:lineRule="exact"/>
        <w:ind w:firstLine="640" w:firstLineChars="200"/>
        <w:rPr>
          <w:rFonts w:eastAsia="黑体"/>
          <w:bCs/>
          <w:sz w:val="32"/>
          <w:szCs w:val="32"/>
        </w:rPr>
        <w:sectPr>
          <w:footerReference r:id="rId5" w:type="default"/>
          <w:pgSz w:w="11906" w:h="16838"/>
          <w:pgMar w:top="1440" w:right="1558" w:bottom="1440" w:left="1800" w:header="851" w:footer="992" w:gutter="0"/>
          <w:cols w:space="425" w:num="1"/>
          <w:docGrid w:type="lines" w:linePitch="312" w:charSpace="0"/>
        </w:sectPr>
      </w:pPr>
    </w:p>
    <w:sdt>
      <w:sdtPr>
        <w:rPr>
          <w:rFonts w:ascii="宋体" w:hAnsi="宋体" w:eastAsia="宋体" w:cs="Times New Roman"/>
          <w:kern w:val="2"/>
          <w:sz w:val="21"/>
          <w:szCs w:val="24"/>
          <w:lang w:val="en-US" w:eastAsia="zh-CN" w:bidi="ar-SA"/>
        </w:rPr>
        <w:id w:val="147451351"/>
        <w15:color w:val="DBDBDB"/>
        <w:docPartObj>
          <w:docPartGallery w:val="Table of Contents"/>
          <w:docPartUnique/>
        </w:docPartObj>
      </w:sdtPr>
      <w:sdtEndPr>
        <w:rPr>
          <w:rFonts w:ascii="宋体" w:hAnsi="宋体" w:eastAsia="宋体" w:cs="Times New Roman"/>
          <w:b/>
          <w:kern w:val="2"/>
          <w:sz w:val="21"/>
          <w:szCs w:val="24"/>
          <w:lang w:val="en-US" w:eastAsia="zh-CN" w:bidi="ar-SA"/>
        </w:rPr>
      </w:sdtEndPr>
      <w:sdtContent>
        <w:p w14:paraId="5DC280B1">
          <w:pPr>
            <w:keepNext w:val="0"/>
            <w:keepLines w:val="0"/>
            <w:pageBreakBefore w:val="0"/>
            <w:kinsoku/>
            <w:wordWrap/>
            <w:overflowPunct/>
            <w:topLinePunct w:val="0"/>
            <w:autoSpaceDE/>
            <w:autoSpaceDN/>
            <w:bidi w:val="0"/>
            <w:adjustRightInd/>
            <w:snapToGrid/>
            <w:spacing w:line="520" w:lineRule="exact"/>
            <w:ind w:left="0" w:leftChars="0" w:right="0" w:rightChars="0" w:firstLine="0" w:firstLineChars="0"/>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目录</w:t>
          </w:r>
        </w:p>
        <w:p w14:paraId="5C3DEFEF">
          <w:pPr>
            <w:pStyle w:val="12"/>
            <w:keepNext w:val="0"/>
            <w:keepLines w:val="0"/>
            <w:pageBreakBefore w:val="0"/>
            <w:tabs>
              <w:tab w:val="right" w:leader="dot" w:pos="8548"/>
            </w:tabs>
            <w:kinsoku/>
            <w:wordWrap/>
            <w:overflowPunct/>
            <w:topLinePunct w:val="0"/>
            <w:autoSpaceDE/>
            <w:autoSpaceDN/>
            <w:bidi w:val="0"/>
            <w:adjustRightInd/>
            <w:snapToGrid/>
            <w:spacing w:line="52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"1-2" \h \u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_Toc18636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一、基本情况</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_Toc18636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4</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14:paraId="1FDB37B4">
          <w:pPr>
            <w:pStyle w:val="13"/>
            <w:keepNext w:val="0"/>
            <w:keepLines w:val="0"/>
            <w:pageBreakBefore w:val="0"/>
            <w:tabs>
              <w:tab w:val="right" w:leader="dot" w:pos="8548"/>
            </w:tabs>
            <w:kinsoku/>
            <w:wordWrap/>
            <w:overflowPunct/>
            <w:topLinePunct w:val="0"/>
            <w:autoSpaceDE/>
            <w:autoSpaceDN/>
            <w:bidi w:val="0"/>
            <w:adjustRightInd/>
            <w:snapToGrid/>
            <w:spacing w:line="52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_Toc4325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（一）项目概况</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_Toc4325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4</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14:paraId="27E7B3EF">
          <w:pPr>
            <w:pStyle w:val="13"/>
            <w:keepNext w:val="0"/>
            <w:keepLines w:val="0"/>
            <w:pageBreakBefore w:val="0"/>
            <w:tabs>
              <w:tab w:val="right" w:leader="dot" w:pos="8548"/>
            </w:tabs>
            <w:kinsoku/>
            <w:wordWrap/>
            <w:overflowPunct/>
            <w:topLinePunct w:val="0"/>
            <w:autoSpaceDE/>
            <w:autoSpaceDN/>
            <w:bidi w:val="0"/>
            <w:adjustRightInd/>
            <w:snapToGrid/>
            <w:spacing w:line="52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_Toc941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bCs/>
              <w:sz w:val="32"/>
              <w:szCs w:val="32"/>
            </w:rPr>
            <w:t>（二）项目</w:t>
          </w:r>
          <w:r>
            <w:rPr>
              <w:rFonts w:hint="eastAsia" w:ascii="仿宋_GB2312" w:hAnsi="仿宋_GB2312" w:eastAsia="仿宋_GB2312" w:cs="仿宋_GB2312"/>
              <w:sz w:val="32"/>
              <w:szCs w:val="32"/>
            </w:rPr>
            <w:t>绩效</w:t>
          </w:r>
          <w:r>
            <w:rPr>
              <w:rFonts w:hint="eastAsia" w:ascii="仿宋_GB2312" w:hAnsi="仿宋_GB2312" w:eastAsia="仿宋_GB2312" w:cs="仿宋_GB2312"/>
              <w:bCs/>
              <w:sz w:val="32"/>
              <w:szCs w:val="32"/>
            </w:rPr>
            <w:t>目标</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_Toc941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6</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14:paraId="3A1E8D8F">
          <w:pPr>
            <w:pStyle w:val="12"/>
            <w:keepNext w:val="0"/>
            <w:keepLines w:val="0"/>
            <w:pageBreakBefore w:val="0"/>
            <w:tabs>
              <w:tab w:val="right" w:leader="dot" w:pos="8548"/>
            </w:tabs>
            <w:kinsoku/>
            <w:wordWrap/>
            <w:overflowPunct/>
            <w:topLinePunct w:val="0"/>
            <w:autoSpaceDE/>
            <w:autoSpaceDN/>
            <w:bidi w:val="0"/>
            <w:adjustRightInd/>
            <w:snapToGrid/>
            <w:spacing w:line="52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_Toc3982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二、绩效评价工作开展情况</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_Toc3982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7</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14:paraId="3E9115BC">
          <w:pPr>
            <w:pStyle w:val="13"/>
            <w:keepNext w:val="0"/>
            <w:keepLines w:val="0"/>
            <w:pageBreakBefore w:val="0"/>
            <w:tabs>
              <w:tab w:val="right" w:leader="dot" w:pos="8548"/>
            </w:tabs>
            <w:kinsoku/>
            <w:wordWrap/>
            <w:overflowPunct/>
            <w:topLinePunct w:val="0"/>
            <w:autoSpaceDE/>
            <w:autoSpaceDN/>
            <w:bidi w:val="0"/>
            <w:adjustRightInd/>
            <w:snapToGrid/>
            <w:spacing w:line="52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_Toc12017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bCs/>
              <w:sz w:val="32"/>
              <w:szCs w:val="32"/>
            </w:rPr>
            <w:t>（一）绩效评价目的、对象和范围</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_Toc12017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7</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14:paraId="6DD82782">
          <w:pPr>
            <w:pStyle w:val="13"/>
            <w:keepNext w:val="0"/>
            <w:keepLines w:val="0"/>
            <w:pageBreakBefore w:val="0"/>
            <w:tabs>
              <w:tab w:val="right" w:leader="dot" w:pos="8548"/>
            </w:tabs>
            <w:kinsoku/>
            <w:wordWrap/>
            <w:overflowPunct/>
            <w:topLinePunct w:val="0"/>
            <w:autoSpaceDE/>
            <w:autoSpaceDN/>
            <w:bidi w:val="0"/>
            <w:adjustRightInd/>
            <w:snapToGrid/>
            <w:spacing w:line="52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_Toc30883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bCs/>
              <w:sz w:val="32"/>
              <w:szCs w:val="32"/>
            </w:rPr>
            <w:t>（二）绩效评价原则、评价指标体系（详情见表1）、评价方法、评价标准。</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_Toc30883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8</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14:paraId="58767310">
          <w:pPr>
            <w:pStyle w:val="13"/>
            <w:keepNext w:val="0"/>
            <w:keepLines w:val="0"/>
            <w:pageBreakBefore w:val="0"/>
            <w:tabs>
              <w:tab w:val="right" w:leader="dot" w:pos="8548"/>
            </w:tabs>
            <w:kinsoku/>
            <w:wordWrap/>
            <w:overflowPunct/>
            <w:topLinePunct w:val="0"/>
            <w:autoSpaceDE/>
            <w:autoSpaceDN/>
            <w:bidi w:val="0"/>
            <w:adjustRightInd/>
            <w:snapToGrid/>
            <w:spacing w:line="52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_Toc4398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（三） 绩效评价工作过程</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_Toc4398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10</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14:paraId="5304B760">
          <w:pPr>
            <w:pStyle w:val="12"/>
            <w:keepNext w:val="0"/>
            <w:keepLines w:val="0"/>
            <w:pageBreakBefore w:val="0"/>
            <w:tabs>
              <w:tab w:val="right" w:leader="dot" w:pos="8548"/>
            </w:tabs>
            <w:kinsoku/>
            <w:wordWrap/>
            <w:overflowPunct/>
            <w:topLinePunct w:val="0"/>
            <w:autoSpaceDE/>
            <w:autoSpaceDN/>
            <w:bidi w:val="0"/>
            <w:adjustRightInd/>
            <w:snapToGrid/>
            <w:spacing w:line="52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_Toc24341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lang w:eastAsia="zh-CN"/>
            </w:rPr>
            <w:t>三、</w:t>
          </w:r>
          <w:r>
            <w:rPr>
              <w:rFonts w:hint="eastAsia" w:ascii="仿宋_GB2312" w:hAnsi="仿宋_GB2312" w:eastAsia="仿宋_GB2312" w:cs="仿宋_GB2312"/>
              <w:sz w:val="32"/>
              <w:szCs w:val="32"/>
            </w:rPr>
            <w:t>综合评价情况及评价结论（附相关评分表）</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_Toc24341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11</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14:paraId="0447EA7C">
          <w:pPr>
            <w:pStyle w:val="13"/>
            <w:keepNext w:val="0"/>
            <w:keepLines w:val="0"/>
            <w:pageBreakBefore w:val="0"/>
            <w:tabs>
              <w:tab w:val="right" w:leader="dot" w:pos="8548"/>
            </w:tabs>
            <w:kinsoku/>
            <w:wordWrap/>
            <w:overflowPunct/>
            <w:topLinePunct w:val="0"/>
            <w:autoSpaceDE/>
            <w:autoSpaceDN/>
            <w:bidi w:val="0"/>
            <w:adjustRightInd/>
            <w:snapToGrid/>
            <w:spacing w:line="52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_Toc1407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一</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评价情况</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_Toc1407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11</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14:paraId="6CC0EDB1">
          <w:pPr>
            <w:pStyle w:val="13"/>
            <w:keepNext w:val="0"/>
            <w:keepLines w:val="0"/>
            <w:pageBreakBefore w:val="0"/>
            <w:tabs>
              <w:tab w:val="right" w:leader="dot" w:pos="8548"/>
            </w:tabs>
            <w:kinsoku/>
            <w:wordWrap/>
            <w:overflowPunct/>
            <w:topLinePunct w:val="0"/>
            <w:autoSpaceDE/>
            <w:autoSpaceDN/>
            <w:bidi w:val="0"/>
            <w:adjustRightInd/>
            <w:snapToGrid/>
            <w:spacing w:line="52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_Toc7637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二</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评价结论</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_Toc7637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11</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14:paraId="2193D98D">
          <w:pPr>
            <w:pStyle w:val="12"/>
            <w:keepNext w:val="0"/>
            <w:keepLines w:val="0"/>
            <w:pageBreakBefore w:val="0"/>
            <w:tabs>
              <w:tab w:val="right" w:leader="dot" w:pos="8548"/>
            </w:tabs>
            <w:kinsoku/>
            <w:wordWrap/>
            <w:overflowPunct/>
            <w:topLinePunct w:val="0"/>
            <w:autoSpaceDE/>
            <w:autoSpaceDN/>
            <w:bidi w:val="0"/>
            <w:adjustRightInd/>
            <w:snapToGrid/>
            <w:spacing w:line="52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_Toc15939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lang w:eastAsia="zh-CN"/>
            </w:rPr>
            <w:t>四、绩效评价指标分析</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_Toc15939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12</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14:paraId="00BF1EC9">
          <w:pPr>
            <w:pStyle w:val="13"/>
            <w:keepNext w:val="0"/>
            <w:keepLines w:val="0"/>
            <w:pageBreakBefore w:val="0"/>
            <w:tabs>
              <w:tab w:val="right" w:leader="dot" w:pos="8548"/>
            </w:tabs>
            <w:kinsoku/>
            <w:wordWrap/>
            <w:overflowPunct/>
            <w:topLinePunct w:val="0"/>
            <w:autoSpaceDE/>
            <w:autoSpaceDN/>
            <w:bidi w:val="0"/>
            <w:adjustRightInd/>
            <w:snapToGrid/>
            <w:spacing w:line="52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_Toc15385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（一）项目决策情况</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_Toc15385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12</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14:paraId="04087965">
          <w:pPr>
            <w:pStyle w:val="13"/>
            <w:keepNext w:val="0"/>
            <w:keepLines w:val="0"/>
            <w:pageBreakBefore w:val="0"/>
            <w:tabs>
              <w:tab w:val="right" w:leader="dot" w:pos="8548"/>
            </w:tabs>
            <w:kinsoku/>
            <w:wordWrap/>
            <w:overflowPunct/>
            <w:topLinePunct w:val="0"/>
            <w:autoSpaceDE/>
            <w:autoSpaceDN/>
            <w:bidi w:val="0"/>
            <w:adjustRightInd/>
            <w:snapToGrid/>
            <w:spacing w:line="52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_Toc4841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（二） 项目过程情况</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_Toc4841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14</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14:paraId="454348E8">
          <w:pPr>
            <w:pStyle w:val="13"/>
            <w:keepNext w:val="0"/>
            <w:keepLines w:val="0"/>
            <w:pageBreakBefore w:val="0"/>
            <w:tabs>
              <w:tab w:val="right" w:leader="dot" w:pos="8548"/>
            </w:tabs>
            <w:kinsoku/>
            <w:wordWrap/>
            <w:overflowPunct/>
            <w:topLinePunct w:val="0"/>
            <w:autoSpaceDE/>
            <w:autoSpaceDN/>
            <w:bidi w:val="0"/>
            <w:adjustRightInd/>
            <w:snapToGrid/>
            <w:spacing w:line="52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_Toc5237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（三） 项目产出</w:t>
          </w:r>
          <w:r>
            <w:rPr>
              <w:rFonts w:hint="eastAsia" w:ascii="仿宋_GB2312" w:hAnsi="仿宋_GB2312" w:eastAsia="仿宋_GB2312" w:cs="仿宋_GB2312"/>
              <w:sz w:val="32"/>
              <w:szCs w:val="32"/>
              <w:lang w:val="en-US" w:eastAsia="zh-CN"/>
            </w:rPr>
            <w:t>情况</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_Toc5237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15</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14:paraId="2B0E15D5">
          <w:pPr>
            <w:pStyle w:val="13"/>
            <w:keepNext w:val="0"/>
            <w:keepLines w:val="0"/>
            <w:pageBreakBefore w:val="0"/>
            <w:tabs>
              <w:tab w:val="right" w:leader="dot" w:pos="8548"/>
            </w:tabs>
            <w:kinsoku/>
            <w:wordWrap/>
            <w:overflowPunct/>
            <w:topLinePunct w:val="0"/>
            <w:autoSpaceDE/>
            <w:autoSpaceDN/>
            <w:bidi w:val="0"/>
            <w:adjustRightInd/>
            <w:snapToGrid/>
            <w:spacing w:line="52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_Toc22794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lang w:val="en-US" w:eastAsia="zh-CN"/>
            </w:rPr>
            <w:t>（四） 项目效益情况</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_Toc22794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17</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14:paraId="32133898">
          <w:pPr>
            <w:pStyle w:val="12"/>
            <w:keepNext w:val="0"/>
            <w:keepLines w:val="0"/>
            <w:pageBreakBefore w:val="0"/>
            <w:tabs>
              <w:tab w:val="right" w:leader="dot" w:pos="8548"/>
            </w:tabs>
            <w:kinsoku/>
            <w:wordWrap/>
            <w:overflowPunct/>
            <w:topLinePunct w:val="0"/>
            <w:autoSpaceDE/>
            <w:autoSpaceDN/>
            <w:bidi w:val="0"/>
            <w:adjustRightInd/>
            <w:snapToGrid/>
            <w:spacing w:line="52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_Toc24080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lang w:eastAsia="zh-Hans"/>
            </w:rPr>
            <w:t>五、预算执行进度与绩效指标总体完成率偏差</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_Toc24080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18</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14:paraId="3BECEEDC">
          <w:pPr>
            <w:pStyle w:val="12"/>
            <w:keepNext w:val="0"/>
            <w:keepLines w:val="0"/>
            <w:pageBreakBefore w:val="0"/>
            <w:tabs>
              <w:tab w:val="right" w:leader="dot" w:pos="8548"/>
            </w:tabs>
            <w:kinsoku/>
            <w:wordWrap/>
            <w:overflowPunct/>
            <w:topLinePunct w:val="0"/>
            <w:autoSpaceDE/>
            <w:autoSpaceDN/>
            <w:bidi w:val="0"/>
            <w:adjustRightInd/>
            <w:snapToGrid/>
            <w:spacing w:line="52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_Toc2910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lang w:eastAsia="zh-Hans"/>
            </w:rPr>
            <w:t>六、主要经验及做法、存在的问题及原因分析</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_Toc2910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18</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14:paraId="08029325">
          <w:pPr>
            <w:pStyle w:val="13"/>
            <w:keepNext w:val="0"/>
            <w:keepLines w:val="0"/>
            <w:pageBreakBefore w:val="0"/>
            <w:tabs>
              <w:tab w:val="right" w:leader="dot" w:pos="8548"/>
            </w:tabs>
            <w:kinsoku/>
            <w:wordWrap/>
            <w:overflowPunct/>
            <w:topLinePunct w:val="0"/>
            <w:autoSpaceDE/>
            <w:autoSpaceDN/>
            <w:bidi w:val="0"/>
            <w:adjustRightInd/>
            <w:snapToGrid/>
            <w:spacing w:line="52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_Toc28740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（一）主要经验及做法</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_Toc28740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18</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14:paraId="63348798">
          <w:pPr>
            <w:pStyle w:val="13"/>
            <w:keepNext w:val="0"/>
            <w:keepLines w:val="0"/>
            <w:pageBreakBefore w:val="0"/>
            <w:tabs>
              <w:tab w:val="right" w:leader="dot" w:pos="8548"/>
            </w:tabs>
            <w:kinsoku/>
            <w:wordWrap/>
            <w:overflowPunct/>
            <w:topLinePunct w:val="0"/>
            <w:autoSpaceDE/>
            <w:autoSpaceDN/>
            <w:bidi w:val="0"/>
            <w:adjustRightInd/>
            <w:snapToGrid/>
            <w:spacing w:line="52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_Toc21841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（二） 存在的问题及原因分析</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_Toc21841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19</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14:paraId="51F0F988">
          <w:pPr>
            <w:pStyle w:val="12"/>
            <w:keepNext w:val="0"/>
            <w:keepLines w:val="0"/>
            <w:pageBreakBefore w:val="0"/>
            <w:tabs>
              <w:tab w:val="right" w:leader="dot" w:pos="8548"/>
            </w:tabs>
            <w:kinsoku/>
            <w:wordWrap/>
            <w:overflowPunct/>
            <w:topLinePunct w:val="0"/>
            <w:autoSpaceDE/>
            <w:autoSpaceDN/>
            <w:bidi w:val="0"/>
            <w:adjustRightInd/>
            <w:snapToGrid/>
            <w:spacing w:line="52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_Toc7263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kern w:val="44"/>
              <w:sz w:val="32"/>
              <w:szCs w:val="32"/>
              <w:lang w:val="en-US" w:eastAsia="zh-Hans" w:bidi="ar-SA"/>
            </w:rPr>
            <w:t>七、有关建议</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_Toc7263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19</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14:paraId="65D657BD">
          <w:pPr>
            <w:pStyle w:val="12"/>
            <w:keepNext w:val="0"/>
            <w:keepLines w:val="0"/>
            <w:pageBreakBefore w:val="0"/>
            <w:tabs>
              <w:tab w:val="right" w:leader="dot" w:pos="8548"/>
            </w:tabs>
            <w:kinsoku/>
            <w:wordWrap/>
            <w:overflowPunct/>
            <w:topLinePunct w:val="0"/>
            <w:autoSpaceDE/>
            <w:autoSpaceDN/>
            <w:bidi w:val="0"/>
            <w:adjustRightInd/>
            <w:snapToGrid/>
            <w:spacing w:line="52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_Toc4161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kern w:val="44"/>
              <w:sz w:val="32"/>
              <w:szCs w:val="32"/>
              <w:lang w:val="en-US" w:eastAsia="zh-Hans" w:bidi="ar-SA"/>
            </w:rPr>
            <w:t>八、其他需要说明的问题</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_Toc4161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20</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14:paraId="7378A44C">
          <w:pPr>
            <w:pStyle w:val="12"/>
            <w:keepNext w:val="0"/>
            <w:keepLines w:val="0"/>
            <w:pageBreakBefore w:val="0"/>
            <w:tabs>
              <w:tab w:val="right" w:leader="dot" w:pos="8548"/>
            </w:tabs>
            <w:kinsoku/>
            <w:wordWrap/>
            <w:overflowPunct/>
            <w:topLinePunct w:val="0"/>
            <w:autoSpaceDE/>
            <w:autoSpaceDN/>
            <w:bidi w:val="0"/>
            <w:adjustRightInd/>
            <w:snapToGrid/>
            <w:spacing w:line="52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_Toc5739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bCs/>
              <w:sz w:val="32"/>
              <w:szCs w:val="32"/>
            </w:rPr>
            <w:t>附件1</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_Toc5739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25</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14:paraId="0484DAF4">
          <w:pPr>
            <w:keepNext w:val="0"/>
            <w:keepLines w:val="0"/>
            <w:pageBreakBefore w:val="0"/>
            <w:kinsoku/>
            <w:wordWrap/>
            <w:overflowPunct/>
            <w:topLinePunct w:val="0"/>
            <w:autoSpaceDE/>
            <w:autoSpaceDN/>
            <w:bidi w:val="0"/>
            <w:adjustRightInd/>
            <w:snapToGrid/>
            <w:spacing w:before="0" w:beforeLines="0" w:after="0" w:afterLines="0" w:line="520" w:lineRule="exact"/>
            <w:textAlignment w:val="auto"/>
          </w:pPr>
          <w:r>
            <w:rPr>
              <w:rFonts w:hint="eastAsia" w:ascii="仿宋_GB2312" w:hAnsi="仿宋_GB2312" w:eastAsia="仿宋_GB2312" w:cs="仿宋_GB2312"/>
              <w:sz w:val="32"/>
              <w:szCs w:val="32"/>
            </w:rPr>
            <w:fldChar w:fldCharType="end"/>
          </w:r>
        </w:p>
      </w:sdtContent>
    </w:sdt>
    <w:p w14:paraId="6561240F">
      <w:pPr>
        <w:rPr>
          <w:rFonts w:eastAsia="黑体"/>
          <w:bCs/>
          <w:sz w:val="32"/>
          <w:szCs w:val="32"/>
        </w:rPr>
      </w:pPr>
      <w:r>
        <w:rPr>
          <w:rFonts w:eastAsia="黑体"/>
          <w:bCs/>
          <w:sz w:val="32"/>
          <w:szCs w:val="32"/>
        </w:rPr>
        <w:br w:type="page"/>
      </w:r>
    </w:p>
    <w:p w14:paraId="1B63563A">
      <w:pPr>
        <w:pStyle w:val="3"/>
        <w:bidi w:val="0"/>
      </w:pPr>
      <w:bookmarkStart w:id="0" w:name="_Toc18636"/>
      <w:r>
        <w:t>一、基本情况</w:t>
      </w:r>
      <w:bookmarkEnd w:id="0"/>
    </w:p>
    <w:p w14:paraId="1E710673">
      <w:pPr>
        <w:pStyle w:val="4"/>
        <w:bidi w:val="0"/>
      </w:pPr>
      <w:bookmarkStart w:id="1" w:name="_Toc4325"/>
      <w:r>
        <w:t>（一）项目概况</w:t>
      </w:r>
      <w:bookmarkEnd w:id="1"/>
    </w:p>
    <w:p w14:paraId="05DC0E70">
      <w:pPr>
        <w:pStyle w:val="5"/>
        <w:bidi w:val="0"/>
      </w:pPr>
      <w:r>
        <w:t>1、项目背景</w:t>
      </w:r>
    </w:p>
    <w:p w14:paraId="2097B545">
      <w:pPr>
        <w:spacing w:line="560" w:lineRule="exact"/>
        <w:ind w:firstLine="640" w:firstLineChars="200"/>
        <w:rPr>
          <w:rFonts w:ascii="仿宋_GB2312" w:hAnsi="仿宋" w:eastAsia="仿宋_GB2312" w:cs="宋体"/>
          <w:kern w:val="0"/>
          <w:sz w:val="32"/>
          <w:szCs w:val="32"/>
        </w:rPr>
      </w:pPr>
      <w:r>
        <w:rPr>
          <w:rFonts w:hint="eastAsia" w:ascii="仿宋_GB2312" w:hAnsi="仿宋" w:eastAsia="仿宋_GB2312" w:cs="宋体"/>
          <w:kern w:val="0"/>
          <w:sz w:val="32"/>
          <w:szCs w:val="32"/>
        </w:rPr>
        <w:t>学校地处乌鲁木齐市杭州东街434号，占地21.2亩。建筑面积5996.04平方米，其中教学楼5658.64平方米。1栋在建学生宿舍楼15926.82平方米，1栋在建教学实训楼10000平方米。</w:t>
      </w:r>
    </w:p>
    <w:p w14:paraId="53B1D4F4">
      <w:pPr>
        <w:spacing w:line="560" w:lineRule="exact"/>
        <w:ind w:firstLine="640" w:firstLineChars="200"/>
        <w:rPr>
          <w:rFonts w:ascii="仿宋_GB2312" w:hAnsi="仿宋" w:eastAsia="仿宋_GB2312" w:cs="宋体"/>
          <w:kern w:val="0"/>
          <w:sz w:val="32"/>
          <w:szCs w:val="32"/>
        </w:rPr>
      </w:pPr>
      <w:r>
        <w:rPr>
          <w:rFonts w:hint="eastAsia" w:ascii="仿宋_GB2312" w:hAnsi="仿宋" w:eastAsia="仿宋_GB2312" w:cs="宋体"/>
          <w:kern w:val="0"/>
          <w:sz w:val="32"/>
          <w:szCs w:val="32"/>
        </w:rPr>
        <w:t>新疆安装工程技工学校于1987年经自治区人民政府批准成立。2004年自治区人力资源和社会保障厅认定新疆安装技工学校为全疆唯一一家以焊接加工、冷作钣金加工作为主体专业的技工学校；2007年新机编办［2007］116号文核定为副县（处）级单位。2009年学校被确定为自治区级重点技工学校。2014年升格为新疆安装高级技工学校。2017年12月由自治区人民政府批准成立新疆第一职业训练院，2018年6月正式挂牌。目前学校由自治区工业与信息化厅负责行政管理。</w:t>
      </w:r>
    </w:p>
    <w:p w14:paraId="1DFCB282">
      <w:pPr>
        <w:spacing w:line="560" w:lineRule="exact"/>
        <w:ind w:firstLine="640" w:firstLineChars="200"/>
        <w:rPr>
          <w:rFonts w:hint="eastAsia" w:ascii="仿宋_GB2312" w:hAnsi="仿宋" w:eastAsia="仿宋_GB2312" w:cs="宋体"/>
          <w:kern w:val="0"/>
          <w:sz w:val="32"/>
          <w:szCs w:val="32"/>
        </w:rPr>
      </w:pPr>
      <w:r>
        <w:rPr>
          <w:rFonts w:hint="eastAsia" w:ascii="仿宋_GB2312" w:hAnsi="仿宋" w:eastAsia="仿宋_GB2312" w:cs="宋体"/>
          <w:kern w:val="0"/>
          <w:sz w:val="32"/>
          <w:szCs w:val="32"/>
        </w:rPr>
        <w:t>国家级高技能人才培训基地项目于2020年12月14日在人力资源和社会保障部办公厅和财政部办公厅正式备案。项目资金于2022年5月由新市区财政局拨付到我校账户。</w:t>
      </w:r>
    </w:p>
    <w:p w14:paraId="07CA20FB">
      <w:pPr>
        <w:spacing w:line="560" w:lineRule="exact"/>
        <w:ind w:firstLine="640" w:firstLineChars="200"/>
        <w:rPr>
          <w:rFonts w:hint="eastAsia" w:ascii="仿宋_GB2312" w:hAnsi="仿宋" w:eastAsia="仿宋_GB2312" w:cs="宋体"/>
          <w:kern w:val="0"/>
          <w:sz w:val="32"/>
          <w:szCs w:val="32"/>
          <w:lang w:eastAsia="zh-CN"/>
        </w:rPr>
      </w:pPr>
      <w:r>
        <w:rPr>
          <w:rFonts w:hint="eastAsia" w:ascii="仿宋_GB2312" w:hAnsi="仿宋" w:eastAsia="仿宋_GB2312" w:cs="宋体"/>
          <w:kern w:val="0"/>
          <w:sz w:val="32"/>
          <w:szCs w:val="32"/>
        </w:rPr>
        <w:t>国家级高技能人才实训基地建设以培养高技能应用型人才为目标，遵循布局合理、高效运行和可持续发展的原则，紧紧围绕培训模式、课程设置、教材开发、师资建设、培训装备和能力评价等方面构建完备的高技能人才培训体系，切实保障实践教学活动的有效开展，同时依托专业特色，围绕构建劳动者终身培训体系，针对新疆八大产业的不同层次培训需求，提供适于多领域，多专业，多样化的培训服务</w:t>
      </w:r>
      <w:r>
        <w:rPr>
          <w:rFonts w:hint="eastAsia" w:ascii="仿宋_GB2312" w:hAnsi="仿宋" w:eastAsia="仿宋_GB2312" w:cs="宋体"/>
          <w:kern w:val="0"/>
          <w:sz w:val="32"/>
          <w:szCs w:val="32"/>
          <w:lang w:val="en-US" w:eastAsia="zh-CN"/>
        </w:rPr>
        <w:t>,</w:t>
      </w:r>
      <w:r>
        <w:rPr>
          <w:rFonts w:hint="eastAsia" w:ascii="仿宋_GB2312" w:hAnsi="仿宋" w:eastAsia="仿宋_GB2312" w:cs="宋体"/>
          <w:kern w:val="0"/>
          <w:sz w:val="32"/>
          <w:szCs w:val="32"/>
        </w:rPr>
        <w:t>为培养高技能人才职业能力提供了广阔的平台。</w:t>
      </w:r>
    </w:p>
    <w:p w14:paraId="7B01F33B">
      <w:pPr>
        <w:pStyle w:val="5"/>
        <w:numPr>
          <w:ilvl w:val="0"/>
          <w:numId w:val="1"/>
        </w:numPr>
        <w:bidi w:val="0"/>
      </w:pPr>
      <w:r>
        <w:t>项目主要内容：</w:t>
      </w:r>
    </w:p>
    <w:p w14:paraId="43A806A4">
      <w:pPr>
        <w:spacing w:line="560" w:lineRule="exact"/>
        <w:ind w:firstLine="640" w:firstLineChars="200"/>
        <w:rPr>
          <w:rFonts w:hint="eastAsia" w:ascii="仿宋_GB2312" w:hAnsi="仿宋" w:eastAsia="仿宋_GB2312" w:cs="宋体"/>
          <w:kern w:val="0"/>
          <w:sz w:val="32"/>
          <w:szCs w:val="32"/>
          <w:lang w:val="en-US" w:eastAsia="zh-CN"/>
        </w:rPr>
      </w:pPr>
      <w:r>
        <w:rPr>
          <w:rFonts w:hint="eastAsia" w:ascii="仿宋_GB2312" w:hAnsi="仿宋" w:eastAsia="仿宋_GB2312" w:cs="宋体"/>
          <w:kern w:val="0"/>
          <w:sz w:val="32"/>
          <w:szCs w:val="32"/>
          <w:lang w:val="en-US" w:eastAsia="zh-CN"/>
        </w:rPr>
        <w:t>项目主要内容：</w:t>
      </w:r>
      <w:r>
        <w:rPr>
          <w:rFonts w:hint="eastAsia" w:ascii="仿宋_GB2312" w:hAnsi="仿宋" w:eastAsia="仿宋_GB2312" w:cs="宋体"/>
          <w:kern w:val="0"/>
          <w:sz w:val="32"/>
          <w:szCs w:val="32"/>
        </w:rPr>
        <w:t>高技能人才实训基地项目包含两个子项目，建筑模型设计与制作（BIM施工技术）实训室</w:t>
      </w:r>
      <w:r>
        <w:rPr>
          <w:rFonts w:hint="eastAsia" w:ascii="仿宋_GB2312" w:hAnsi="仿宋" w:eastAsia="仿宋_GB2312" w:cs="宋体"/>
          <w:kern w:val="0"/>
          <w:sz w:val="32"/>
          <w:szCs w:val="32"/>
          <w:lang w:eastAsia="zh-CN"/>
        </w:rPr>
        <w:t>和</w:t>
      </w:r>
      <w:r>
        <w:rPr>
          <w:rFonts w:hint="eastAsia" w:ascii="仿宋_GB2312" w:hAnsi="仿宋" w:eastAsia="仿宋_GB2312" w:cs="宋体"/>
          <w:kern w:val="0"/>
          <w:sz w:val="32"/>
          <w:szCs w:val="32"/>
        </w:rPr>
        <w:t>机电产品检测技术应用（焊接无损检测）实训室</w:t>
      </w:r>
      <w:r>
        <w:rPr>
          <w:rFonts w:hint="eastAsia" w:ascii="仿宋_GB2312" w:hAnsi="仿宋" w:eastAsia="仿宋_GB2312" w:cs="宋体"/>
          <w:kern w:val="0"/>
          <w:sz w:val="32"/>
          <w:szCs w:val="32"/>
          <w:lang w:eastAsia="zh-CN"/>
        </w:rPr>
        <w:t>建设。</w:t>
      </w:r>
    </w:p>
    <w:p w14:paraId="424FC531">
      <w:pPr>
        <w:spacing w:line="560" w:lineRule="exact"/>
        <w:ind w:firstLine="640" w:firstLineChars="200"/>
        <w:rPr>
          <w:rFonts w:hint="eastAsia" w:ascii="仿宋_GB2312" w:hAnsi="仿宋" w:eastAsia="仿宋_GB2312" w:cs="宋体"/>
          <w:kern w:val="0"/>
          <w:sz w:val="32"/>
          <w:szCs w:val="32"/>
        </w:rPr>
      </w:pPr>
      <w:r>
        <w:rPr>
          <w:rFonts w:hint="eastAsia" w:ascii="仿宋_GB2312" w:hAnsi="仿宋" w:eastAsia="仿宋_GB2312" w:cs="宋体"/>
          <w:kern w:val="0"/>
          <w:sz w:val="32"/>
          <w:szCs w:val="32"/>
        </w:rPr>
        <w:t>项目实施情况：建筑模型设计与制作（BIM施工技术）实训室基础设施已全部建成并投入使用；机电产品检测技术应用（焊接无损检测）实训室设备购置工作已完成，因受教学楼项目建设滞后制约，只有部分设备投入教学实训中。后续的师资培训、讲义编制、教学模式改革调研和能力评价体系建立工作已在有序推进。</w:t>
      </w:r>
    </w:p>
    <w:p w14:paraId="7CD930D2">
      <w:pPr>
        <w:pStyle w:val="5"/>
        <w:bidi w:val="0"/>
      </w:pPr>
      <w:r>
        <w:t>3、资金投入和使用情况</w:t>
      </w:r>
    </w:p>
    <w:p w14:paraId="243EC2EB">
      <w:pPr>
        <w:spacing w:line="560" w:lineRule="exact"/>
        <w:ind w:firstLine="640" w:firstLineChars="200"/>
        <w:rPr>
          <w:rFonts w:hint="default" w:ascii="仿宋_GB2312" w:hAnsi="仿宋" w:eastAsia="仿宋_GB2312" w:cs="宋体"/>
          <w:kern w:val="0"/>
          <w:sz w:val="32"/>
          <w:szCs w:val="32"/>
          <w:lang w:val="en-US" w:eastAsia="zh-CN"/>
        </w:rPr>
      </w:pPr>
      <w:r>
        <w:rPr>
          <w:rFonts w:hint="eastAsia" w:ascii="仿宋_GB2312" w:hAnsi="仿宋" w:eastAsia="仿宋_GB2312" w:cs="宋体"/>
          <w:kern w:val="0"/>
          <w:sz w:val="32"/>
          <w:szCs w:val="32"/>
          <w:lang w:val="en-US" w:eastAsia="zh-CN"/>
        </w:rPr>
        <w:t>（1）资金投入情况</w:t>
      </w:r>
    </w:p>
    <w:p w14:paraId="78080683">
      <w:pPr>
        <w:spacing w:line="560" w:lineRule="exact"/>
        <w:ind w:firstLine="640" w:firstLineChars="200"/>
        <w:rPr>
          <w:rFonts w:hint="eastAsia" w:ascii="仿宋_GB2312" w:hAnsi="仿宋" w:eastAsia="仿宋_GB2312" w:cs="宋体"/>
          <w:kern w:val="0"/>
          <w:sz w:val="32"/>
          <w:szCs w:val="32"/>
          <w:lang w:val="en-US" w:eastAsia="zh-CN"/>
        </w:rPr>
      </w:pPr>
      <w:r>
        <w:rPr>
          <w:rFonts w:hint="eastAsia" w:ascii="仿宋_GB2312" w:hAnsi="仿宋" w:eastAsia="仿宋_GB2312" w:cs="宋体"/>
          <w:kern w:val="0"/>
          <w:sz w:val="32"/>
          <w:szCs w:val="32"/>
          <w:lang w:val="en-US" w:eastAsia="zh-CN"/>
        </w:rPr>
        <w:t>该项目年初预算数500万元，全年预算数500万元，实际总投入500万元，该项目资金已全部落实到位，资金来源为非财政拨款-结转结余资金-2022年人力资源社会保障部人社厅函[2020]176号文。</w:t>
      </w:r>
    </w:p>
    <w:p w14:paraId="3E4FEC71">
      <w:pPr>
        <w:spacing w:line="560" w:lineRule="exact"/>
        <w:ind w:firstLine="640" w:firstLineChars="200"/>
        <w:rPr>
          <w:rFonts w:hint="eastAsia" w:ascii="仿宋_GB2312" w:hAnsi="仿宋" w:eastAsia="仿宋_GB2312" w:cs="宋体"/>
          <w:kern w:val="0"/>
          <w:sz w:val="32"/>
          <w:szCs w:val="32"/>
          <w:lang w:val="en-US" w:eastAsia="zh-CN"/>
        </w:rPr>
      </w:pPr>
      <w:r>
        <w:rPr>
          <w:rFonts w:hint="eastAsia" w:ascii="仿宋_GB2312" w:hAnsi="仿宋" w:eastAsia="仿宋_GB2312" w:cs="宋体"/>
          <w:kern w:val="0"/>
          <w:sz w:val="32"/>
          <w:szCs w:val="32"/>
          <w:lang w:val="en-US" w:eastAsia="zh-CN"/>
        </w:rPr>
        <w:t>（2）资金使用情况</w:t>
      </w:r>
    </w:p>
    <w:p w14:paraId="67F17C1C">
      <w:pPr>
        <w:spacing w:line="560" w:lineRule="exact"/>
        <w:ind w:firstLine="640" w:firstLineChars="200"/>
        <w:rPr>
          <w:rFonts w:hint="eastAsia" w:ascii="仿宋_GB2312" w:hAnsi="仿宋" w:eastAsia="仿宋_GB2312" w:cs="宋体"/>
          <w:kern w:val="0"/>
          <w:sz w:val="32"/>
          <w:szCs w:val="32"/>
          <w:lang w:val="en-US" w:eastAsia="zh-CN"/>
        </w:rPr>
      </w:pPr>
      <w:r>
        <w:rPr>
          <w:rFonts w:hint="eastAsia" w:ascii="仿宋_GB2312" w:hAnsi="仿宋" w:eastAsia="仿宋_GB2312" w:cs="宋体"/>
          <w:kern w:val="0"/>
          <w:sz w:val="32"/>
          <w:szCs w:val="32"/>
          <w:lang w:val="en-US" w:eastAsia="zh-CN"/>
        </w:rPr>
        <w:t>该项目年初预算数500万元，全年预算数500万元,全年执行数455.51万元，预算执行率为91.10%，主要用于：实训室建设，设备购置及材料。</w:t>
      </w:r>
    </w:p>
    <w:p w14:paraId="6A46C756">
      <w:pPr>
        <w:pStyle w:val="4"/>
        <w:bidi w:val="0"/>
        <w:ind w:firstLine="1041"/>
        <w:rPr>
          <w:rFonts w:eastAsia="楷体_GB2312"/>
          <w:b/>
          <w:bCs/>
          <w:sz w:val="32"/>
          <w:szCs w:val="32"/>
        </w:rPr>
      </w:pPr>
      <w:bookmarkStart w:id="2" w:name="_Toc941"/>
      <w:r>
        <w:rPr>
          <w:rFonts w:eastAsia="楷体_GB2312"/>
          <w:b/>
          <w:bCs/>
          <w:sz w:val="32"/>
          <w:szCs w:val="32"/>
        </w:rPr>
        <w:t>（二）项目</w:t>
      </w:r>
      <w:r>
        <w:rPr>
          <w:rFonts w:ascii="Arial" w:hAnsi="Arial"/>
          <w:b/>
        </w:rPr>
        <w:t>绩效</w:t>
      </w:r>
      <w:r>
        <w:rPr>
          <w:rFonts w:eastAsia="楷体_GB2312"/>
          <w:b/>
          <w:bCs/>
          <w:sz w:val="32"/>
          <w:szCs w:val="32"/>
        </w:rPr>
        <w:t>目标</w:t>
      </w:r>
      <w:bookmarkEnd w:id="2"/>
    </w:p>
    <w:p w14:paraId="2896F05D">
      <w:pPr>
        <w:spacing w:line="560" w:lineRule="exact"/>
        <w:ind w:firstLine="640" w:firstLineChars="200"/>
        <w:rPr>
          <w:rFonts w:hint="eastAsia" w:ascii="仿宋_GB2312" w:hAnsi="仿宋" w:eastAsia="仿宋_GB2312" w:cs="宋体"/>
          <w:kern w:val="0"/>
          <w:sz w:val="32"/>
          <w:szCs w:val="32"/>
        </w:rPr>
      </w:pPr>
      <w:r>
        <w:rPr>
          <w:rFonts w:hint="eastAsia" w:ascii="仿宋_GB2312" w:hAnsi="仿宋" w:eastAsia="仿宋_GB2312" w:cs="宋体"/>
          <w:kern w:val="0"/>
          <w:sz w:val="32"/>
          <w:szCs w:val="32"/>
        </w:rPr>
        <w:t>1、总体目标</w:t>
      </w:r>
    </w:p>
    <w:p w14:paraId="290F469D">
      <w:pPr>
        <w:spacing w:line="560" w:lineRule="exact"/>
        <w:ind w:firstLine="640" w:firstLineChars="200"/>
        <w:rPr>
          <w:rFonts w:hint="eastAsia" w:ascii="仿宋_GB2312" w:hAnsi="仿宋" w:eastAsia="仿宋_GB2312" w:cs="宋体"/>
          <w:kern w:val="0"/>
          <w:sz w:val="32"/>
          <w:szCs w:val="32"/>
        </w:rPr>
      </w:pPr>
      <w:r>
        <w:rPr>
          <w:rFonts w:hint="eastAsia" w:ascii="仿宋_GB2312" w:hAnsi="仿宋" w:eastAsia="仿宋_GB2312" w:cs="宋体"/>
          <w:kern w:val="0"/>
          <w:sz w:val="32"/>
          <w:szCs w:val="32"/>
          <w:lang w:eastAsia="zh-CN"/>
        </w:rPr>
        <w:t>（</w:t>
      </w:r>
      <w:r>
        <w:rPr>
          <w:rFonts w:hint="eastAsia" w:ascii="仿宋_GB2312" w:hAnsi="仿宋" w:eastAsia="仿宋_GB2312" w:cs="宋体"/>
          <w:kern w:val="0"/>
          <w:sz w:val="32"/>
          <w:szCs w:val="32"/>
          <w:lang w:val="en-US" w:eastAsia="zh-CN"/>
        </w:rPr>
        <w:t>1</w:t>
      </w:r>
      <w:r>
        <w:rPr>
          <w:rFonts w:hint="eastAsia" w:ascii="仿宋_GB2312" w:hAnsi="仿宋" w:eastAsia="仿宋_GB2312" w:cs="宋体"/>
          <w:kern w:val="0"/>
          <w:sz w:val="32"/>
          <w:szCs w:val="32"/>
          <w:lang w:eastAsia="zh-CN"/>
        </w:rPr>
        <w:t>）</w:t>
      </w:r>
      <w:r>
        <w:rPr>
          <w:rFonts w:hint="eastAsia" w:ascii="仿宋_GB2312" w:hAnsi="仿宋" w:eastAsia="仿宋_GB2312" w:cs="宋体"/>
          <w:kern w:val="0"/>
          <w:sz w:val="32"/>
          <w:szCs w:val="32"/>
        </w:rPr>
        <w:t xml:space="preserve">强化校企合作，完善培训体系 </w:t>
      </w:r>
    </w:p>
    <w:p w14:paraId="703A8C45">
      <w:pPr>
        <w:spacing w:line="560" w:lineRule="exact"/>
        <w:ind w:firstLine="640" w:firstLineChars="200"/>
        <w:rPr>
          <w:rFonts w:hint="eastAsia" w:ascii="仿宋_GB2312" w:hAnsi="仿宋" w:eastAsia="仿宋_GB2312" w:cs="宋体"/>
          <w:kern w:val="0"/>
          <w:sz w:val="32"/>
          <w:szCs w:val="32"/>
        </w:rPr>
      </w:pPr>
      <w:r>
        <w:rPr>
          <w:rFonts w:hint="eastAsia" w:ascii="仿宋_GB2312" w:hAnsi="仿宋" w:eastAsia="仿宋_GB2312" w:cs="宋体"/>
          <w:kern w:val="0"/>
          <w:sz w:val="32"/>
          <w:szCs w:val="32"/>
        </w:rPr>
        <w:t xml:space="preserve">以创新高技能人才培养模式为核心，改进和拓展现有培训模式，进一步加大课程改革力度、加快高技能课程开发，推动师资队伍建设和结构优化，建立健全人才培训评价体系，进一步完善学校现有培训体系，年培训无损检测人员、BIM建模人员不少于 3000 人次，高级工以上培训达到 600 人次以上，新增与 5 家以上大、中型企业建立稳定的校企合作关系。 </w:t>
      </w:r>
    </w:p>
    <w:p w14:paraId="2158B04D">
      <w:pPr>
        <w:spacing w:line="560" w:lineRule="exact"/>
        <w:ind w:firstLine="640" w:firstLineChars="200"/>
        <w:rPr>
          <w:rFonts w:hint="eastAsia" w:ascii="仿宋_GB2312" w:hAnsi="仿宋" w:eastAsia="仿宋_GB2312" w:cs="宋体"/>
          <w:kern w:val="0"/>
          <w:sz w:val="32"/>
          <w:szCs w:val="32"/>
        </w:rPr>
      </w:pPr>
      <w:r>
        <w:rPr>
          <w:rFonts w:hint="eastAsia" w:ascii="仿宋_GB2312" w:hAnsi="仿宋" w:eastAsia="仿宋_GB2312" w:cs="宋体"/>
          <w:kern w:val="0"/>
          <w:sz w:val="32"/>
          <w:szCs w:val="32"/>
        </w:rPr>
        <w:t xml:space="preserve">（2）进行精细管理，起到引领示范作用 </w:t>
      </w:r>
    </w:p>
    <w:p w14:paraId="2D8E1017">
      <w:pPr>
        <w:spacing w:line="560" w:lineRule="exact"/>
        <w:ind w:firstLine="640" w:firstLineChars="200"/>
        <w:rPr>
          <w:rFonts w:hint="eastAsia" w:ascii="仿宋_GB2312" w:hAnsi="仿宋" w:eastAsia="仿宋_GB2312" w:cs="宋体"/>
          <w:kern w:val="0"/>
          <w:sz w:val="32"/>
          <w:szCs w:val="32"/>
        </w:rPr>
      </w:pPr>
      <w:r>
        <w:rPr>
          <w:rFonts w:hint="eastAsia" w:ascii="仿宋_GB2312" w:hAnsi="仿宋" w:eastAsia="仿宋_GB2312" w:cs="宋体"/>
          <w:kern w:val="0"/>
          <w:sz w:val="32"/>
          <w:szCs w:val="32"/>
        </w:rPr>
        <w:t xml:space="preserve">在高技能人才培训基地建设过程中，建立规范的培训管理、财务管理、资产管理等专项管理机构，明确责任分配，量化奖惩考核，细化各项工作实施细则，公示各子项目质量标准，使整个项目建设进度明晰、目标明确、经费支出合理、效能明显，为后续高技能人才培训基地的建设提供有益借鉴和示范。 </w:t>
      </w:r>
    </w:p>
    <w:p w14:paraId="0334C126">
      <w:pPr>
        <w:spacing w:line="560" w:lineRule="exact"/>
        <w:ind w:firstLine="640" w:firstLineChars="200"/>
        <w:rPr>
          <w:rFonts w:hint="eastAsia" w:ascii="仿宋_GB2312" w:hAnsi="仿宋" w:eastAsia="仿宋_GB2312" w:cs="宋体"/>
          <w:kern w:val="0"/>
          <w:sz w:val="32"/>
          <w:szCs w:val="32"/>
        </w:rPr>
      </w:pPr>
      <w:r>
        <w:rPr>
          <w:rFonts w:hint="eastAsia" w:ascii="仿宋_GB2312" w:hAnsi="仿宋" w:eastAsia="仿宋_GB2312" w:cs="宋体"/>
          <w:kern w:val="0"/>
          <w:sz w:val="32"/>
          <w:szCs w:val="32"/>
        </w:rPr>
        <w:t xml:space="preserve">（3）不断总结，深入探索 </w:t>
      </w:r>
    </w:p>
    <w:p w14:paraId="1C91E280">
      <w:pPr>
        <w:spacing w:line="560" w:lineRule="exact"/>
        <w:ind w:firstLine="640" w:firstLineChars="200"/>
        <w:rPr>
          <w:rFonts w:hint="eastAsia" w:ascii="仿宋_GB2312" w:hAnsi="仿宋" w:eastAsia="仿宋_GB2312" w:cs="宋体"/>
          <w:kern w:val="0"/>
          <w:sz w:val="32"/>
          <w:szCs w:val="32"/>
        </w:rPr>
      </w:pPr>
      <w:r>
        <w:rPr>
          <w:rFonts w:hint="eastAsia" w:ascii="仿宋_GB2312" w:hAnsi="仿宋" w:eastAsia="仿宋_GB2312" w:cs="宋体"/>
          <w:kern w:val="0"/>
          <w:sz w:val="32"/>
          <w:szCs w:val="32"/>
        </w:rPr>
        <w:t>在拓宽培训基地与企业的合作范围、充分利用双方优势、尝试培训模式多样化等工作基础上，分阶段总结高技能人才培训过程中的进步和难题，总结建设中的经验，提炼高技能人才培训的规律和方法，为推动高技能人才培训基地建设、高技能培训人才规模和系统化、高技能成果交流展示做出应有的贡献。</w:t>
      </w:r>
    </w:p>
    <w:p w14:paraId="133EEB66">
      <w:pPr>
        <w:spacing w:line="560" w:lineRule="exact"/>
        <w:ind w:firstLine="640" w:firstLineChars="200"/>
        <w:rPr>
          <w:rFonts w:hint="eastAsia" w:ascii="仿宋_GB2312" w:hAnsi="仿宋" w:eastAsia="仿宋_GB2312" w:cs="宋体"/>
          <w:kern w:val="0"/>
          <w:sz w:val="32"/>
          <w:szCs w:val="32"/>
        </w:rPr>
      </w:pPr>
      <w:r>
        <w:rPr>
          <w:rFonts w:hint="eastAsia" w:ascii="仿宋_GB2312" w:hAnsi="仿宋" w:eastAsia="仿宋_GB2312" w:cs="宋体"/>
          <w:kern w:val="0"/>
          <w:sz w:val="32"/>
          <w:szCs w:val="32"/>
        </w:rPr>
        <w:t>阶段性目标</w:t>
      </w:r>
    </w:p>
    <w:p w14:paraId="494C7AAC">
      <w:pPr>
        <w:spacing w:line="560" w:lineRule="exact"/>
        <w:ind w:firstLine="640" w:firstLineChars="200"/>
        <w:rPr>
          <w:rFonts w:hint="eastAsia" w:ascii="仿宋_GB2312" w:hAnsi="仿宋" w:eastAsia="仿宋_GB2312" w:cs="宋体"/>
          <w:kern w:val="0"/>
          <w:sz w:val="32"/>
          <w:szCs w:val="32"/>
        </w:rPr>
      </w:pPr>
      <w:r>
        <w:rPr>
          <w:rFonts w:hint="eastAsia" w:ascii="仿宋_GB2312" w:hAnsi="仿宋" w:eastAsia="仿宋_GB2312" w:cs="宋体"/>
          <w:kern w:val="0"/>
          <w:sz w:val="32"/>
          <w:szCs w:val="32"/>
        </w:rPr>
        <w:t>（1）前期准备：通过制定项目实施方案，经项目负责人审核通过后，有序开展后续工作。</w:t>
      </w:r>
    </w:p>
    <w:p w14:paraId="078D7844">
      <w:pPr>
        <w:spacing w:line="560" w:lineRule="exact"/>
        <w:ind w:firstLine="640" w:firstLineChars="200"/>
        <w:rPr>
          <w:rFonts w:hint="eastAsia" w:ascii="仿宋_GB2312" w:hAnsi="仿宋" w:eastAsia="仿宋_GB2312" w:cs="宋体"/>
          <w:kern w:val="0"/>
          <w:sz w:val="32"/>
          <w:szCs w:val="32"/>
          <w:lang w:eastAsia="zh-CN"/>
        </w:rPr>
      </w:pPr>
      <w:r>
        <w:rPr>
          <w:rFonts w:hint="eastAsia" w:ascii="仿宋_GB2312" w:hAnsi="仿宋" w:eastAsia="仿宋_GB2312" w:cs="宋体"/>
          <w:kern w:val="0"/>
          <w:sz w:val="32"/>
          <w:szCs w:val="32"/>
        </w:rPr>
        <w:t>（2）组织实施：资金一到位，立即根据项目要求实施项目。项目责任人按照项目实施方案要求逐一进行项目部署安排，提高项目质量及效率性。</w:t>
      </w:r>
    </w:p>
    <w:p w14:paraId="61456BE3">
      <w:pPr>
        <w:pStyle w:val="3"/>
        <w:bidi w:val="0"/>
        <w:ind w:firstLine="1041"/>
        <w:rPr>
          <w:rFonts w:eastAsia="黑体"/>
          <w:sz w:val="32"/>
          <w:szCs w:val="32"/>
        </w:rPr>
      </w:pPr>
      <w:bookmarkStart w:id="3" w:name="_Toc3982"/>
      <w:r>
        <w:rPr>
          <w:rFonts w:eastAsia="黑体"/>
          <w:sz w:val="32"/>
          <w:szCs w:val="32"/>
        </w:rPr>
        <w:t>二、</w:t>
      </w:r>
      <w:r>
        <w:rPr>
          <w:rFonts w:ascii="Times New Roman" w:hAnsi="Times New Roman"/>
          <w:b/>
        </w:rPr>
        <w:t>绩效</w:t>
      </w:r>
      <w:r>
        <w:rPr>
          <w:rFonts w:eastAsia="黑体"/>
          <w:sz w:val="32"/>
          <w:szCs w:val="32"/>
        </w:rPr>
        <w:t>评价工作开展情况</w:t>
      </w:r>
      <w:bookmarkEnd w:id="3"/>
    </w:p>
    <w:p w14:paraId="1A38533E">
      <w:pPr>
        <w:pStyle w:val="4"/>
        <w:bidi w:val="0"/>
        <w:ind w:firstLine="1041"/>
        <w:rPr>
          <w:rFonts w:eastAsia="楷体_GB2312"/>
          <w:b/>
          <w:bCs/>
          <w:sz w:val="32"/>
          <w:szCs w:val="32"/>
        </w:rPr>
      </w:pPr>
      <w:bookmarkStart w:id="4" w:name="_Toc12017"/>
      <w:r>
        <w:rPr>
          <w:rFonts w:eastAsia="楷体_GB2312"/>
          <w:b/>
          <w:bCs/>
          <w:sz w:val="32"/>
          <w:szCs w:val="32"/>
        </w:rPr>
        <w:t>（一）绩效评价目的、对象和范围</w:t>
      </w:r>
      <w:bookmarkEnd w:id="4"/>
    </w:p>
    <w:p w14:paraId="1981A920">
      <w:pPr>
        <w:spacing w:line="560" w:lineRule="exact"/>
        <w:ind w:firstLine="640" w:firstLineChars="200"/>
        <w:rPr>
          <w:rFonts w:hint="eastAsia" w:ascii="仿宋_GB2312" w:hAnsi="仿宋" w:eastAsia="仿宋_GB2312" w:cs="宋体"/>
          <w:kern w:val="0"/>
          <w:sz w:val="32"/>
          <w:szCs w:val="32"/>
        </w:rPr>
      </w:pPr>
      <w:r>
        <w:rPr>
          <w:rFonts w:hint="eastAsia" w:ascii="仿宋_GB2312" w:hAnsi="仿宋" w:eastAsia="仿宋_GB2312" w:cs="宋体"/>
          <w:kern w:val="0"/>
          <w:sz w:val="32"/>
          <w:szCs w:val="32"/>
        </w:rPr>
        <w:t>1、绩效评价的目的</w:t>
      </w:r>
    </w:p>
    <w:p w14:paraId="3AF6B7DD">
      <w:pPr>
        <w:spacing w:line="560" w:lineRule="exact"/>
        <w:ind w:firstLine="640" w:firstLineChars="200"/>
        <w:rPr>
          <w:rFonts w:hint="eastAsia" w:ascii="仿宋_GB2312" w:hAnsi="仿宋" w:eastAsia="仿宋_GB2312" w:cs="宋体"/>
          <w:kern w:val="0"/>
          <w:sz w:val="32"/>
          <w:szCs w:val="32"/>
        </w:rPr>
      </w:pPr>
      <w:r>
        <w:rPr>
          <w:rFonts w:hint="eastAsia" w:ascii="仿宋_GB2312" w:hAnsi="仿宋" w:eastAsia="仿宋_GB2312" w:cs="宋体"/>
          <w:kern w:val="0"/>
          <w:sz w:val="32"/>
          <w:szCs w:val="32"/>
        </w:rPr>
        <w:t>运用科学、规范的绩效评价方法，对高技能人才培训基地建设项目绩效评价，从而掌握建设项目是否与项目建设目标偏离，得到事前、事中和事后多方面的控制；总结经验，为改善项目管理、纠正目标与实际的偏差提供依据，达到改进预算管理、控制节约成本，提高预算资金使用效益，促进项目社会经济目标的实现。</w:t>
      </w:r>
    </w:p>
    <w:p w14:paraId="24B5EB2B">
      <w:pPr>
        <w:spacing w:line="560" w:lineRule="exact"/>
        <w:ind w:firstLine="640" w:firstLineChars="200"/>
        <w:rPr>
          <w:rFonts w:hint="eastAsia" w:ascii="仿宋_GB2312" w:hAnsi="仿宋" w:eastAsia="仿宋_GB2312" w:cs="宋体"/>
          <w:kern w:val="0"/>
          <w:sz w:val="32"/>
          <w:szCs w:val="32"/>
        </w:rPr>
      </w:pPr>
      <w:r>
        <w:rPr>
          <w:rFonts w:hint="eastAsia" w:ascii="仿宋_GB2312" w:hAnsi="仿宋" w:eastAsia="仿宋_GB2312" w:cs="宋体"/>
          <w:kern w:val="0"/>
          <w:sz w:val="32"/>
          <w:szCs w:val="32"/>
        </w:rPr>
        <w:t>2、绩效评价的对象</w:t>
      </w:r>
    </w:p>
    <w:p w14:paraId="222464F1">
      <w:pPr>
        <w:spacing w:line="560" w:lineRule="exact"/>
        <w:ind w:firstLine="640" w:firstLineChars="200"/>
        <w:rPr>
          <w:rFonts w:hint="eastAsia" w:ascii="仿宋_GB2312" w:hAnsi="仿宋" w:eastAsia="仿宋_GB2312" w:cs="宋体"/>
          <w:kern w:val="0"/>
          <w:sz w:val="32"/>
          <w:szCs w:val="32"/>
        </w:rPr>
      </w:pPr>
      <w:r>
        <w:rPr>
          <w:rFonts w:hint="eastAsia" w:ascii="仿宋_GB2312" w:hAnsi="仿宋" w:eastAsia="仿宋_GB2312" w:cs="宋体"/>
          <w:kern w:val="0"/>
          <w:sz w:val="32"/>
          <w:szCs w:val="32"/>
        </w:rPr>
        <w:t>国家级高技能人才实训基地建设项目所包含的全部项目建设内容。</w:t>
      </w:r>
    </w:p>
    <w:p w14:paraId="03CF676D">
      <w:pPr>
        <w:spacing w:line="560" w:lineRule="exact"/>
        <w:ind w:firstLine="640" w:firstLineChars="200"/>
        <w:rPr>
          <w:rFonts w:hint="eastAsia" w:ascii="仿宋_GB2312" w:hAnsi="仿宋" w:eastAsia="仿宋_GB2312" w:cs="宋体"/>
          <w:kern w:val="0"/>
          <w:sz w:val="32"/>
          <w:szCs w:val="32"/>
        </w:rPr>
      </w:pPr>
      <w:r>
        <w:rPr>
          <w:rFonts w:hint="eastAsia" w:ascii="仿宋_GB2312" w:hAnsi="仿宋" w:eastAsia="仿宋_GB2312" w:cs="宋体"/>
          <w:kern w:val="0"/>
          <w:sz w:val="32"/>
          <w:szCs w:val="32"/>
        </w:rPr>
        <w:t>3、绩效评价的范围</w:t>
      </w:r>
    </w:p>
    <w:p w14:paraId="4A11905A">
      <w:pPr>
        <w:spacing w:line="560" w:lineRule="exact"/>
        <w:ind w:firstLine="640" w:firstLineChars="200"/>
        <w:rPr>
          <w:rFonts w:hint="eastAsia" w:ascii="仿宋_GB2312" w:hAnsi="仿宋" w:eastAsia="仿宋_GB2312" w:cs="宋体"/>
          <w:kern w:val="0"/>
          <w:sz w:val="32"/>
          <w:szCs w:val="32"/>
        </w:rPr>
      </w:pPr>
      <w:r>
        <w:rPr>
          <w:rFonts w:hint="eastAsia" w:ascii="仿宋_GB2312" w:hAnsi="仿宋" w:eastAsia="仿宋_GB2312" w:cs="宋体"/>
          <w:kern w:val="0"/>
          <w:sz w:val="32"/>
          <w:szCs w:val="32"/>
        </w:rPr>
        <w:t>从决策、过程、产出、效益等方面对项目总体绩效目标及各分级绩效指标完成情况以及预算执行情况进行绩效评价。对未完成绩效目标或偏离绩效目标较大的项目进行分析并说明原因，研究提出改进措施。</w:t>
      </w:r>
    </w:p>
    <w:p w14:paraId="1919864F">
      <w:pPr>
        <w:pStyle w:val="4"/>
        <w:bidi w:val="0"/>
        <w:ind w:firstLine="1041"/>
      </w:pPr>
      <w:bookmarkStart w:id="5" w:name="_Toc30883"/>
      <w:r>
        <w:rPr>
          <w:rFonts w:eastAsia="楷体_GB2312"/>
          <w:b/>
          <w:bCs/>
          <w:sz w:val="32"/>
          <w:szCs w:val="32"/>
        </w:rPr>
        <w:t>（二）绩效评价原则、评价指标体系（详情见表1）、评价方法、评价标准。</w:t>
      </w:r>
      <w:bookmarkEnd w:id="5"/>
    </w:p>
    <w:p w14:paraId="1B607102">
      <w:pPr>
        <w:spacing w:line="560" w:lineRule="exact"/>
        <w:ind w:firstLine="640" w:firstLineChars="200"/>
        <w:rPr>
          <w:rFonts w:hint="eastAsia" w:ascii="仿宋_GB2312" w:hAnsi="仿宋" w:eastAsia="仿宋_GB2312" w:cs="宋体"/>
          <w:kern w:val="0"/>
          <w:sz w:val="32"/>
          <w:szCs w:val="32"/>
        </w:rPr>
      </w:pPr>
      <w:r>
        <w:rPr>
          <w:rFonts w:hint="eastAsia" w:ascii="仿宋_GB2312" w:hAnsi="仿宋" w:eastAsia="仿宋_GB2312" w:cs="宋体"/>
          <w:kern w:val="0"/>
          <w:sz w:val="32"/>
          <w:szCs w:val="32"/>
        </w:rPr>
        <w:t>1、绩效评价原则</w:t>
      </w:r>
    </w:p>
    <w:p w14:paraId="578C632E">
      <w:pPr>
        <w:spacing w:line="560" w:lineRule="exact"/>
        <w:ind w:firstLine="640" w:firstLineChars="200"/>
        <w:rPr>
          <w:rFonts w:hint="eastAsia" w:ascii="仿宋_GB2312" w:hAnsi="仿宋" w:eastAsia="仿宋_GB2312" w:cs="宋体"/>
          <w:kern w:val="0"/>
          <w:sz w:val="32"/>
          <w:szCs w:val="32"/>
        </w:rPr>
      </w:pPr>
      <w:r>
        <w:rPr>
          <w:rFonts w:hint="eastAsia" w:ascii="仿宋_GB2312" w:hAnsi="仿宋" w:eastAsia="仿宋_GB2312" w:cs="宋体"/>
          <w:kern w:val="0"/>
          <w:sz w:val="32"/>
          <w:szCs w:val="32"/>
        </w:rPr>
        <w:t>本次项目绩效评价遵循以下基本原则：</w:t>
      </w:r>
    </w:p>
    <w:p w14:paraId="19DFEC4A">
      <w:pPr>
        <w:spacing w:line="560" w:lineRule="exact"/>
        <w:ind w:firstLine="640" w:firstLineChars="200"/>
        <w:rPr>
          <w:rFonts w:hint="eastAsia" w:ascii="仿宋_GB2312" w:hAnsi="仿宋" w:eastAsia="仿宋_GB2312" w:cs="宋体"/>
          <w:kern w:val="0"/>
          <w:sz w:val="32"/>
          <w:szCs w:val="32"/>
        </w:rPr>
      </w:pPr>
      <w:r>
        <w:rPr>
          <w:rFonts w:hint="eastAsia" w:ascii="仿宋_GB2312" w:hAnsi="仿宋" w:eastAsia="仿宋_GB2312" w:cs="宋体"/>
          <w:kern w:val="0"/>
          <w:sz w:val="32"/>
          <w:szCs w:val="32"/>
        </w:rPr>
        <w:t>（1）科学公正。运用科学合理的方法，按照规范的程序，对项目绩效进行客观、公正的反映。</w:t>
      </w:r>
    </w:p>
    <w:p w14:paraId="6962F5DF">
      <w:pPr>
        <w:spacing w:line="560" w:lineRule="exact"/>
        <w:ind w:firstLine="640" w:firstLineChars="200"/>
        <w:rPr>
          <w:rFonts w:hint="eastAsia" w:ascii="仿宋_GB2312" w:hAnsi="仿宋" w:eastAsia="仿宋_GB2312" w:cs="宋体"/>
          <w:kern w:val="0"/>
          <w:sz w:val="32"/>
          <w:szCs w:val="32"/>
        </w:rPr>
      </w:pPr>
      <w:r>
        <w:rPr>
          <w:rFonts w:hint="eastAsia" w:ascii="仿宋_GB2312" w:hAnsi="仿宋" w:eastAsia="仿宋_GB2312" w:cs="宋体"/>
          <w:kern w:val="0"/>
          <w:sz w:val="32"/>
          <w:szCs w:val="32"/>
        </w:rPr>
        <w:t>（2）统筹兼顾。单位自评按照“谁支出、谁自评”，职责明确，各有侧重，相互衔接。</w:t>
      </w:r>
    </w:p>
    <w:p w14:paraId="5655EEA2">
      <w:pPr>
        <w:spacing w:line="560" w:lineRule="exact"/>
        <w:ind w:firstLine="640" w:firstLineChars="200"/>
        <w:rPr>
          <w:rFonts w:hint="eastAsia" w:ascii="仿宋_GB2312" w:hAnsi="仿宋" w:eastAsia="仿宋_GB2312" w:cs="宋体"/>
          <w:kern w:val="0"/>
          <w:sz w:val="32"/>
          <w:szCs w:val="32"/>
        </w:rPr>
      </w:pPr>
      <w:r>
        <w:rPr>
          <w:rFonts w:hint="eastAsia" w:ascii="仿宋_GB2312" w:hAnsi="仿宋" w:eastAsia="仿宋_GB2312" w:cs="宋体"/>
          <w:kern w:val="0"/>
          <w:sz w:val="32"/>
          <w:szCs w:val="32"/>
        </w:rPr>
        <w:t>（3）激励约束。绩效评价结果与预算安排、政策调整、改进管理实质性挂钩，体现奖优罚劣和激励相容导向。</w:t>
      </w:r>
    </w:p>
    <w:p w14:paraId="39D26443">
      <w:pPr>
        <w:spacing w:line="560" w:lineRule="exact"/>
        <w:ind w:firstLine="640" w:firstLineChars="200"/>
        <w:rPr>
          <w:rFonts w:hint="eastAsia" w:ascii="仿宋_GB2312" w:hAnsi="仿宋" w:eastAsia="仿宋_GB2312" w:cs="宋体"/>
          <w:kern w:val="0"/>
          <w:sz w:val="32"/>
          <w:szCs w:val="32"/>
        </w:rPr>
      </w:pPr>
      <w:r>
        <w:rPr>
          <w:rFonts w:hint="eastAsia" w:ascii="仿宋_GB2312" w:hAnsi="仿宋" w:eastAsia="仿宋_GB2312" w:cs="宋体"/>
          <w:kern w:val="0"/>
          <w:sz w:val="32"/>
          <w:szCs w:val="32"/>
        </w:rPr>
        <w:t>（4）公开透明。绩效评价结果依法依规公开，并自觉接受社会监督。</w:t>
      </w:r>
    </w:p>
    <w:p w14:paraId="2C848C95">
      <w:pPr>
        <w:spacing w:line="560" w:lineRule="exact"/>
        <w:ind w:firstLine="640" w:firstLineChars="200"/>
        <w:rPr>
          <w:rFonts w:hint="eastAsia" w:ascii="仿宋_GB2312" w:hAnsi="仿宋" w:eastAsia="仿宋_GB2312" w:cs="宋体"/>
          <w:kern w:val="0"/>
          <w:sz w:val="32"/>
          <w:szCs w:val="32"/>
        </w:rPr>
      </w:pPr>
      <w:r>
        <w:rPr>
          <w:rFonts w:hint="eastAsia" w:ascii="仿宋_GB2312" w:hAnsi="仿宋" w:eastAsia="仿宋_GB2312" w:cs="宋体"/>
          <w:kern w:val="0"/>
          <w:sz w:val="32"/>
          <w:szCs w:val="32"/>
        </w:rPr>
        <w:t>2、评价指标体系</w:t>
      </w:r>
    </w:p>
    <w:p w14:paraId="2C12927A">
      <w:pPr>
        <w:spacing w:line="560" w:lineRule="exact"/>
        <w:ind w:firstLine="640" w:firstLineChars="200"/>
        <w:rPr>
          <w:rFonts w:hint="eastAsia" w:ascii="仿宋_GB2312" w:hAnsi="仿宋" w:eastAsia="仿宋_GB2312" w:cs="宋体"/>
          <w:kern w:val="0"/>
          <w:sz w:val="32"/>
          <w:szCs w:val="32"/>
        </w:rPr>
      </w:pPr>
      <w:r>
        <w:rPr>
          <w:rFonts w:hint="eastAsia" w:ascii="仿宋_GB2312" w:hAnsi="仿宋" w:eastAsia="仿宋_GB2312" w:cs="宋体"/>
          <w:kern w:val="0"/>
          <w:sz w:val="32"/>
          <w:szCs w:val="32"/>
        </w:rPr>
        <w:t>绩效评价框架包括评价准则、关键评价问题、评价指标、数据来源等。指标体系建立过程如下：</w:t>
      </w:r>
    </w:p>
    <w:p w14:paraId="05EF7C29">
      <w:pPr>
        <w:spacing w:line="560" w:lineRule="exact"/>
        <w:ind w:firstLine="640" w:firstLineChars="200"/>
        <w:rPr>
          <w:rFonts w:hint="eastAsia" w:ascii="仿宋_GB2312" w:hAnsi="仿宋" w:eastAsia="仿宋_GB2312" w:cs="宋体"/>
          <w:kern w:val="0"/>
          <w:sz w:val="32"/>
          <w:szCs w:val="32"/>
        </w:rPr>
      </w:pPr>
      <w:r>
        <w:rPr>
          <w:rFonts w:hint="eastAsia" w:ascii="仿宋_GB2312" w:hAnsi="仿宋" w:eastAsia="仿宋_GB2312" w:cs="宋体"/>
          <w:kern w:val="0"/>
          <w:sz w:val="32"/>
          <w:szCs w:val="32"/>
        </w:rPr>
        <w:t>（1）确定评价指标</w:t>
      </w:r>
    </w:p>
    <w:p w14:paraId="718453E1">
      <w:pPr>
        <w:spacing w:line="560" w:lineRule="exact"/>
        <w:ind w:firstLine="640" w:firstLineChars="200"/>
        <w:rPr>
          <w:rFonts w:hint="eastAsia" w:ascii="仿宋_GB2312" w:hAnsi="仿宋" w:eastAsia="仿宋_GB2312" w:cs="宋体"/>
          <w:kern w:val="0"/>
          <w:sz w:val="32"/>
          <w:szCs w:val="32"/>
        </w:rPr>
      </w:pPr>
      <w:r>
        <w:rPr>
          <w:rFonts w:hint="eastAsia" w:ascii="仿宋_GB2312" w:hAnsi="仿宋" w:eastAsia="仿宋_GB2312" w:cs="宋体"/>
          <w:kern w:val="0"/>
          <w:sz w:val="32"/>
          <w:szCs w:val="32"/>
        </w:rPr>
        <w:t>采用层次分析法，建立评价指标体系。绩效评价将指标分为项目决策指标、项目过程指标、项目产出指标、项目效益指标四个维度，最终形成一个由多个相互联系的指标组成的多层次指标体系。</w:t>
      </w:r>
    </w:p>
    <w:p w14:paraId="35FA04C7">
      <w:pPr>
        <w:spacing w:line="560" w:lineRule="exact"/>
        <w:ind w:firstLine="640" w:firstLineChars="200"/>
        <w:rPr>
          <w:rFonts w:hint="eastAsia" w:ascii="仿宋_GB2312" w:hAnsi="仿宋" w:eastAsia="仿宋_GB2312" w:cs="宋体"/>
          <w:kern w:val="0"/>
          <w:sz w:val="32"/>
          <w:szCs w:val="32"/>
        </w:rPr>
      </w:pPr>
      <w:r>
        <w:rPr>
          <w:rFonts w:hint="eastAsia" w:ascii="仿宋_GB2312" w:hAnsi="仿宋" w:eastAsia="仿宋_GB2312" w:cs="宋体"/>
          <w:kern w:val="0"/>
          <w:sz w:val="32"/>
          <w:szCs w:val="32"/>
        </w:rPr>
        <w:t>（2）确定权重</w:t>
      </w:r>
    </w:p>
    <w:p w14:paraId="3C6638AC">
      <w:pPr>
        <w:spacing w:line="560" w:lineRule="exact"/>
        <w:ind w:firstLine="640" w:firstLineChars="200"/>
        <w:rPr>
          <w:rFonts w:hint="eastAsia" w:ascii="仿宋_GB2312" w:hAnsi="仿宋" w:eastAsia="仿宋_GB2312" w:cs="宋体"/>
          <w:kern w:val="0"/>
          <w:sz w:val="32"/>
          <w:szCs w:val="32"/>
        </w:rPr>
      </w:pPr>
      <w:r>
        <w:rPr>
          <w:rFonts w:hint="eastAsia" w:ascii="仿宋_GB2312" w:hAnsi="仿宋" w:eastAsia="仿宋_GB2312" w:cs="宋体"/>
          <w:kern w:val="0"/>
          <w:sz w:val="32"/>
          <w:szCs w:val="32"/>
        </w:rPr>
        <w:t>确定各个指标相对于项目总体绩效的权重分值。在绩效评价指标体系中，项目决策权重为20分，项目过程权重为20分，项目产出权重为40分，项目效益权重为20分。</w:t>
      </w:r>
    </w:p>
    <w:p w14:paraId="6F49EAB6">
      <w:pPr>
        <w:spacing w:line="560" w:lineRule="exact"/>
        <w:ind w:firstLine="640" w:firstLineChars="200"/>
        <w:rPr>
          <w:rFonts w:hint="eastAsia" w:ascii="仿宋_GB2312" w:hAnsi="仿宋" w:eastAsia="仿宋_GB2312" w:cs="宋体"/>
          <w:kern w:val="0"/>
          <w:sz w:val="32"/>
          <w:szCs w:val="32"/>
        </w:rPr>
      </w:pPr>
      <w:r>
        <w:rPr>
          <w:rFonts w:hint="eastAsia" w:ascii="仿宋_GB2312" w:hAnsi="仿宋" w:eastAsia="仿宋_GB2312" w:cs="宋体"/>
          <w:kern w:val="0"/>
          <w:sz w:val="32"/>
          <w:szCs w:val="32"/>
        </w:rPr>
        <w:t>（3）确定指标标准值</w:t>
      </w:r>
    </w:p>
    <w:p w14:paraId="748A4317">
      <w:pPr>
        <w:spacing w:line="560" w:lineRule="exact"/>
        <w:ind w:firstLine="640" w:firstLineChars="200"/>
        <w:rPr>
          <w:rFonts w:hint="eastAsia" w:ascii="仿宋_GB2312" w:hAnsi="仿宋" w:eastAsia="仿宋_GB2312" w:cs="宋体"/>
          <w:kern w:val="0"/>
          <w:sz w:val="32"/>
          <w:szCs w:val="32"/>
        </w:rPr>
      </w:pPr>
      <w:r>
        <w:rPr>
          <w:rFonts w:hint="eastAsia" w:ascii="仿宋_GB2312" w:hAnsi="仿宋" w:eastAsia="仿宋_GB2312" w:cs="宋体"/>
          <w:kern w:val="0"/>
          <w:sz w:val="32"/>
          <w:szCs w:val="32"/>
        </w:rPr>
        <w:t>指标标准值是绩效评价指标的尺度，既要反映同类项目的先进水平，又要符合项目的实际绩效水平。具体采用计划标准等确定此次绩效评价指标标准值。</w:t>
      </w:r>
    </w:p>
    <w:p w14:paraId="78D3E3B1">
      <w:pPr>
        <w:spacing w:line="560" w:lineRule="exact"/>
        <w:ind w:firstLine="640" w:firstLineChars="200"/>
        <w:rPr>
          <w:rFonts w:hint="eastAsia" w:ascii="仿宋_GB2312" w:hAnsi="仿宋" w:eastAsia="仿宋_GB2312" w:cs="宋体"/>
          <w:kern w:val="0"/>
          <w:sz w:val="32"/>
          <w:szCs w:val="32"/>
        </w:rPr>
      </w:pPr>
      <w:r>
        <w:rPr>
          <w:rFonts w:hint="eastAsia" w:ascii="仿宋_GB2312" w:hAnsi="仿宋" w:eastAsia="仿宋_GB2312" w:cs="宋体"/>
          <w:kern w:val="0"/>
          <w:sz w:val="32"/>
          <w:szCs w:val="32"/>
        </w:rPr>
        <w:t>绩效评价总分值100分，根据综合评分结果，评价计分90分-100分（含90分）对应的评分结果级别为优，80-90分（含80分）对应的评分结果级别为良，60-80分（含60分）对应的评分结果级别为中，60分以下对应的评分结果级别为差。</w:t>
      </w:r>
    </w:p>
    <w:p w14:paraId="0560C843">
      <w:pPr>
        <w:spacing w:line="560" w:lineRule="exact"/>
        <w:ind w:firstLine="640" w:firstLineChars="200"/>
        <w:rPr>
          <w:rFonts w:hint="eastAsia" w:ascii="仿宋_GB2312" w:hAnsi="仿宋" w:eastAsia="仿宋_GB2312" w:cs="宋体"/>
          <w:kern w:val="0"/>
          <w:sz w:val="32"/>
          <w:szCs w:val="32"/>
        </w:rPr>
      </w:pPr>
      <w:r>
        <w:rPr>
          <w:rFonts w:hint="eastAsia" w:ascii="仿宋_GB2312" w:hAnsi="仿宋" w:eastAsia="仿宋_GB2312" w:cs="宋体"/>
          <w:kern w:val="0"/>
          <w:sz w:val="32"/>
          <w:szCs w:val="32"/>
        </w:rPr>
        <w:t>具体评价指标体系详情见附件1</w:t>
      </w:r>
    </w:p>
    <w:p w14:paraId="2C41191F">
      <w:pPr>
        <w:spacing w:line="560" w:lineRule="exact"/>
        <w:ind w:firstLine="640" w:firstLineChars="200"/>
        <w:rPr>
          <w:rFonts w:hint="eastAsia" w:ascii="仿宋_GB2312" w:hAnsi="仿宋" w:eastAsia="仿宋_GB2312" w:cs="宋体"/>
          <w:kern w:val="0"/>
          <w:sz w:val="32"/>
          <w:szCs w:val="32"/>
        </w:rPr>
      </w:pPr>
      <w:r>
        <w:rPr>
          <w:rFonts w:hint="eastAsia" w:ascii="仿宋_GB2312" w:hAnsi="仿宋" w:eastAsia="仿宋_GB2312" w:cs="宋体"/>
          <w:kern w:val="0"/>
          <w:sz w:val="32"/>
          <w:szCs w:val="32"/>
        </w:rPr>
        <w:t>3、绩效评价方法</w:t>
      </w:r>
    </w:p>
    <w:p w14:paraId="08D4D1D6">
      <w:pPr>
        <w:spacing w:line="560" w:lineRule="exact"/>
        <w:ind w:firstLine="640" w:firstLineChars="200"/>
        <w:rPr>
          <w:rFonts w:hint="eastAsia" w:ascii="仿宋_GB2312" w:hAnsi="仿宋" w:eastAsia="仿宋_GB2312" w:cs="宋体"/>
          <w:kern w:val="0"/>
          <w:sz w:val="32"/>
          <w:szCs w:val="32"/>
        </w:rPr>
      </w:pPr>
      <w:r>
        <w:rPr>
          <w:rFonts w:hint="eastAsia" w:ascii="仿宋_GB2312" w:hAnsi="仿宋" w:eastAsia="仿宋_GB2312" w:cs="宋体"/>
          <w:kern w:val="0"/>
          <w:sz w:val="32"/>
          <w:szCs w:val="32"/>
        </w:rPr>
        <w:t>绩效评价从项目决策、项目过程、项目产出、项目效益四个维度进行评价。评价对象为项目目标实施情况，  评价核心为资金的支出完成情况和项目的产出效益。</w:t>
      </w:r>
    </w:p>
    <w:p w14:paraId="0EB54114">
      <w:pPr>
        <w:spacing w:line="560" w:lineRule="exact"/>
        <w:ind w:firstLine="640" w:firstLineChars="200"/>
        <w:rPr>
          <w:rFonts w:hint="eastAsia" w:ascii="仿宋_GB2312" w:hAnsi="仿宋" w:eastAsia="仿宋_GB2312" w:cs="宋体"/>
          <w:kern w:val="0"/>
          <w:sz w:val="32"/>
          <w:szCs w:val="32"/>
        </w:rPr>
      </w:pPr>
      <w:r>
        <w:rPr>
          <w:rFonts w:hint="eastAsia" w:ascii="仿宋_GB2312" w:hAnsi="仿宋" w:eastAsia="仿宋_GB2312" w:cs="宋体"/>
          <w:kern w:val="0"/>
          <w:sz w:val="32"/>
          <w:szCs w:val="32"/>
        </w:rPr>
        <w:t>本次评价指标中，既有定性指标又有定量指标，各类指标因考核内容不同和客观标准不同存在较大差异，因此核定具体指标时采用</w:t>
      </w:r>
      <w:r>
        <w:rPr>
          <w:rFonts w:hint="eastAsia" w:ascii="仿宋_GB2312" w:hAnsi="仿宋" w:eastAsia="仿宋_GB2312" w:cs="宋体"/>
          <w:kern w:val="0"/>
          <w:sz w:val="32"/>
          <w:szCs w:val="32"/>
          <w:lang w:eastAsia="zh-CN"/>
        </w:rPr>
        <w:t>比较</w:t>
      </w:r>
      <w:r>
        <w:rPr>
          <w:rFonts w:hint="eastAsia" w:ascii="仿宋_GB2312" w:hAnsi="仿宋" w:eastAsia="仿宋_GB2312" w:cs="宋体"/>
          <w:kern w:val="0"/>
          <w:sz w:val="32"/>
          <w:szCs w:val="32"/>
        </w:rPr>
        <w:t>法，具体评价方法如下：</w:t>
      </w:r>
    </w:p>
    <w:p w14:paraId="3BB4FA43">
      <w:pPr>
        <w:spacing w:line="560" w:lineRule="exact"/>
        <w:ind w:firstLine="640" w:firstLineChars="200"/>
        <w:rPr>
          <w:rFonts w:hint="eastAsia" w:ascii="仿宋_GB2312" w:hAnsi="仿宋" w:eastAsia="仿宋_GB2312" w:cs="宋体"/>
          <w:kern w:val="0"/>
          <w:sz w:val="32"/>
          <w:szCs w:val="32"/>
        </w:rPr>
      </w:pPr>
      <w:r>
        <w:rPr>
          <w:rFonts w:hint="eastAsia" w:ascii="仿宋_GB2312" w:hAnsi="仿宋" w:eastAsia="仿宋_GB2312" w:cs="宋体"/>
          <w:kern w:val="0"/>
          <w:sz w:val="32"/>
          <w:szCs w:val="32"/>
        </w:rPr>
        <w:t>通过对项目的开展情况、项目产出数量、成本控制、资金拨付文件及自评报告等相关资料的收集和审核，对绩效目标与实施效果，综合分析绩效目标实现程度</w:t>
      </w:r>
      <w:r>
        <w:rPr>
          <w:rFonts w:hint="eastAsia" w:ascii="仿宋_GB2312" w:hAnsi="仿宋" w:eastAsia="仿宋_GB2312" w:cs="宋体"/>
          <w:kern w:val="0"/>
          <w:sz w:val="32"/>
          <w:szCs w:val="32"/>
          <w:lang w:eastAsia="zh-CN"/>
        </w:rPr>
        <w:t>，</w:t>
      </w:r>
      <w:r>
        <w:rPr>
          <w:rFonts w:hint="eastAsia" w:ascii="仿宋_GB2312" w:hAnsi="仿宋" w:eastAsia="仿宋_GB2312" w:cs="宋体"/>
          <w:kern w:val="0"/>
          <w:sz w:val="32"/>
          <w:szCs w:val="32"/>
        </w:rPr>
        <w:t>对项目最终验收情况与年度绩效目标对比、预算资金执行情况等相关因素进行比较。</w:t>
      </w:r>
    </w:p>
    <w:p w14:paraId="406E6D90">
      <w:pPr>
        <w:spacing w:line="560" w:lineRule="exact"/>
        <w:ind w:firstLine="640" w:firstLineChars="200"/>
        <w:rPr>
          <w:rFonts w:hint="eastAsia" w:ascii="仿宋_GB2312" w:hAnsi="仿宋" w:eastAsia="仿宋_GB2312" w:cs="宋体"/>
          <w:kern w:val="0"/>
          <w:sz w:val="32"/>
          <w:szCs w:val="32"/>
        </w:rPr>
      </w:pPr>
      <w:r>
        <w:rPr>
          <w:rFonts w:hint="eastAsia" w:ascii="仿宋_GB2312" w:hAnsi="仿宋" w:eastAsia="仿宋_GB2312" w:cs="宋体"/>
          <w:kern w:val="0"/>
          <w:sz w:val="32"/>
          <w:szCs w:val="32"/>
        </w:rPr>
        <w:t>4、评价标准</w:t>
      </w:r>
    </w:p>
    <w:p w14:paraId="42E4FCEF">
      <w:pPr>
        <w:spacing w:line="560" w:lineRule="exact"/>
        <w:ind w:firstLine="640" w:firstLineChars="200"/>
        <w:rPr>
          <w:rFonts w:hint="eastAsia" w:ascii="仿宋_GB2312" w:hAnsi="仿宋" w:eastAsia="仿宋_GB2312" w:cs="宋体"/>
          <w:kern w:val="0"/>
          <w:sz w:val="32"/>
          <w:szCs w:val="32"/>
        </w:rPr>
      </w:pPr>
      <w:r>
        <w:rPr>
          <w:rFonts w:hint="eastAsia" w:ascii="仿宋_GB2312" w:hAnsi="仿宋" w:eastAsia="仿宋_GB2312" w:cs="宋体"/>
          <w:kern w:val="0"/>
          <w:sz w:val="32"/>
          <w:szCs w:val="32"/>
        </w:rPr>
        <w:t>绩效评价标准通常包括计划标准、行业标准、历史标准等，用于对绩效指标完成情况进行比较、分析、评价。本次评价主要采用了</w:t>
      </w:r>
      <w:r>
        <w:rPr>
          <w:rFonts w:hint="eastAsia" w:ascii="仿宋_GB2312" w:hAnsi="仿宋" w:eastAsia="仿宋_GB2312" w:cs="宋体"/>
          <w:kern w:val="0"/>
          <w:sz w:val="32"/>
          <w:szCs w:val="32"/>
          <w:lang w:val="en-US" w:eastAsia="zh-CN"/>
        </w:rPr>
        <w:t>计划</w:t>
      </w:r>
      <w:r>
        <w:rPr>
          <w:rFonts w:hint="eastAsia" w:ascii="仿宋_GB2312" w:hAnsi="仿宋" w:eastAsia="仿宋_GB2312" w:cs="宋体"/>
          <w:kern w:val="0"/>
          <w:sz w:val="32"/>
          <w:szCs w:val="32"/>
        </w:rPr>
        <w:t>标准。</w:t>
      </w:r>
    </w:p>
    <w:p w14:paraId="5558851F">
      <w:pPr>
        <w:spacing w:line="560" w:lineRule="exact"/>
        <w:ind w:firstLine="640" w:firstLineChars="200"/>
        <w:rPr>
          <w:rFonts w:hint="eastAsia" w:ascii="仿宋_GB2312" w:hAnsi="仿宋" w:eastAsia="仿宋_GB2312" w:cs="宋体"/>
          <w:kern w:val="0"/>
          <w:sz w:val="32"/>
          <w:szCs w:val="32"/>
        </w:rPr>
      </w:pPr>
      <w:bookmarkStart w:id="6" w:name="_Toc31464"/>
      <w:bookmarkStart w:id="7" w:name="_Toc17882"/>
      <w:r>
        <w:rPr>
          <w:rFonts w:hint="eastAsia" w:ascii="仿宋_GB2312" w:hAnsi="仿宋" w:eastAsia="仿宋_GB2312" w:cs="宋体"/>
          <w:kern w:val="0"/>
          <w:sz w:val="32"/>
          <w:szCs w:val="32"/>
        </w:rPr>
        <w:t>计划标准：指以预先制定的目标、计划、预算、定额等作为评价标准。</w:t>
      </w:r>
      <w:bookmarkEnd w:id="6"/>
      <w:bookmarkEnd w:id="7"/>
    </w:p>
    <w:p w14:paraId="30213DC9">
      <w:pPr>
        <w:spacing w:line="560" w:lineRule="exact"/>
        <w:ind w:firstLine="640" w:firstLineChars="200"/>
        <w:rPr>
          <w:rFonts w:hint="eastAsia" w:ascii="仿宋_GB2312" w:hAnsi="仿宋" w:eastAsia="仿宋_GB2312" w:cs="宋体"/>
          <w:kern w:val="0"/>
          <w:sz w:val="32"/>
          <w:szCs w:val="32"/>
        </w:rPr>
      </w:pPr>
      <w:bookmarkStart w:id="8" w:name="_Toc5633"/>
      <w:bookmarkStart w:id="9" w:name="_Toc2318"/>
      <w:r>
        <w:rPr>
          <w:rFonts w:hint="eastAsia" w:ascii="仿宋_GB2312" w:hAnsi="仿宋" w:eastAsia="仿宋_GB2312" w:cs="宋体"/>
          <w:kern w:val="0"/>
          <w:sz w:val="32"/>
          <w:szCs w:val="32"/>
        </w:rPr>
        <w:t>行业标准：指参照国家公布的行业指标数据制定的评价标准。</w:t>
      </w:r>
      <w:bookmarkEnd w:id="8"/>
      <w:bookmarkEnd w:id="9"/>
    </w:p>
    <w:p w14:paraId="68003221">
      <w:pPr>
        <w:spacing w:line="560" w:lineRule="exact"/>
        <w:ind w:firstLine="640" w:firstLineChars="200"/>
        <w:rPr>
          <w:rFonts w:hint="eastAsia" w:ascii="仿宋_GB2312" w:hAnsi="仿宋" w:eastAsia="仿宋_GB2312" w:cs="宋体"/>
          <w:kern w:val="0"/>
          <w:sz w:val="32"/>
          <w:szCs w:val="32"/>
        </w:rPr>
      </w:pPr>
      <w:bookmarkStart w:id="10" w:name="_Toc430"/>
      <w:bookmarkStart w:id="11" w:name="_Toc16028"/>
      <w:r>
        <w:rPr>
          <w:rFonts w:hint="eastAsia" w:ascii="仿宋_GB2312" w:hAnsi="仿宋" w:eastAsia="仿宋_GB2312" w:cs="宋体"/>
          <w:kern w:val="0"/>
          <w:sz w:val="32"/>
          <w:szCs w:val="32"/>
        </w:rPr>
        <w:t>历史标准：指参照历史数据制定的评价标准，为体现绩效改进的原则，在可实现的条件下应当确定相对较高的评价标准。</w:t>
      </w:r>
      <w:bookmarkEnd w:id="10"/>
      <w:bookmarkEnd w:id="11"/>
    </w:p>
    <w:p w14:paraId="171B1C2F">
      <w:pPr>
        <w:pStyle w:val="4"/>
        <w:numPr>
          <w:ilvl w:val="0"/>
          <w:numId w:val="2"/>
        </w:numPr>
        <w:bidi w:val="0"/>
      </w:pPr>
      <w:bookmarkStart w:id="12" w:name="_Toc4398"/>
      <w:r>
        <w:rPr>
          <w:rFonts w:hint="eastAsia"/>
        </w:rPr>
        <w:t>绩效评价工作过程</w:t>
      </w:r>
      <w:bookmarkEnd w:id="12"/>
    </w:p>
    <w:p w14:paraId="06BE2E3F">
      <w:pPr>
        <w:numPr>
          <w:ilvl w:val="0"/>
          <w:numId w:val="3"/>
        </w:numPr>
        <w:spacing w:line="600" w:lineRule="exact"/>
        <w:ind w:firstLine="640" w:firstLineChars="200"/>
        <w:rPr>
          <w:rFonts w:eastAsia="仿宋_GB2312"/>
          <w:bCs/>
          <w:sz w:val="32"/>
          <w:szCs w:val="32"/>
        </w:rPr>
      </w:pPr>
      <w:r>
        <w:rPr>
          <w:rFonts w:hint="eastAsia" w:eastAsia="仿宋_GB2312"/>
          <w:bCs/>
          <w:sz w:val="32"/>
          <w:szCs w:val="32"/>
        </w:rPr>
        <w:t>前期准备。明确项目绩效目标，设计绩效评价指标体系并确定绩效评价方法；确定评价范围，资料清单，制定评价实施方案。</w:t>
      </w:r>
    </w:p>
    <w:p w14:paraId="2BABA567">
      <w:pPr>
        <w:numPr>
          <w:ilvl w:val="0"/>
          <w:numId w:val="3"/>
        </w:numPr>
        <w:spacing w:line="600" w:lineRule="exact"/>
        <w:ind w:firstLine="640" w:firstLineChars="200"/>
        <w:rPr>
          <w:rFonts w:eastAsia="仿宋_GB2312"/>
          <w:bCs/>
          <w:sz w:val="32"/>
          <w:szCs w:val="32"/>
        </w:rPr>
      </w:pPr>
      <w:r>
        <w:rPr>
          <w:rFonts w:hint="eastAsia" w:eastAsia="仿宋_GB2312"/>
          <w:bCs/>
          <w:sz w:val="32"/>
          <w:szCs w:val="32"/>
        </w:rPr>
        <w:t>组织实施。收集项目立项依据、相关会议纪要、实施方案、财政资金分配方案、支付管理情况等相关评价资料并进行梳理。</w:t>
      </w:r>
    </w:p>
    <w:p w14:paraId="672B9A58">
      <w:pPr>
        <w:numPr>
          <w:ilvl w:val="0"/>
          <w:numId w:val="3"/>
        </w:numPr>
        <w:spacing w:line="600" w:lineRule="exact"/>
        <w:ind w:firstLine="640" w:firstLineChars="200"/>
        <w:rPr>
          <w:sz w:val="32"/>
          <w:szCs w:val="32"/>
        </w:rPr>
      </w:pPr>
      <w:r>
        <w:rPr>
          <w:rFonts w:hint="eastAsia" w:eastAsia="仿宋_GB2312"/>
          <w:bCs/>
          <w:sz w:val="32"/>
          <w:szCs w:val="32"/>
        </w:rPr>
        <w:t>分析评价。根据收集梳理的资料围绕项目立项、资金落实、业务管理、财务管理、项目产出、项目效益等内容，对照已确定的绩效评价指标进行详细全面的分析评价，逐项打分并形成绩效评价最终结果。</w:t>
      </w:r>
    </w:p>
    <w:p w14:paraId="138BBEF3">
      <w:pPr>
        <w:pStyle w:val="3"/>
        <w:bidi w:val="0"/>
        <w:ind w:firstLine="1041"/>
        <w:rPr>
          <w:rFonts w:ascii="Times New Roman" w:hAnsi="Times New Roman"/>
          <w:b/>
        </w:rPr>
      </w:pPr>
      <w:bookmarkStart w:id="13" w:name="_Toc24341"/>
      <w:r>
        <w:rPr>
          <w:rFonts w:hint="eastAsia" w:ascii="Times New Roman" w:hAnsi="Times New Roman"/>
          <w:b/>
          <w:lang w:eastAsia="zh-CN"/>
        </w:rPr>
        <w:t>三、</w:t>
      </w:r>
      <w:r>
        <w:rPr>
          <w:rFonts w:ascii="Times New Roman" w:hAnsi="Times New Roman"/>
          <w:b/>
        </w:rPr>
        <w:t>综合评价情况及评价结论（附相关评分表）</w:t>
      </w:r>
      <w:bookmarkEnd w:id="13"/>
    </w:p>
    <w:p w14:paraId="32342F1B">
      <w:pPr>
        <w:pStyle w:val="4"/>
        <w:bidi w:val="0"/>
        <w:rPr>
          <w:rFonts w:hint="eastAsia"/>
          <w:lang w:val="en-US" w:eastAsia="zh-CN"/>
        </w:rPr>
      </w:pPr>
      <w:bookmarkStart w:id="14" w:name="_Toc1407"/>
      <w:r>
        <w:rPr>
          <w:rFonts w:hint="eastAsia"/>
          <w:lang w:eastAsia="zh-CN"/>
        </w:rPr>
        <w:t>（</w:t>
      </w:r>
      <w:r>
        <w:rPr>
          <w:rFonts w:hint="eastAsia"/>
          <w:lang w:val="en-US" w:eastAsia="zh-CN"/>
        </w:rPr>
        <w:t>一</w:t>
      </w:r>
      <w:r>
        <w:rPr>
          <w:rFonts w:hint="eastAsia"/>
          <w:lang w:eastAsia="zh-CN"/>
        </w:rPr>
        <w:t>）</w:t>
      </w:r>
      <w:r>
        <w:rPr>
          <w:rFonts w:hint="eastAsia"/>
          <w:lang w:val="en-US" w:eastAsia="zh-CN"/>
        </w:rPr>
        <w:t>评价情况</w:t>
      </w:r>
      <w:bookmarkEnd w:id="14"/>
    </w:p>
    <w:p w14:paraId="219BDFBE">
      <w:pPr>
        <w:shd w:val="clear"/>
        <w:spacing w:line="600" w:lineRule="exact"/>
        <w:ind w:firstLine="640" w:firstLineChars="200"/>
        <w:outlineLvl w:val="9"/>
        <w:rPr>
          <w:rFonts w:hint="default" w:ascii="Times New Roman" w:hAnsi="Times New Roman" w:eastAsia="仿宋_GB2312" w:cs="Times New Roman"/>
          <w:b w:val="0"/>
          <w:bCs w:val="0"/>
          <w:kern w:val="28"/>
          <w:sz w:val="32"/>
          <w:szCs w:val="32"/>
          <w:lang w:val="en-US" w:eastAsia="zh-CN" w:bidi="ar-SA"/>
        </w:rPr>
      </w:pPr>
      <w:r>
        <w:rPr>
          <w:rFonts w:hint="eastAsia" w:ascii="Times New Roman" w:hAnsi="Times New Roman" w:eastAsia="仿宋_GB2312" w:cs="Times New Roman"/>
          <w:b w:val="0"/>
          <w:bCs w:val="0"/>
          <w:kern w:val="28"/>
          <w:sz w:val="32"/>
          <w:szCs w:val="32"/>
          <w:lang w:val="en-US" w:eastAsia="zh-CN" w:bidi="ar-SA"/>
        </w:rPr>
        <w:t>项目总体组织规范，在项目实施过程做到认真履职，监督到位。按照相关制度的要求，项目负责人对项目绩效监控执行情况进行跟踪监督，有效完成了本项目的工作目标，确保资金使用安全和最大效益的发挥，保障项目如期按要求完成。规范了项目档案资料的整理。项目的实施达到项目预期效果。</w:t>
      </w:r>
    </w:p>
    <w:p w14:paraId="47B45726">
      <w:pPr>
        <w:pStyle w:val="4"/>
        <w:bidi w:val="0"/>
        <w:rPr>
          <w:rFonts w:hint="eastAsia"/>
          <w:lang w:val="en-US" w:eastAsia="zh-CN"/>
        </w:rPr>
      </w:pPr>
      <w:bookmarkStart w:id="15" w:name="_Toc7637"/>
      <w:r>
        <w:rPr>
          <w:rFonts w:hint="eastAsia"/>
          <w:lang w:eastAsia="zh-CN"/>
        </w:rPr>
        <w:t>（</w:t>
      </w:r>
      <w:r>
        <w:rPr>
          <w:rFonts w:hint="eastAsia"/>
          <w:lang w:val="en-US" w:eastAsia="zh-CN"/>
        </w:rPr>
        <w:t>二</w:t>
      </w:r>
      <w:r>
        <w:rPr>
          <w:rFonts w:hint="eastAsia"/>
          <w:lang w:eastAsia="zh-CN"/>
        </w:rPr>
        <w:t>）</w:t>
      </w:r>
      <w:r>
        <w:rPr>
          <w:rFonts w:hint="eastAsia"/>
          <w:lang w:val="en-US" w:eastAsia="zh-CN"/>
        </w:rPr>
        <w:t>评价结论</w:t>
      </w:r>
      <w:bookmarkEnd w:id="15"/>
    </w:p>
    <w:p w14:paraId="37C00533">
      <w:pPr>
        <w:shd w:val="clear"/>
        <w:spacing w:line="600" w:lineRule="exact"/>
        <w:ind w:firstLine="640" w:firstLineChars="200"/>
        <w:outlineLvl w:val="9"/>
        <w:rPr>
          <w:rFonts w:hint="eastAsia" w:ascii="Times New Roman" w:hAnsi="Times New Roman" w:eastAsia="仿宋_GB2312" w:cs="Times New Roman"/>
          <w:b w:val="0"/>
          <w:bCs w:val="0"/>
          <w:kern w:val="28"/>
          <w:sz w:val="32"/>
          <w:szCs w:val="32"/>
          <w:lang w:val="en-US" w:eastAsia="zh-CN" w:bidi="ar-SA"/>
        </w:rPr>
      </w:pPr>
      <w:r>
        <w:rPr>
          <w:rFonts w:hint="eastAsia" w:ascii="Times New Roman" w:hAnsi="Times New Roman" w:eastAsia="仿宋_GB2312" w:cs="Times New Roman"/>
          <w:b w:val="0"/>
          <w:bCs w:val="0"/>
          <w:kern w:val="28"/>
          <w:sz w:val="32"/>
          <w:szCs w:val="32"/>
          <w:lang w:val="en-US" w:eastAsia="zh-CN" w:bidi="ar-SA"/>
        </w:rPr>
        <w:t>运用绩效评价组制定的评价指标体系以及财政部《项目支出绩效评价管理办法》（财预〔2020〕10号）文件的评分标准，通过数据采集、问卷调查及访谈等方式，对本项目进行客观评价，最终评分结果：对高技能人才实训基地建设项目进行客观评价，最终评分结果：总得分为 93.116分，属于“优”。其中，项目决策类指标权重为20分，得分为 20分，得分率为 100%。项目过程类指标权重为20分，得分为19.644分，得分率为 98.22%。项目产出类指标权重为40分，得分为38.75分，得分率为 96.875%。项目效益类指标权重为20分，得分为14.722分，得分率为73.61%。具体打分情况详见：附件1综合评分表。</w:t>
      </w:r>
    </w:p>
    <w:p w14:paraId="165C738B">
      <w:pPr>
        <w:bidi w:val="0"/>
        <w:jc w:val="center"/>
      </w:pPr>
      <w:bookmarkStart w:id="16" w:name="_Toc4237"/>
      <w:r>
        <w:t>表1综合评分表</w:t>
      </w:r>
      <w:bookmarkEnd w:id="16"/>
    </w:p>
    <w:tbl>
      <w:tblPr>
        <w:tblStyle w:val="17"/>
        <w:tblW w:w="7583" w:type="dxa"/>
        <w:jc w:val="center"/>
        <w:tblLayout w:type="fixed"/>
        <w:tblCellMar>
          <w:top w:w="0" w:type="dxa"/>
          <w:left w:w="108" w:type="dxa"/>
          <w:bottom w:w="0" w:type="dxa"/>
          <w:right w:w="108" w:type="dxa"/>
        </w:tblCellMar>
      </w:tblPr>
      <w:tblGrid>
        <w:gridCol w:w="3137"/>
        <w:gridCol w:w="2168"/>
        <w:gridCol w:w="2278"/>
      </w:tblGrid>
      <w:tr w14:paraId="31F33713">
        <w:tblPrEx>
          <w:tblCellMar>
            <w:top w:w="0" w:type="dxa"/>
            <w:left w:w="108" w:type="dxa"/>
            <w:bottom w:w="0" w:type="dxa"/>
            <w:right w:w="108" w:type="dxa"/>
          </w:tblCellMar>
        </w:tblPrEx>
        <w:trPr>
          <w:trHeight w:val="90" w:hRule="atLeast"/>
          <w:tblHeader/>
          <w:jc w:val="center"/>
        </w:trPr>
        <w:tc>
          <w:tcPr>
            <w:tcW w:w="313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14:paraId="7445EC2A">
            <w:pPr>
              <w:jc w:val="center"/>
              <w:outlineLvl w:val="9"/>
              <w:rPr>
                <w:b/>
                <w:bCs/>
                <w:color w:val="000000"/>
                <w:sz w:val="22"/>
              </w:rPr>
            </w:pPr>
            <w:r>
              <w:rPr>
                <w:rFonts w:hint="eastAsia"/>
                <w:b/>
                <w:bCs/>
                <w:color w:val="000000"/>
                <w:sz w:val="22"/>
              </w:rPr>
              <w:t>一级指标</w:t>
            </w:r>
          </w:p>
        </w:tc>
        <w:tc>
          <w:tcPr>
            <w:tcW w:w="216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14:paraId="4DB9139B">
            <w:pPr>
              <w:jc w:val="center"/>
              <w:outlineLvl w:val="9"/>
              <w:rPr>
                <w:b/>
                <w:bCs/>
                <w:color w:val="000000"/>
                <w:sz w:val="22"/>
              </w:rPr>
            </w:pPr>
            <w:r>
              <w:rPr>
                <w:rFonts w:hint="eastAsia"/>
                <w:b/>
                <w:bCs/>
                <w:color w:val="000000"/>
                <w:sz w:val="22"/>
              </w:rPr>
              <w:t>权重分</w:t>
            </w:r>
          </w:p>
        </w:tc>
        <w:tc>
          <w:tcPr>
            <w:tcW w:w="227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14:paraId="3332FF23">
            <w:pPr>
              <w:jc w:val="center"/>
              <w:outlineLvl w:val="9"/>
              <w:rPr>
                <w:b/>
                <w:bCs/>
                <w:color w:val="000000"/>
                <w:sz w:val="22"/>
              </w:rPr>
            </w:pPr>
            <w:r>
              <w:rPr>
                <w:rFonts w:hint="eastAsia"/>
                <w:b/>
                <w:bCs/>
                <w:color w:val="000000"/>
                <w:sz w:val="22"/>
              </w:rPr>
              <w:t>得分</w:t>
            </w:r>
          </w:p>
        </w:tc>
      </w:tr>
      <w:tr w14:paraId="59220C21">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7CC3BD24">
            <w:pPr>
              <w:jc w:val="center"/>
              <w:outlineLvl w:val="9"/>
              <w:rPr>
                <w:color w:val="000000"/>
                <w:sz w:val="22"/>
              </w:rPr>
            </w:pPr>
            <w:r>
              <w:rPr>
                <w:rFonts w:hint="eastAsia"/>
                <w:color w:val="000000"/>
                <w:sz w:val="22"/>
              </w:rPr>
              <w:t>项目决策</w:t>
            </w:r>
          </w:p>
        </w:tc>
        <w:tc>
          <w:tcPr>
            <w:tcW w:w="2168" w:type="dxa"/>
            <w:tcBorders>
              <w:top w:val="nil"/>
              <w:left w:val="nil"/>
              <w:bottom w:val="single" w:color="auto" w:sz="4" w:space="0"/>
              <w:right w:val="single" w:color="auto" w:sz="4" w:space="0"/>
            </w:tcBorders>
            <w:shd w:val="clear" w:color="auto" w:fill="auto"/>
            <w:vAlign w:val="center"/>
          </w:tcPr>
          <w:p w14:paraId="0F9F3A11">
            <w:pPr>
              <w:jc w:val="center"/>
              <w:outlineLvl w:val="9"/>
              <w:rPr>
                <w:rFonts w:hint="default" w:eastAsia="宋体"/>
                <w:color w:val="000000"/>
                <w:sz w:val="22"/>
                <w:lang w:val="en-US" w:eastAsia="zh-CN"/>
              </w:rPr>
            </w:pPr>
            <w:r>
              <w:rPr>
                <w:rFonts w:hint="eastAsia"/>
                <w:color w:val="000000"/>
                <w:sz w:val="22"/>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14:paraId="0E273AB1">
            <w:pPr>
              <w:jc w:val="center"/>
              <w:outlineLvl w:val="9"/>
              <w:rPr>
                <w:rFonts w:hint="default" w:eastAsia="宋体"/>
                <w:color w:val="000000"/>
                <w:sz w:val="22"/>
                <w:lang w:val="en-US" w:eastAsia="zh-CN"/>
              </w:rPr>
            </w:pPr>
            <w:r>
              <w:rPr>
                <w:rFonts w:hint="eastAsia"/>
                <w:color w:val="000000"/>
                <w:sz w:val="22"/>
                <w:lang w:val="en-US" w:eastAsia="zh-CN"/>
              </w:rPr>
              <w:t>20</w:t>
            </w:r>
          </w:p>
        </w:tc>
      </w:tr>
      <w:tr w14:paraId="554E1828">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4CF90F3A">
            <w:pPr>
              <w:jc w:val="center"/>
              <w:outlineLvl w:val="9"/>
              <w:rPr>
                <w:color w:val="000000"/>
                <w:sz w:val="22"/>
              </w:rPr>
            </w:pPr>
            <w:r>
              <w:rPr>
                <w:rFonts w:hint="eastAsia"/>
                <w:color w:val="000000"/>
                <w:sz w:val="22"/>
              </w:rPr>
              <w:t>项目过程</w:t>
            </w:r>
          </w:p>
        </w:tc>
        <w:tc>
          <w:tcPr>
            <w:tcW w:w="2168" w:type="dxa"/>
            <w:tcBorders>
              <w:top w:val="nil"/>
              <w:left w:val="nil"/>
              <w:bottom w:val="single" w:color="auto" w:sz="4" w:space="0"/>
              <w:right w:val="single" w:color="auto" w:sz="4" w:space="0"/>
            </w:tcBorders>
            <w:shd w:val="clear" w:color="auto" w:fill="auto"/>
            <w:vAlign w:val="center"/>
          </w:tcPr>
          <w:p w14:paraId="28109E86">
            <w:pPr>
              <w:jc w:val="center"/>
              <w:outlineLvl w:val="9"/>
              <w:rPr>
                <w:rFonts w:hint="default" w:eastAsia="宋体"/>
                <w:color w:val="000000"/>
                <w:sz w:val="22"/>
                <w:lang w:val="en-US" w:eastAsia="zh-CN"/>
              </w:rPr>
            </w:pPr>
            <w:r>
              <w:rPr>
                <w:rFonts w:hint="eastAsia"/>
                <w:color w:val="000000"/>
                <w:sz w:val="22"/>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14:paraId="009E66CA">
            <w:pPr>
              <w:jc w:val="center"/>
              <w:outlineLvl w:val="9"/>
              <w:rPr>
                <w:rFonts w:hint="default" w:eastAsia="宋体"/>
                <w:color w:val="000000"/>
                <w:sz w:val="22"/>
                <w:lang w:val="en-US" w:eastAsia="zh-CN"/>
              </w:rPr>
            </w:pPr>
            <w:r>
              <w:rPr>
                <w:rFonts w:hint="eastAsia"/>
                <w:color w:val="000000"/>
                <w:sz w:val="22"/>
                <w:lang w:val="en-US" w:eastAsia="zh-CN"/>
              </w:rPr>
              <w:t>19.644</w:t>
            </w:r>
          </w:p>
        </w:tc>
      </w:tr>
      <w:tr w14:paraId="3FBD1B05">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5E52D005">
            <w:pPr>
              <w:jc w:val="center"/>
              <w:outlineLvl w:val="9"/>
              <w:rPr>
                <w:color w:val="000000"/>
                <w:sz w:val="22"/>
              </w:rPr>
            </w:pPr>
            <w:r>
              <w:rPr>
                <w:rFonts w:hint="eastAsia"/>
                <w:color w:val="000000"/>
                <w:sz w:val="22"/>
              </w:rPr>
              <w:t>项目产出</w:t>
            </w:r>
          </w:p>
        </w:tc>
        <w:tc>
          <w:tcPr>
            <w:tcW w:w="2168" w:type="dxa"/>
            <w:tcBorders>
              <w:top w:val="nil"/>
              <w:left w:val="nil"/>
              <w:bottom w:val="single" w:color="auto" w:sz="4" w:space="0"/>
              <w:right w:val="single" w:color="auto" w:sz="4" w:space="0"/>
            </w:tcBorders>
            <w:shd w:val="clear" w:color="auto" w:fill="auto"/>
            <w:vAlign w:val="center"/>
          </w:tcPr>
          <w:p w14:paraId="35CFDFFB">
            <w:pPr>
              <w:jc w:val="center"/>
              <w:outlineLvl w:val="9"/>
              <w:rPr>
                <w:rFonts w:hint="default" w:eastAsia="宋体"/>
                <w:color w:val="000000"/>
                <w:sz w:val="22"/>
                <w:lang w:val="en-US" w:eastAsia="zh-CN"/>
              </w:rPr>
            </w:pPr>
            <w:r>
              <w:rPr>
                <w:rFonts w:hint="eastAsia"/>
                <w:color w:val="000000"/>
                <w:sz w:val="22"/>
                <w:lang w:val="en-US" w:eastAsia="zh-CN"/>
              </w:rPr>
              <w:t>40</w:t>
            </w:r>
          </w:p>
        </w:tc>
        <w:tc>
          <w:tcPr>
            <w:tcW w:w="2278" w:type="dxa"/>
            <w:tcBorders>
              <w:top w:val="nil"/>
              <w:left w:val="nil"/>
              <w:bottom w:val="single" w:color="auto" w:sz="4" w:space="0"/>
              <w:right w:val="single" w:color="auto" w:sz="4" w:space="0"/>
            </w:tcBorders>
            <w:shd w:val="clear" w:color="auto" w:fill="auto"/>
            <w:vAlign w:val="center"/>
          </w:tcPr>
          <w:p w14:paraId="4F9930C8">
            <w:pPr>
              <w:jc w:val="center"/>
              <w:outlineLvl w:val="9"/>
              <w:rPr>
                <w:rFonts w:hint="default" w:eastAsia="宋体"/>
                <w:color w:val="000000"/>
                <w:sz w:val="22"/>
                <w:lang w:val="en-US" w:eastAsia="zh-CN"/>
              </w:rPr>
            </w:pPr>
            <w:r>
              <w:rPr>
                <w:rFonts w:hint="eastAsia"/>
                <w:color w:val="000000"/>
                <w:sz w:val="22"/>
                <w:lang w:val="en-US" w:eastAsia="zh-CN"/>
              </w:rPr>
              <w:t>38.75</w:t>
            </w:r>
          </w:p>
        </w:tc>
      </w:tr>
      <w:tr w14:paraId="7432528A">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28DC18CA">
            <w:pPr>
              <w:jc w:val="center"/>
              <w:outlineLvl w:val="9"/>
              <w:rPr>
                <w:color w:val="000000"/>
                <w:sz w:val="22"/>
              </w:rPr>
            </w:pPr>
            <w:r>
              <w:rPr>
                <w:rFonts w:hint="eastAsia"/>
                <w:color w:val="000000"/>
                <w:sz w:val="22"/>
              </w:rPr>
              <w:t>项目效益</w:t>
            </w:r>
          </w:p>
        </w:tc>
        <w:tc>
          <w:tcPr>
            <w:tcW w:w="2168" w:type="dxa"/>
            <w:tcBorders>
              <w:top w:val="nil"/>
              <w:left w:val="nil"/>
              <w:bottom w:val="single" w:color="auto" w:sz="4" w:space="0"/>
              <w:right w:val="single" w:color="auto" w:sz="4" w:space="0"/>
            </w:tcBorders>
            <w:shd w:val="clear" w:color="auto" w:fill="auto"/>
            <w:vAlign w:val="center"/>
          </w:tcPr>
          <w:p w14:paraId="7DD7F800">
            <w:pPr>
              <w:jc w:val="center"/>
              <w:outlineLvl w:val="9"/>
              <w:rPr>
                <w:rFonts w:hint="default" w:eastAsia="宋体"/>
                <w:color w:val="000000"/>
                <w:sz w:val="22"/>
                <w:lang w:val="en-US" w:eastAsia="zh-CN"/>
              </w:rPr>
            </w:pPr>
            <w:r>
              <w:rPr>
                <w:rFonts w:hint="eastAsia"/>
                <w:color w:val="000000"/>
                <w:sz w:val="22"/>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14:paraId="01F2507A">
            <w:pPr>
              <w:jc w:val="center"/>
              <w:outlineLvl w:val="9"/>
              <w:rPr>
                <w:rFonts w:hint="default" w:eastAsia="宋体"/>
                <w:color w:val="000000"/>
                <w:sz w:val="22"/>
                <w:lang w:val="en-US" w:eastAsia="zh-CN"/>
              </w:rPr>
            </w:pPr>
            <w:r>
              <w:rPr>
                <w:rFonts w:hint="eastAsia"/>
                <w:color w:val="000000"/>
                <w:sz w:val="22"/>
                <w:lang w:val="en-US" w:eastAsia="zh-CN"/>
              </w:rPr>
              <w:t>14.722</w:t>
            </w:r>
          </w:p>
        </w:tc>
      </w:tr>
      <w:tr w14:paraId="2D1CC5C8">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6AE9A78D">
            <w:pPr>
              <w:jc w:val="center"/>
              <w:outlineLvl w:val="9"/>
              <w:rPr>
                <w:rFonts w:cs="宋体"/>
                <w:b/>
                <w:bCs/>
                <w:color w:val="000000"/>
                <w:sz w:val="22"/>
              </w:rPr>
            </w:pPr>
            <w:r>
              <w:rPr>
                <w:rFonts w:hint="eastAsia" w:cs="宋体"/>
                <w:b/>
                <w:bCs/>
                <w:color w:val="000000"/>
                <w:sz w:val="22"/>
              </w:rPr>
              <w:t>合计</w:t>
            </w:r>
          </w:p>
        </w:tc>
        <w:tc>
          <w:tcPr>
            <w:tcW w:w="2168" w:type="dxa"/>
            <w:tcBorders>
              <w:top w:val="nil"/>
              <w:left w:val="nil"/>
              <w:bottom w:val="single" w:color="auto" w:sz="4" w:space="0"/>
              <w:right w:val="single" w:color="auto" w:sz="4" w:space="0"/>
            </w:tcBorders>
            <w:shd w:val="clear" w:color="auto" w:fill="auto"/>
            <w:vAlign w:val="center"/>
          </w:tcPr>
          <w:p w14:paraId="7D82130C">
            <w:pPr>
              <w:jc w:val="center"/>
              <w:outlineLvl w:val="9"/>
              <w:rPr>
                <w:rFonts w:hint="default" w:eastAsia="宋体"/>
                <w:b/>
                <w:bCs/>
                <w:color w:val="000000"/>
                <w:sz w:val="22"/>
                <w:lang w:val="en-US" w:eastAsia="zh-CN"/>
              </w:rPr>
            </w:pPr>
            <w:r>
              <w:rPr>
                <w:rFonts w:hint="eastAsia"/>
                <w:b/>
                <w:bCs/>
                <w:color w:val="000000"/>
                <w:sz w:val="22"/>
                <w:lang w:val="en-US" w:eastAsia="zh-CN"/>
              </w:rPr>
              <w:t>100</w:t>
            </w:r>
          </w:p>
        </w:tc>
        <w:tc>
          <w:tcPr>
            <w:tcW w:w="2278" w:type="dxa"/>
            <w:tcBorders>
              <w:top w:val="nil"/>
              <w:left w:val="nil"/>
              <w:bottom w:val="single" w:color="auto" w:sz="4" w:space="0"/>
              <w:right w:val="single" w:color="auto" w:sz="4" w:space="0"/>
            </w:tcBorders>
            <w:shd w:val="clear" w:color="auto" w:fill="auto"/>
            <w:vAlign w:val="center"/>
          </w:tcPr>
          <w:p w14:paraId="314B1F98">
            <w:pPr>
              <w:jc w:val="center"/>
              <w:outlineLvl w:val="9"/>
              <w:rPr>
                <w:rFonts w:hint="default" w:eastAsia="宋体"/>
                <w:b/>
                <w:bCs/>
                <w:color w:val="000000"/>
                <w:sz w:val="22"/>
                <w:lang w:val="en-US" w:eastAsia="zh-CN"/>
              </w:rPr>
            </w:pPr>
            <w:r>
              <w:rPr>
                <w:rFonts w:hint="eastAsia"/>
                <w:b/>
                <w:bCs/>
                <w:color w:val="000000"/>
                <w:sz w:val="22"/>
                <w:lang w:val="en-US" w:eastAsia="zh-CN"/>
              </w:rPr>
              <w:t>93.116</w:t>
            </w:r>
          </w:p>
        </w:tc>
      </w:tr>
    </w:tbl>
    <w:p w14:paraId="4D300FEA">
      <w:pPr>
        <w:pStyle w:val="3"/>
        <w:bidi w:val="0"/>
        <w:ind w:firstLine="1041"/>
        <w:rPr>
          <w:rFonts w:hint="eastAsia" w:ascii="Times New Roman" w:hAnsi="Times New Roman"/>
          <w:b/>
          <w:lang w:eastAsia="zh-CN"/>
        </w:rPr>
      </w:pPr>
      <w:bookmarkStart w:id="17" w:name="_Toc15939"/>
      <w:r>
        <w:rPr>
          <w:rFonts w:hint="eastAsia" w:ascii="Times New Roman" w:hAnsi="Times New Roman"/>
          <w:b/>
          <w:lang w:eastAsia="zh-CN"/>
        </w:rPr>
        <w:t>四、绩效评价指标分析</w:t>
      </w:r>
      <w:bookmarkEnd w:id="17"/>
    </w:p>
    <w:p w14:paraId="1473A42F">
      <w:pPr>
        <w:pStyle w:val="4"/>
        <w:bidi w:val="0"/>
      </w:pPr>
      <w:bookmarkStart w:id="18" w:name="_Toc15385"/>
      <w:r>
        <w:t>（一）项目决策情况</w:t>
      </w:r>
      <w:bookmarkEnd w:id="18"/>
    </w:p>
    <w:p w14:paraId="7C484289">
      <w:pPr>
        <w:shd w:val="clear"/>
        <w:spacing w:line="600" w:lineRule="exact"/>
        <w:ind w:firstLine="600" w:firstLineChars="200"/>
        <w:outlineLvl w:val="9"/>
        <w:rPr>
          <w:rFonts w:hint="eastAsia" w:ascii="仿宋_GB2312" w:hAnsi="仿宋_GB2312" w:eastAsia="仿宋_GB2312" w:cs="仿宋_GB2312"/>
          <w:sz w:val="30"/>
          <w:szCs w:val="30"/>
          <w:highlight w:val="none"/>
          <w:lang w:val="en-US" w:eastAsia="zh-CN"/>
        </w:rPr>
      </w:pPr>
      <w:r>
        <w:rPr>
          <w:rFonts w:hint="eastAsia" w:ascii="仿宋_GB2312" w:hAnsi="仿宋_GB2312" w:eastAsia="仿宋_GB2312" w:cs="仿宋_GB2312"/>
          <w:sz w:val="30"/>
          <w:szCs w:val="30"/>
          <w:highlight w:val="none"/>
          <w:lang w:val="en-US" w:eastAsia="zh-CN"/>
        </w:rPr>
        <w:t>项目决策类指标包括项目立项、绩效目标和资金投入三方面的内容，由6个三级指标构成，权重分值为20分，实际得分20分，得分率为100%。</w:t>
      </w:r>
    </w:p>
    <w:p w14:paraId="043ACFC7">
      <w:pPr>
        <w:pStyle w:val="22"/>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1.项目立项</w:t>
      </w:r>
    </w:p>
    <w:p w14:paraId="5542C405">
      <w:pPr>
        <w:shd w:val="clear"/>
        <w:spacing w:line="600" w:lineRule="exact"/>
        <w:ind w:firstLine="640" w:firstLineChars="200"/>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（1）立项依据充分性</w:t>
      </w:r>
    </w:p>
    <w:p w14:paraId="5754018D">
      <w:pPr>
        <w:shd w:val="clear"/>
        <w:spacing w:line="600" w:lineRule="exact"/>
        <w:ind w:firstLine="640" w:firstLineChars="200"/>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p>
    <w:p w14:paraId="104BB0E4">
      <w:pPr>
        <w:shd w:val="clear"/>
        <w:spacing w:line="600" w:lineRule="exact"/>
        <w:ind w:firstLine="640" w:firstLineChars="200"/>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（2）立项程序规范性</w:t>
      </w:r>
    </w:p>
    <w:p w14:paraId="025869BC">
      <w:pPr>
        <w:shd w:val="clear"/>
        <w:spacing w:line="600" w:lineRule="exact"/>
        <w:ind w:firstLine="640" w:firstLineChars="200"/>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项目申请、设立过程符合相关要求，</w:t>
      </w:r>
      <w:r>
        <w:rPr>
          <w:rFonts w:hint="eastAsia" w:ascii="仿宋_GB2312" w:hAnsi="仿宋_GB2312" w:eastAsia="仿宋_GB2312" w:cs="仿宋_GB2312"/>
          <w:sz w:val="32"/>
          <w:szCs w:val="32"/>
          <w:lang w:eastAsia="zh-Hans"/>
        </w:rPr>
        <w:t>严格按照审批流程准备符合要求的文件、材料；</w:t>
      </w:r>
      <w:r>
        <w:rPr>
          <w:rFonts w:hint="eastAsia" w:ascii="仿宋_GB2312" w:hAnsi="仿宋_GB2312" w:eastAsia="仿宋_GB2312" w:cs="仿宋_GB2312"/>
          <w:sz w:val="32"/>
          <w:szCs w:val="32"/>
          <w:lang w:val="en-US" w:eastAsia="zh-CN"/>
        </w:rPr>
        <w:t>根据决算依据编制工作计划和经费预算，经过与部门项目分管领导沟通、筛选确定经费预算计划，确定最终预算方案。项目的审批文件、材料符合相关要求，项目事前经过必要的可行性研究、专家论证、集体决策，保障了程序的规范性。</w:t>
      </w:r>
    </w:p>
    <w:p w14:paraId="5BEE84E7">
      <w:pPr>
        <w:pStyle w:val="22"/>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2.绩效目标</w:t>
      </w:r>
    </w:p>
    <w:p w14:paraId="1919BBC3">
      <w:pPr>
        <w:shd w:val="clear"/>
        <w:spacing w:line="600" w:lineRule="exact"/>
        <w:ind w:firstLine="640" w:firstLineChars="200"/>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（1）绩效目标合理性</w:t>
      </w:r>
    </w:p>
    <w:p w14:paraId="0997A560">
      <w:pPr>
        <w:shd w:val="clear"/>
        <w:spacing w:line="600" w:lineRule="exact"/>
        <w:ind w:firstLine="640" w:firstLineChars="200"/>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Hans"/>
        </w:rPr>
        <w:t>年初结合实际工作内容</w:t>
      </w:r>
      <w:r>
        <w:rPr>
          <w:rFonts w:hint="eastAsia" w:ascii="仿宋_GB2312" w:hAnsi="仿宋_GB2312" w:eastAsia="仿宋_GB2312" w:cs="仿宋_GB2312"/>
          <w:sz w:val="32"/>
          <w:szCs w:val="32"/>
          <w:lang w:val="en-US" w:eastAsia="zh-CN"/>
        </w:rPr>
        <w:t>设定绩效目标</w:t>
      </w:r>
      <w:r>
        <w:rPr>
          <w:rFonts w:hint="eastAsia" w:ascii="仿宋_GB2312" w:hAnsi="仿宋_GB2312" w:eastAsia="仿宋_GB2312" w:cs="仿宋_GB2312"/>
          <w:sz w:val="32"/>
          <w:szCs w:val="32"/>
          <w:lang w:val="en-US" w:eastAsia="zh-Hans"/>
        </w:rPr>
        <w:t>，绩效目标</w:t>
      </w:r>
      <w:r>
        <w:rPr>
          <w:rFonts w:hint="eastAsia" w:ascii="仿宋_GB2312" w:hAnsi="仿宋_GB2312" w:eastAsia="仿宋_GB2312" w:cs="仿宋_GB2312"/>
          <w:sz w:val="32"/>
          <w:szCs w:val="32"/>
          <w:lang w:val="en-US" w:eastAsia="zh-CN"/>
        </w:rPr>
        <w:t>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14:paraId="6CCC49B0">
      <w:pPr>
        <w:shd w:val="clear"/>
        <w:spacing w:line="600" w:lineRule="exact"/>
        <w:ind w:firstLine="640" w:firstLineChars="200"/>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（2）绩效指标明确性</w:t>
      </w:r>
    </w:p>
    <w:p w14:paraId="1BCB2DCB">
      <w:pPr>
        <w:shd w:val="clear"/>
        <w:spacing w:line="600" w:lineRule="exact"/>
        <w:ind w:firstLine="640" w:firstLineChars="200"/>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项目设置了明确的预期产出效益和效果，将绩效目标细化分解为具体的绩效指标，绩效目标与项目目标任务数相对应，绩效目标设定的绩效指标清晰、细化、可衡量。</w:t>
      </w:r>
    </w:p>
    <w:p w14:paraId="629839D8">
      <w:pPr>
        <w:pStyle w:val="22"/>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3.资金投入</w:t>
      </w:r>
    </w:p>
    <w:p w14:paraId="66599493">
      <w:pPr>
        <w:shd w:val="clear"/>
        <w:spacing w:line="600" w:lineRule="exact"/>
        <w:ind w:firstLine="640" w:firstLineChars="200"/>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（1）预算编制科学性</w:t>
      </w:r>
    </w:p>
    <w:p w14:paraId="3C5185EA">
      <w:pPr>
        <w:shd w:val="clear"/>
        <w:spacing w:line="600" w:lineRule="exact"/>
        <w:ind w:firstLine="640" w:firstLineChars="200"/>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预算编制经过科学论证，提供充分的测算依据佐证资料，预算内容与项目内容相匹配。项目投资额与工作任务相匹配。</w:t>
      </w:r>
    </w:p>
    <w:p w14:paraId="4020AB8F">
      <w:pPr>
        <w:shd w:val="clear"/>
        <w:spacing w:line="600" w:lineRule="exact"/>
        <w:ind w:firstLine="640" w:firstLineChars="200"/>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（2）资金分配合理性</w:t>
      </w:r>
    </w:p>
    <w:p w14:paraId="5BDDB57C">
      <w:pPr>
        <w:shd w:val="clear"/>
        <w:spacing w:line="600" w:lineRule="exact"/>
        <w:ind w:firstLine="640" w:firstLineChars="200"/>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资金分配额度与项目单位实际工作内容相适应，资金分配额度合理，资金分配依据充分。</w:t>
      </w:r>
    </w:p>
    <w:p w14:paraId="366E33AF">
      <w:pPr>
        <w:pStyle w:val="4"/>
        <w:numPr>
          <w:ilvl w:val="0"/>
          <w:numId w:val="4"/>
        </w:numPr>
        <w:bidi w:val="0"/>
      </w:pPr>
      <w:bookmarkStart w:id="19" w:name="_Toc4841"/>
      <w:r>
        <w:rPr>
          <w:rFonts w:hint="eastAsia"/>
        </w:rPr>
        <w:t>项目过程情况</w:t>
      </w:r>
      <w:bookmarkEnd w:id="19"/>
    </w:p>
    <w:p w14:paraId="4AC3EFFD">
      <w:pPr>
        <w:shd w:val="clear"/>
        <w:spacing w:line="600" w:lineRule="exact"/>
        <w:ind w:firstLine="640" w:firstLineChars="200"/>
        <w:outlineLvl w:val="9"/>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lang w:val="en-US" w:eastAsia="zh-CN"/>
        </w:rPr>
        <w:t>项目过程类指标包括资金管理和组织实施两方面的内容，由</w:t>
      </w:r>
      <w:r>
        <w:rPr>
          <w:rFonts w:hint="eastAsia" w:ascii="仿宋_GB2312" w:hAnsi="仿宋_GB2312" w:eastAsia="仿宋_GB2312" w:cs="仿宋_GB2312"/>
          <w:sz w:val="32"/>
          <w:szCs w:val="32"/>
          <w:highlight w:val="none"/>
          <w:lang w:val="en-US" w:eastAsia="zh-CN"/>
        </w:rPr>
        <w:t>5个</w:t>
      </w:r>
      <w:r>
        <w:rPr>
          <w:rFonts w:hint="eastAsia" w:ascii="仿宋_GB2312" w:hAnsi="仿宋_GB2312" w:eastAsia="仿宋_GB2312" w:cs="仿宋_GB2312"/>
          <w:sz w:val="32"/>
          <w:szCs w:val="32"/>
          <w:lang w:val="en-US" w:eastAsia="zh-CN"/>
        </w:rPr>
        <w:t>三级指标构成，权重分值为20分，</w:t>
      </w:r>
      <w:r>
        <w:rPr>
          <w:rFonts w:hint="eastAsia" w:ascii="仿宋_GB2312" w:hAnsi="仿宋_GB2312" w:eastAsia="仿宋_GB2312" w:cs="仿宋_GB2312"/>
          <w:sz w:val="32"/>
          <w:szCs w:val="32"/>
          <w:highlight w:val="none"/>
          <w:lang w:val="en-US" w:eastAsia="zh-CN"/>
        </w:rPr>
        <w:t>实际得分19.644分，得分率为98.22%。</w:t>
      </w:r>
    </w:p>
    <w:p w14:paraId="579F917C">
      <w:pPr>
        <w:shd w:val="clear"/>
        <w:spacing w:line="600" w:lineRule="exact"/>
        <w:ind w:firstLine="640" w:firstLineChars="200"/>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项目资金使用符合相关的财务管理制度规定，能够反映和考核项目资金的规范运行情况；项目实施单位的财务和业务管理制度健全，能够反映和考核财务和业务管理制度对项目顺利实施的保障情况。</w:t>
      </w:r>
    </w:p>
    <w:p w14:paraId="53626EA9">
      <w:pPr>
        <w:pStyle w:val="22"/>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1.资金管理</w:t>
      </w:r>
    </w:p>
    <w:p w14:paraId="314D30B9">
      <w:pPr>
        <w:shd w:val="clear"/>
        <w:spacing w:line="600" w:lineRule="exact"/>
        <w:ind w:firstLine="640" w:firstLineChars="200"/>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（1）资金到位率</w:t>
      </w:r>
    </w:p>
    <w:p w14:paraId="154BB742">
      <w:pPr>
        <w:shd w:val="clear"/>
        <w:spacing w:line="600" w:lineRule="exact"/>
        <w:ind w:firstLine="640" w:firstLineChars="200"/>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本项目</w:t>
      </w:r>
      <w:r>
        <w:rPr>
          <w:rFonts w:hint="eastAsia" w:ascii="仿宋_GB2312" w:hAnsi="仿宋_GB2312" w:eastAsia="仿宋_GB2312" w:cs="仿宋_GB2312"/>
          <w:sz w:val="32"/>
          <w:szCs w:val="32"/>
          <w:highlight w:val="none"/>
          <w:lang w:val="en-US" w:eastAsia="zh-CN"/>
        </w:rPr>
        <w:t>总投资500万元，财政资金及时足额到位，到位率100%，</w:t>
      </w:r>
      <w:r>
        <w:rPr>
          <w:rFonts w:hint="eastAsia" w:ascii="仿宋_GB2312" w:hAnsi="仿宋_GB2312" w:eastAsia="仿宋_GB2312" w:cs="仿宋_GB2312"/>
          <w:sz w:val="32"/>
          <w:szCs w:val="32"/>
          <w:lang w:val="en-US" w:eastAsia="zh-CN"/>
        </w:rPr>
        <w:t>预算资金按计划进度执行。</w:t>
      </w:r>
    </w:p>
    <w:p w14:paraId="4F66705D">
      <w:pPr>
        <w:shd w:val="clear"/>
        <w:spacing w:line="600" w:lineRule="exact"/>
        <w:ind w:firstLine="640" w:firstLineChars="200"/>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（2）预算执行率</w:t>
      </w:r>
    </w:p>
    <w:p w14:paraId="68B06FAB">
      <w:pPr>
        <w:shd w:val="clear"/>
        <w:spacing w:line="600" w:lineRule="exact"/>
        <w:ind w:firstLine="640" w:firstLineChars="200"/>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预算编制较为详细，项目资金支出总体能够按照预算执行，预算资金支出455.51万元，预算执行率为91.10%。</w:t>
      </w:r>
    </w:p>
    <w:p w14:paraId="33928956">
      <w:pPr>
        <w:shd w:val="clear"/>
        <w:spacing w:line="600" w:lineRule="exact"/>
        <w:ind w:firstLine="640" w:firstLineChars="200"/>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（3）资金使用合规性</w:t>
      </w:r>
    </w:p>
    <w:p w14:paraId="2499E6BB">
      <w:pPr>
        <w:shd w:val="clear"/>
        <w:spacing w:line="600" w:lineRule="exact"/>
        <w:ind w:firstLine="640" w:firstLineChars="200"/>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严格按照预期绩效目标执行预算资金。制定了相关的制度和管理规定，对项目经费使用进行规范管理，财务制度健全、执行严格。资金的拨付有完整的审批程序和手续，在项目资金拨付和使用过程中，为确保项目资金的安全性，提高项目资金使用效率，严格遵循项目资金的拨付程序，认真审核项目实施各阶段的相关材料和手续，根据项目实施进展情况拨付资金。资金使用符合该项目的立项批复。资金不存在截留、挤占、挪用、虚列支出等情况。</w:t>
      </w:r>
    </w:p>
    <w:p w14:paraId="26738B31">
      <w:pPr>
        <w:pStyle w:val="22"/>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2.组织实施</w:t>
      </w:r>
    </w:p>
    <w:p w14:paraId="579E30E8">
      <w:pPr>
        <w:shd w:val="clear"/>
        <w:spacing w:line="600" w:lineRule="exact"/>
        <w:ind w:firstLine="640" w:firstLineChars="200"/>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（1）管理制度健全性</w:t>
      </w:r>
    </w:p>
    <w:p w14:paraId="5841BE30">
      <w:pPr>
        <w:shd w:val="clear"/>
        <w:spacing w:line="600" w:lineRule="exact"/>
        <w:ind w:firstLine="640" w:firstLineChars="200"/>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制定了相关管理办法，对财政资金进行严格管理，做到专款专用，项目资金使用符合相关的财务管理制度规定，能够反映和考核项目资金的规范运行情况；项目实施单位的财务和业务管理制度健全，能够反映和考核财务和业务管理制度对项目顺利实施的保障情况。</w:t>
      </w:r>
    </w:p>
    <w:p w14:paraId="46F18BFE">
      <w:pPr>
        <w:shd w:val="clear"/>
        <w:spacing w:line="600" w:lineRule="exact"/>
        <w:ind w:firstLine="640" w:firstLineChars="200"/>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（2）制度执行有效性</w:t>
      </w:r>
    </w:p>
    <w:p w14:paraId="53275578">
      <w:pPr>
        <w:shd w:val="clear"/>
        <w:spacing w:line="600" w:lineRule="exact"/>
        <w:ind w:firstLine="640" w:firstLineChars="200"/>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对资金使用的合法合规性进行监督，年末对资金使用效果进行评价。项目管理、实施人员落实到位，有效按照计划执行。项目执行情况等资料齐全，项目相关手续完备，及时进行归档。</w:t>
      </w:r>
    </w:p>
    <w:p w14:paraId="65728304">
      <w:pPr>
        <w:pStyle w:val="4"/>
        <w:numPr>
          <w:ilvl w:val="0"/>
          <w:numId w:val="4"/>
        </w:numPr>
        <w:bidi w:val="0"/>
      </w:pPr>
      <w:bookmarkStart w:id="20" w:name="_Toc5237"/>
      <w:r>
        <w:t>项目产出</w:t>
      </w:r>
      <w:r>
        <w:rPr>
          <w:rFonts w:hint="eastAsia"/>
          <w:lang w:val="en-US" w:eastAsia="zh-CN"/>
        </w:rPr>
        <w:t>情况</w:t>
      </w:r>
      <w:bookmarkEnd w:id="20"/>
    </w:p>
    <w:p w14:paraId="23727455">
      <w:pPr>
        <w:keepNext w:val="0"/>
        <w:keepLines w:val="0"/>
        <w:pageBreakBefore w:val="0"/>
        <w:shd w:val="clear"/>
        <w:kinsoku/>
        <w:wordWrap/>
        <w:overflowPunct/>
        <w:topLinePunct w:val="0"/>
        <w:autoSpaceDE/>
        <w:autoSpaceDN/>
        <w:bidi w:val="0"/>
        <w:adjustRightInd/>
        <w:snapToGrid/>
        <w:spacing w:line="600" w:lineRule="exact"/>
        <w:ind w:firstLine="640" w:firstLineChars="200"/>
        <w:textAlignment w:val="auto"/>
        <w:outlineLvl w:val="9"/>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项目产出类指标包括产出数量、产出质量、产出时效、产出成本四方面的内容，由</w:t>
      </w:r>
      <w:r>
        <w:rPr>
          <w:rFonts w:hint="eastAsia" w:ascii="仿宋_GB2312" w:hAnsi="仿宋_GB2312" w:eastAsia="仿宋_GB2312" w:cs="仿宋_GB2312"/>
          <w:sz w:val="32"/>
          <w:szCs w:val="32"/>
          <w:highlight w:val="none"/>
          <w:lang w:val="en-US" w:eastAsia="zh-CN"/>
        </w:rPr>
        <w:t>9个三级指标构成，权重分为40分，实际得分38.75分，得分率为96.875%。具体产出指</w:t>
      </w:r>
      <w:r>
        <w:rPr>
          <w:rFonts w:hint="eastAsia" w:ascii="仿宋_GB2312" w:hAnsi="仿宋_GB2312" w:eastAsia="仿宋_GB2312" w:cs="仿宋_GB2312"/>
          <w:sz w:val="32"/>
          <w:szCs w:val="32"/>
          <w:lang w:val="en-US" w:eastAsia="zh-CN"/>
        </w:rPr>
        <w:t>标完成情况如下：</w:t>
      </w:r>
    </w:p>
    <w:p w14:paraId="1AC4F67C">
      <w:pPr>
        <w:keepNext w:val="0"/>
        <w:keepLines w:val="0"/>
        <w:pageBreakBefore w:val="0"/>
        <w:shd w:val="clear"/>
        <w:kinsoku/>
        <w:wordWrap/>
        <w:overflowPunct/>
        <w:topLinePunct w:val="0"/>
        <w:autoSpaceDE/>
        <w:autoSpaceDN/>
        <w:bidi w:val="0"/>
        <w:adjustRightInd/>
        <w:snapToGrid/>
        <w:spacing w:line="600" w:lineRule="exact"/>
        <w:ind w:firstLine="640" w:firstLineChars="200"/>
        <w:textAlignment w:val="auto"/>
        <w:outlineLvl w:val="9"/>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 1 \* GB3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①</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t>数量指标：</w:t>
      </w:r>
    </w:p>
    <w:p w14:paraId="2D098809">
      <w:pPr>
        <w:keepNext w:val="0"/>
        <w:keepLines w:val="0"/>
        <w:pageBreakBefore w:val="0"/>
        <w:kinsoku/>
        <w:wordWrap/>
        <w:overflowPunct/>
        <w:topLinePunct w:val="0"/>
        <w:autoSpaceDE/>
        <w:autoSpaceDN/>
        <w:bidi w:val="0"/>
        <w:adjustRightInd/>
        <w:snapToGrid/>
        <w:spacing w:line="600" w:lineRule="exact"/>
        <w:ind w:firstLine="640" w:firstLineChars="20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highlight w:val="none"/>
        </w:rPr>
        <w:t>指标1：</w:t>
      </w:r>
      <w:r>
        <w:rPr>
          <w:rFonts w:hint="eastAsia" w:ascii="仿宋_GB2312" w:hAnsi="仿宋_GB2312" w:eastAsia="仿宋_GB2312" w:cs="仿宋_GB2312"/>
          <w:sz w:val="32"/>
          <w:szCs w:val="32"/>
        </w:rPr>
        <w:t>新增基地数量</w:t>
      </w:r>
      <w:r>
        <w:rPr>
          <w:rFonts w:hint="eastAsia" w:ascii="仿宋_GB2312" w:hAnsi="仿宋_GB2312" w:eastAsia="仿宋_GB2312" w:cs="仿宋_GB2312"/>
          <w:sz w:val="32"/>
          <w:szCs w:val="32"/>
          <w:highlight w:val="none"/>
        </w:rPr>
        <w:t>，指标值：</w:t>
      </w:r>
      <w:r>
        <w:rPr>
          <w:rFonts w:hint="eastAsia" w:ascii="仿宋_GB2312" w:hAnsi="仿宋_GB2312" w:eastAsia="仿宋_GB2312" w:cs="仿宋_GB2312"/>
          <w:sz w:val="32"/>
          <w:szCs w:val="32"/>
        </w:rPr>
        <w:t>2个</w:t>
      </w:r>
      <w:r>
        <w:rPr>
          <w:rFonts w:hint="eastAsia" w:ascii="仿宋_GB2312" w:hAnsi="仿宋_GB2312" w:eastAsia="仿宋_GB2312" w:cs="仿宋_GB2312"/>
          <w:sz w:val="32"/>
          <w:szCs w:val="32"/>
          <w:highlight w:val="none"/>
        </w:rPr>
        <w:t>，实际完成值：</w:t>
      </w:r>
      <w:r>
        <w:rPr>
          <w:rFonts w:hint="eastAsia" w:ascii="仿宋_GB2312" w:hAnsi="仿宋_GB2312" w:eastAsia="仿宋_GB2312" w:cs="仿宋_GB2312"/>
          <w:sz w:val="32"/>
          <w:szCs w:val="32"/>
          <w:highlight w:val="none"/>
          <w:lang w:val="en-US" w:eastAsia="zh-CN"/>
        </w:rPr>
        <w:t>1.75个</w:t>
      </w:r>
      <w:r>
        <w:rPr>
          <w:rFonts w:hint="eastAsia" w:ascii="仿宋_GB2312" w:hAnsi="仿宋_GB2312" w:eastAsia="仿宋_GB2312" w:cs="仿宋_GB2312"/>
          <w:sz w:val="32"/>
          <w:szCs w:val="32"/>
          <w:highlight w:val="none"/>
        </w:rPr>
        <w:t>，指标完成率</w:t>
      </w:r>
      <w:r>
        <w:rPr>
          <w:rFonts w:hint="eastAsia" w:ascii="仿宋_GB2312" w:hAnsi="仿宋_GB2312" w:eastAsia="仿宋_GB2312" w:cs="仿宋_GB2312"/>
          <w:sz w:val="32"/>
          <w:szCs w:val="32"/>
        </w:rPr>
        <w:t>87.5</w:t>
      </w:r>
      <w:r>
        <w:rPr>
          <w:rFonts w:hint="eastAsia" w:ascii="仿宋_GB2312" w:hAnsi="仿宋_GB2312" w:eastAsia="仿宋_GB2312" w:cs="仿宋_GB2312"/>
          <w:sz w:val="32"/>
          <w:szCs w:val="32"/>
          <w:highlight w:val="none"/>
        </w:rPr>
        <w:t xml:space="preserve"> %</w:t>
      </w:r>
      <w:r>
        <w:rPr>
          <w:rFonts w:hint="eastAsia" w:ascii="仿宋_GB2312" w:hAnsi="仿宋_GB2312" w:eastAsia="仿宋_GB2312" w:cs="仿宋_GB2312"/>
          <w:sz w:val="32"/>
          <w:szCs w:val="32"/>
          <w:highlight w:val="none"/>
          <w:lang w:eastAsia="zh-CN"/>
        </w:rPr>
        <w:t>，偏差原因：</w:t>
      </w:r>
      <w:r>
        <w:rPr>
          <w:rFonts w:hint="eastAsia" w:ascii="仿宋_GB2312" w:hAnsi="仿宋_GB2312" w:eastAsia="仿宋_GB2312" w:cs="仿宋_GB2312"/>
          <w:sz w:val="32"/>
          <w:szCs w:val="32"/>
        </w:rPr>
        <w:t>目前该项目两个子项目，其中建筑模型设计与制作（BIM施工技术）实训室基础设施已全部建成并投入教学使用；机电产品检测技术应用（焊接无损检测）实训室设备购置工作均已完成，因受教学楼项目建设滞后制约，部分设备放置在库房，部分设备已投入教学实训中。</w:t>
      </w:r>
    </w:p>
    <w:p w14:paraId="3A910D6D">
      <w:pPr>
        <w:bidi w:val="0"/>
      </w:pPr>
      <w:r>
        <w:rPr>
          <w:rFonts w:hint="eastAsia"/>
        </w:rPr>
        <w:t>指标2：新增教学设备数量</w:t>
      </w:r>
      <w:r>
        <w:rPr>
          <w:rFonts w:hint="eastAsia"/>
          <w:lang w:eastAsia="zh-CN"/>
        </w:rPr>
        <w:t>，</w:t>
      </w:r>
      <w:r>
        <w:rPr>
          <w:rFonts w:hint="eastAsia"/>
        </w:rPr>
        <w:t>指标值</w:t>
      </w:r>
      <w:r>
        <w:rPr>
          <w:rFonts w:hint="eastAsia"/>
          <w:lang w:eastAsia="zh-CN"/>
        </w:rPr>
        <w:t>：</w:t>
      </w:r>
      <w:r>
        <w:rPr>
          <w:rFonts w:hint="eastAsia"/>
        </w:rPr>
        <w:t>&gt;=295台，</w:t>
      </w:r>
      <w:r>
        <w:rPr>
          <w:rFonts w:hint="eastAsia"/>
          <w:lang w:eastAsia="zh-CN"/>
        </w:rPr>
        <w:t>实际</w:t>
      </w:r>
      <w:r>
        <w:rPr>
          <w:rFonts w:hint="eastAsia"/>
        </w:rPr>
        <w:t>完成</w:t>
      </w:r>
      <w:r>
        <w:rPr>
          <w:rFonts w:hint="eastAsia"/>
          <w:lang w:eastAsia="zh-CN"/>
        </w:rPr>
        <w:t>值：</w:t>
      </w:r>
      <w:r>
        <w:rPr>
          <w:rFonts w:hint="eastAsia"/>
        </w:rPr>
        <w:t>295台，</w:t>
      </w:r>
      <w:r>
        <w:rPr>
          <w:rFonts w:hint="eastAsia"/>
          <w:lang w:eastAsia="zh-CN"/>
        </w:rPr>
        <w:t>指标</w:t>
      </w:r>
      <w:r>
        <w:rPr>
          <w:rFonts w:hint="eastAsia"/>
        </w:rPr>
        <w:t>完成率100%。</w:t>
      </w:r>
    </w:p>
    <w:p w14:paraId="2AFE46DE">
      <w:pPr>
        <w:bidi w:val="0"/>
        <w:rPr>
          <w:rFonts w:hint="eastAsia" w:ascii="仿宋_GB2312" w:hAnsi="仿宋_GB2312" w:eastAsia="仿宋_GB2312" w:cs="仿宋_GB2312"/>
          <w:b w:val="0"/>
          <w:bCs w:val="0"/>
          <w:kern w:val="2"/>
          <w:szCs w:val="32"/>
          <w:lang w:val="en-US" w:eastAsia="zh-CN" w:bidi="ar-SA"/>
        </w:rPr>
      </w:pPr>
      <w:r>
        <w:rPr>
          <w:rFonts w:hint="eastAsia"/>
          <w:lang w:val="en-US" w:eastAsia="zh-CN"/>
        </w:rPr>
        <w:t>指标3：教师参加培训人次，指标值：&gt;=1</w:t>
      </w:r>
      <w:r>
        <w:rPr>
          <w:rFonts w:hint="eastAsia" w:ascii="仿宋_GB2312" w:hAnsi="仿宋_GB2312" w:eastAsia="仿宋_GB2312" w:cs="仿宋_GB2312"/>
          <w:b w:val="0"/>
          <w:bCs w:val="0"/>
          <w:kern w:val="2"/>
          <w:szCs w:val="32"/>
          <w:lang w:val="en-US" w:eastAsia="zh-CN" w:bidi="ar-SA"/>
        </w:rPr>
        <w:t>0人次，实际完成值：=10人次，指标完成率100%。</w:t>
      </w:r>
    </w:p>
    <w:p w14:paraId="5501AFA9">
      <w:pPr>
        <w:keepNext w:val="0"/>
        <w:keepLines w:val="0"/>
        <w:pageBreakBefore w:val="0"/>
        <w:shd w:val="clear"/>
        <w:kinsoku/>
        <w:wordWrap/>
        <w:overflowPunct/>
        <w:topLinePunct w:val="0"/>
        <w:autoSpaceDE/>
        <w:autoSpaceDN/>
        <w:bidi w:val="0"/>
        <w:adjustRightInd/>
        <w:snapToGrid/>
        <w:spacing w:line="600" w:lineRule="exact"/>
        <w:ind w:firstLine="640" w:firstLineChars="200"/>
        <w:textAlignment w:val="auto"/>
        <w:outlineLvl w:val="9"/>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 2 \* GB3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②</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t>质量指标：</w:t>
      </w:r>
    </w:p>
    <w:p w14:paraId="7D95C968">
      <w:pPr>
        <w:keepNext w:val="0"/>
        <w:keepLines w:val="0"/>
        <w:pageBreakBefore w:val="0"/>
        <w:shd w:val="clear"/>
        <w:kinsoku/>
        <w:wordWrap/>
        <w:overflowPunct/>
        <w:topLinePunct w:val="0"/>
        <w:autoSpaceDE/>
        <w:autoSpaceDN/>
        <w:bidi w:val="0"/>
        <w:adjustRightInd/>
        <w:snapToGrid/>
        <w:spacing w:line="600" w:lineRule="exact"/>
        <w:ind w:firstLine="640" w:firstLineChars="200"/>
        <w:textAlignment w:val="auto"/>
        <w:outlineLvl w:val="9"/>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指标1：</w:t>
      </w:r>
      <w:r>
        <w:rPr>
          <w:rStyle w:val="21"/>
          <w:rFonts w:hint="eastAsia" w:cs="Times New Roman"/>
          <w:color w:val="auto"/>
        </w:rPr>
        <w:t>政府采购</w:t>
      </w:r>
      <w:r>
        <w:rPr>
          <w:rStyle w:val="21"/>
          <w:rFonts w:hint="eastAsia" w:eastAsia="仿宋_GB2312" w:cs="Times New Roman"/>
          <w:color w:val="auto"/>
          <w:lang w:eastAsia="zh-CN"/>
        </w:rPr>
        <w:t>率</w:t>
      </w:r>
      <w:r>
        <w:rPr>
          <w:rFonts w:hint="eastAsia" w:ascii="仿宋_GB2312" w:hAnsi="仿宋_GB2312" w:eastAsia="仿宋_GB2312" w:cs="仿宋_GB2312"/>
          <w:sz w:val="32"/>
          <w:szCs w:val="32"/>
          <w:highlight w:val="none"/>
        </w:rPr>
        <w:t>，指标值：</w:t>
      </w:r>
      <w:r>
        <w:rPr>
          <w:rFonts w:hint="eastAsia" w:ascii="仿宋_GB2312" w:hAnsi="仿宋_GB2312" w:eastAsia="仿宋_GB2312" w:cs="仿宋_GB2312"/>
          <w:sz w:val="32"/>
          <w:szCs w:val="32"/>
        </w:rPr>
        <w:t>&gt;=90%</w:t>
      </w:r>
      <w:r>
        <w:rPr>
          <w:rFonts w:hint="eastAsia" w:ascii="仿宋_GB2312" w:hAnsi="仿宋_GB2312" w:eastAsia="仿宋_GB2312" w:cs="仿宋_GB2312"/>
          <w:sz w:val="32"/>
          <w:szCs w:val="32"/>
          <w:highlight w:val="none"/>
        </w:rPr>
        <w:t>，实际完成值：</w:t>
      </w:r>
      <w:r>
        <w:rPr>
          <w:rFonts w:hint="eastAsia" w:ascii="仿宋_GB2312" w:hAnsi="仿宋_GB2312" w:eastAsia="仿宋_GB2312" w:cs="仿宋_GB2312"/>
          <w:sz w:val="32"/>
          <w:szCs w:val="32"/>
        </w:rPr>
        <w:t>93.81%</w:t>
      </w:r>
      <w:r>
        <w:rPr>
          <w:rFonts w:hint="eastAsia" w:ascii="仿宋_GB2312" w:hAnsi="仿宋_GB2312" w:eastAsia="仿宋_GB2312" w:cs="仿宋_GB2312"/>
          <w:sz w:val="32"/>
          <w:szCs w:val="32"/>
          <w:highlight w:val="none"/>
        </w:rPr>
        <w:t>，指标完成率</w:t>
      </w:r>
      <w:r>
        <w:rPr>
          <w:rFonts w:hint="eastAsia"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eastAsia="zh-CN"/>
        </w:rPr>
        <w:t>。</w:t>
      </w:r>
    </w:p>
    <w:p w14:paraId="6F968F56">
      <w:pPr>
        <w:keepNext w:val="0"/>
        <w:keepLines w:val="0"/>
        <w:pageBreakBefore w:val="0"/>
        <w:shd w:val="clear"/>
        <w:kinsoku/>
        <w:wordWrap/>
        <w:overflowPunct/>
        <w:topLinePunct w:val="0"/>
        <w:autoSpaceDE/>
        <w:autoSpaceDN/>
        <w:bidi w:val="0"/>
        <w:adjustRightInd/>
        <w:snapToGrid/>
        <w:spacing w:line="600" w:lineRule="exact"/>
        <w:ind w:firstLine="640" w:firstLineChars="200"/>
        <w:textAlignment w:val="auto"/>
        <w:outlineLvl w:val="9"/>
        <w:rPr>
          <w:rFonts w:hint="default" w:ascii="仿宋_GB2312" w:hAnsi="仿宋_GB2312" w:eastAsia="仿宋_GB2312" w:cs="仿宋_GB2312"/>
          <w:sz w:val="32"/>
          <w:szCs w:val="32"/>
          <w:highlight w:val="none"/>
          <w:lang w:val="en-US" w:eastAsia="zh-CN"/>
        </w:rPr>
      </w:pPr>
      <w:r>
        <w:rPr>
          <w:rStyle w:val="21"/>
          <w:rFonts w:hint="eastAsia" w:cs="Times New Roman"/>
          <w:color w:val="auto"/>
        </w:rPr>
        <w:t>指标</w:t>
      </w:r>
      <w:r>
        <w:rPr>
          <w:rStyle w:val="21"/>
          <w:rFonts w:hint="eastAsia" w:cs="Times New Roman"/>
          <w:color w:val="auto"/>
          <w:lang w:val="en-US" w:eastAsia="zh-CN"/>
        </w:rPr>
        <w:t>2</w:t>
      </w:r>
      <w:r>
        <w:rPr>
          <w:rStyle w:val="21"/>
          <w:rFonts w:hint="eastAsia" w:cs="Times New Roman"/>
          <w:color w:val="auto"/>
        </w:rPr>
        <w:t>：购置教学设备质量达标率，指标值：=100%，实际完成值：100%，指标完成率</w:t>
      </w:r>
      <w:r>
        <w:rPr>
          <w:rStyle w:val="21"/>
          <w:rFonts w:hint="eastAsia" w:cs="Times New Roman"/>
          <w:color w:val="auto"/>
          <w:lang w:val="en-US" w:eastAsia="zh-CN"/>
        </w:rPr>
        <w:t>100</w:t>
      </w:r>
      <w:r>
        <w:rPr>
          <w:rStyle w:val="21"/>
          <w:rFonts w:hint="eastAsia" w:cs="Times New Roman"/>
          <w:color w:val="auto"/>
        </w:rPr>
        <w:t>%</w:t>
      </w:r>
      <w:r>
        <w:rPr>
          <w:rStyle w:val="21"/>
          <w:rFonts w:hint="eastAsia" w:cs="Times New Roman"/>
          <w:color w:val="auto"/>
          <w:lang w:eastAsia="zh-CN"/>
        </w:rPr>
        <w:t>。</w:t>
      </w:r>
    </w:p>
    <w:p w14:paraId="13DE9A38">
      <w:pPr>
        <w:keepNext w:val="0"/>
        <w:keepLines w:val="0"/>
        <w:pageBreakBefore w:val="0"/>
        <w:shd w:val="clear"/>
        <w:kinsoku/>
        <w:wordWrap/>
        <w:overflowPunct/>
        <w:topLinePunct w:val="0"/>
        <w:autoSpaceDE/>
        <w:autoSpaceDN/>
        <w:bidi w:val="0"/>
        <w:adjustRightInd/>
        <w:snapToGrid/>
        <w:spacing w:line="600" w:lineRule="exact"/>
        <w:ind w:firstLine="640" w:firstLineChars="200"/>
        <w:textAlignment w:val="auto"/>
        <w:outlineLvl w:val="9"/>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 3 \* GB3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③</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t>时效指标：</w:t>
      </w:r>
    </w:p>
    <w:p w14:paraId="53002E0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指标1：设备购置完成及时率，指标值</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&gt;=90%，实际完成值</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100%，</w:t>
      </w:r>
      <w:r>
        <w:rPr>
          <w:rFonts w:hint="eastAsia" w:ascii="仿宋_GB2312" w:hAnsi="仿宋_GB2312" w:eastAsia="仿宋_GB2312" w:cs="仿宋_GB2312"/>
          <w:sz w:val="32"/>
          <w:szCs w:val="32"/>
          <w:lang w:eastAsia="zh-CN"/>
        </w:rPr>
        <w:t>指标</w:t>
      </w:r>
      <w:r>
        <w:rPr>
          <w:rFonts w:hint="eastAsia" w:ascii="仿宋_GB2312" w:hAnsi="仿宋_GB2312" w:eastAsia="仿宋_GB2312" w:cs="仿宋_GB2312"/>
          <w:sz w:val="32"/>
          <w:szCs w:val="32"/>
        </w:rPr>
        <w:t>完成率100%。</w:t>
      </w:r>
    </w:p>
    <w:p w14:paraId="6B696C1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指标</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项目按时完成率，指标值</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&gt;=90%，实际完成值</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100%，</w:t>
      </w:r>
      <w:r>
        <w:rPr>
          <w:rFonts w:hint="eastAsia" w:ascii="仿宋_GB2312" w:hAnsi="仿宋_GB2312" w:eastAsia="仿宋_GB2312" w:cs="仿宋_GB2312"/>
          <w:sz w:val="32"/>
          <w:szCs w:val="32"/>
          <w:lang w:eastAsia="zh-CN"/>
        </w:rPr>
        <w:t>指标</w:t>
      </w:r>
      <w:r>
        <w:rPr>
          <w:rFonts w:hint="eastAsia" w:ascii="仿宋_GB2312" w:hAnsi="仿宋_GB2312" w:eastAsia="仿宋_GB2312" w:cs="仿宋_GB2312"/>
          <w:sz w:val="32"/>
          <w:szCs w:val="32"/>
        </w:rPr>
        <w:t>完成率100%。</w:t>
      </w:r>
    </w:p>
    <w:p w14:paraId="6CCBF98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 4 \* GB3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④</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t>成本指标：</w:t>
      </w:r>
    </w:p>
    <w:p w14:paraId="25C22C0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指标1：培训支出人均成本，指标值</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＜=2万元，实际</w:t>
      </w:r>
      <w:r>
        <w:rPr>
          <w:rFonts w:hint="eastAsia" w:ascii="仿宋_GB2312" w:hAnsi="仿宋_GB2312" w:eastAsia="仿宋_GB2312" w:cs="仿宋_GB2312"/>
          <w:sz w:val="32"/>
          <w:szCs w:val="32"/>
          <w:lang w:eastAsia="zh-CN"/>
        </w:rPr>
        <w:t>完成值：</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1.88</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指标</w:t>
      </w:r>
      <w:r>
        <w:rPr>
          <w:rFonts w:hint="eastAsia" w:ascii="仿宋_GB2312" w:hAnsi="仿宋_GB2312" w:eastAsia="仿宋_GB2312" w:cs="仿宋_GB2312"/>
          <w:sz w:val="32"/>
          <w:szCs w:val="32"/>
        </w:rPr>
        <w:t>完成率100%。</w:t>
      </w:r>
    </w:p>
    <w:p w14:paraId="0165F3C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指标</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设备采购成本控制数，指标值</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＜=467万元，实际</w:t>
      </w:r>
      <w:r>
        <w:rPr>
          <w:rFonts w:hint="eastAsia" w:ascii="仿宋_GB2312" w:hAnsi="仿宋_GB2312" w:eastAsia="仿宋_GB2312" w:cs="仿宋_GB2312"/>
          <w:sz w:val="32"/>
          <w:szCs w:val="32"/>
          <w:lang w:eastAsia="zh-CN"/>
        </w:rPr>
        <w:t>完成</w:t>
      </w:r>
      <w:r>
        <w:rPr>
          <w:rFonts w:hint="eastAsia" w:ascii="仿宋_GB2312" w:hAnsi="仿宋_GB2312" w:eastAsia="仿宋_GB2312" w:cs="仿宋_GB2312"/>
          <w:sz w:val="32"/>
          <w:szCs w:val="32"/>
        </w:rPr>
        <w:t>值</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419.30万元，</w:t>
      </w:r>
      <w:r>
        <w:rPr>
          <w:rFonts w:hint="eastAsia" w:ascii="仿宋_GB2312" w:hAnsi="仿宋_GB2312" w:eastAsia="仿宋_GB2312" w:cs="仿宋_GB2312"/>
          <w:sz w:val="32"/>
          <w:szCs w:val="32"/>
          <w:lang w:eastAsia="zh-CN"/>
        </w:rPr>
        <w:t>指标</w:t>
      </w:r>
      <w:r>
        <w:rPr>
          <w:rFonts w:hint="eastAsia" w:ascii="仿宋_GB2312" w:hAnsi="仿宋_GB2312" w:eastAsia="仿宋_GB2312" w:cs="仿宋_GB2312"/>
          <w:sz w:val="32"/>
          <w:szCs w:val="32"/>
        </w:rPr>
        <w:t>完成率100%。</w:t>
      </w:r>
    </w:p>
    <w:p w14:paraId="07FDE74B">
      <w:pPr>
        <w:pStyle w:val="4"/>
        <w:numPr>
          <w:ilvl w:val="0"/>
          <w:numId w:val="4"/>
        </w:numPr>
        <w:bidi w:val="0"/>
        <w:rPr>
          <w:rFonts w:hint="eastAsia"/>
          <w:lang w:val="en-US" w:eastAsia="zh-CN"/>
        </w:rPr>
      </w:pPr>
      <w:bookmarkStart w:id="21" w:name="_Toc22794"/>
      <w:r>
        <w:rPr>
          <w:rFonts w:hint="eastAsia"/>
          <w:lang w:val="en-US" w:eastAsia="zh-CN"/>
        </w:rPr>
        <w:t>项目效益情况</w:t>
      </w:r>
      <w:bookmarkEnd w:id="21"/>
    </w:p>
    <w:p w14:paraId="76E5027C">
      <w:pPr>
        <w:shd w:val="clear"/>
        <w:spacing w:line="600" w:lineRule="exact"/>
        <w:ind w:firstLine="640" w:firstLineChars="200"/>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项目效益类指标包括项目实施效益和满意度两方面的内容，由6个三级指标构成，权重分为20分，实际得分14.722分，得分率为73.61%。具体效益指标及满意度指标完成情况如下：</w:t>
      </w:r>
    </w:p>
    <w:p w14:paraId="3F8C7698">
      <w:pPr>
        <w:shd w:val="clear"/>
        <w:spacing w:line="600" w:lineRule="exact"/>
        <w:ind w:firstLine="640" w:firstLineChars="200"/>
        <w:outlineLvl w:val="9"/>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1.实施效益</w:t>
      </w:r>
    </w:p>
    <w:p w14:paraId="7566B6F6">
      <w:pPr>
        <w:shd w:val="clear"/>
        <w:spacing w:line="600" w:lineRule="exact"/>
        <w:ind w:firstLine="640" w:firstLineChars="200"/>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highlight w:val="none"/>
          <w:lang w:val="en-US" w:eastAsia="zh-CN"/>
        </w:rPr>
        <w:t>①</w:t>
      </w:r>
      <w:r>
        <w:rPr>
          <w:rFonts w:hint="eastAsia" w:ascii="仿宋_GB2312" w:hAnsi="仿宋_GB2312" w:eastAsia="仿宋_GB2312" w:cs="仿宋_GB2312"/>
          <w:sz w:val="32"/>
          <w:szCs w:val="32"/>
          <w:highlight w:val="none"/>
        </w:rPr>
        <w:t>经济</w:t>
      </w:r>
      <w:r>
        <w:rPr>
          <w:rFonts w:hint="eastAsia" w:ascii="仿宋_GB2312" w:hAnsi="仿宋_GB2312" w:eastAsia="仿宋_GB2312" w:cs="仿宋_GB2312"/>
          <w:sz w:val="32"/>
          <w:szCs w:val="32"/>
          <w:lang w:val="en-US" w:eastAsia="zh-CN"/>
        </w:rPr>
        <w:t>效益指标：</w:t>
      </w:r>
    </w:p>
    <w:p w14:paraId="5555AB7D">
      <w:pPr>
        <w:shd w:val="clear"/>
        <w:spacing w:line="600" w:lineRule="exact"/>
        <w:ind w:firstLine="640" w:firstLineChars="200"/>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设备利用率，指标值：&gt;=90%，实际完成值：85%，指标完成率94.44%，偏差率5.56%，偏差原因是目前该项目两个子项目，其中建筑模型设计与制作（BIM施工技术）实训室基础设施已全部建成并投入教学使用；机电产品检测技术应用（焊接无损检测）实训室设备购置工作均已完成，因受教学楼项目建设滞后制约，部分设备放置在库房，部分设备已投入教学实训中。</w:t>
      </w:r>
    </w:p>
    <w:p w14:paraId="5E3F303B">
      <w:pPr>
        <w:shd w:val="clear"/>
        <w:spacing w:line="600" w:lineRule="exact"/>
        <w:ind w:firstLine="640" w:firstLineChars="200"/>
        <w:outlineLvl w:val="9"/>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②</w:t>
      </w:r>
      <w:r>
        <w:rPr>
          <w:rFonts w:hint="eastAsia" w:ascii="仿宋_GB2312" w:hAnsi="仿宋_GB2312" w:eastAsia="仿宋_GB2312" w:cs="仿宋_GB2312"/>
          <w:sz w:val="32"/>
          <w:szCs w:val="32"/>
          <w:highlight w:val="none"/>
        </w:rPr>
        <w:t>社会效益指标：</w:t>
      </w:r>
    </w:p>
    <w:p w14:paraId="1BD21FAA">
      <w:pPr>
        <w:spacing w:line="600" w:lineRule="exact"/>
        <w:ind w:firstLine="640" w:firstLineChars="200"/>
        <w:outlineLvl w:val="9"/>
        <w:rPr>
          <w:rFonts w:ascii="仿宋_GB2312" w:hAnsi="仿宋_GB2312" w:eastAsia="仿宋_GB2312" w:cs="仿宋_GB2312"/>
          <w:bCs/>
          <w:kern w:val="28"/>
          <w:sz w:val="32"/>
          <w:szCs w:val="32"/>
        </w:rPr>
      </w:pPr>
      <w:r>
        <w:rPr>
          <w:rFonts w:hint="eastAsia" w:ascii="仿宋_GB2312" w:hAnsi="仿宋_GB2312" w:eastAsia="仿宋_GB2312" w:cs="仿宋_GB2312"/>
          <w:bCs/>
          <w:kern w:val="28"/>
          <w:sz w:val="32"/>
          <w:szCs w:val="32"/>
          <w:lang w:eastAsia="zh-CN"/>
        </w:rPr>
        <w:t>指标：</w:t>
      </w:r>
      <w:r>
        <w:rPr>
          <w:rFonts w:hint="eastAsia" w:ascii="仿宋_GB2312" w:hAnsi="仿宋_GB2312" w:eastAsia="仿宋_GB2312" w:cs="仿宋_GB2312"/>
          <w:bCs/>
          <w:kern w:val="28"/>
          <w:sz w:val="32"/>
          <w:szCs w:val="32"/>
        </w:rPr>
        <w:t>设备购置类项目持续发挥作用期限，指标值</w:t>
      </w:r>
      <w:r>
        <w:rPr>
          <w:rFonts w:hint="eastAsia" w:ascii="仿宋_GB2312" w:hAnsi="仿宋_GB2312" w:eastAsia="仿宋_GB2312" w:cs="仿宋_GB2312"/>
          <w:bCs/>
          <w:kern w:val="28"/>
          <w:sz w:val="32"/>
          <w:szCs w:val="32"/>
          <w:lang w:eastAsia="zh-CN"/>
        </w:rPr>
        <w:t>：</w:t>
      </w:r>
      <w:r>
        <w:rPr>
          <w:rFonts w:hint="eastAsia" w:ascii="仿宋_GB2312" w:hAnsi="仿宋_GB2312" w:eastAsia="仿宋_GB2312" w:cs="仿宋_GB2312"/>
          <w:bCs/>
          <w:kern w:val="28"/>
          <w:sz w:val="32"/>
          <w:szCs w:val="32"/>
        </w:rPr>
        <w:t>&gt;=2年，实际完成值为8年，</w:t>
      </w:r>
      <w:r>
        <w:rPr>
          <w:rFonts w:hint="eastAsia" w:ascii="仿宋_GB2312" w:hAnsi="仿宋_GB2312" w:eastAsia="仿宋_GB2312" w:cs="仿宋_GB2312"/>
          <w:bCs/>
          <w:kern w:val="28"/>
          <w:sz w:val="32"/>
          <w:szCs w:val="32"/>
          <w:lang w:eastAsia="zh-CN"/>
        </w:rPr>
        <w:t>指标</w:t>
      </w:r>
      <w:r>
        <w:rPr>
          <w:rFonts w:hint="eastAsia" w:ascii="仿宋_GB2312" w:hAnsi="仿宋_GB2312" w:eastAsia="仿宋_GB2312" w:cs="仿宋_GB2312"/>
          <w:bCs/>
          <w:kern w:val="28"/>
          <w:sz w:val="32"/>
          <w:szCs w:val="32"/>
        </w:rPr>
        <w:t>完成率100%。</w:t>
      </w:r>
    </w:p>
    <w:p w14:paraId="61D85C22">
      <w:pPr>
        <w:shd w:val="clear"/>
        <w:spacing w:line="600" w:lineRule="exact"/>
        <w:ind w:firstLine="640" w:firstLineChars="200"/>
        <w:outlineLvl w:val="9"/>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③可持续影响指标：</w:t>
      </w:r>
    </w:p>
    <w:p w14:paraId="19886549">
      <w:pPr>
        <w:spacing w:line="600" w:lineRule="exact"/>
        <w:ind w:firstLine="640" w:firstLineChars="200"/>
        <w:outlineLvl w:val="9"/>
        <w:rPr>
          <w:rFonts w:eastAsia="仿宋_GB2312"/>
        </w:rPr>
      </w:pPr>
      <w:r>
        <w:rPr>
          <w:rStyle w:val="21"/>
          <w:rFonts w:hint="eastAsia" w:ascii="Times New Roman" w:hAnsi="Times New Roman" w:eastAsia="仿宋_GB2312" w:cs="Times New Roman"/>
          <w:color w:val="auto"/>
          <w:lang w:eastAsia="zh-CN"/>
        </w:rPr>
        <w:t>指标：</w:t>
      </w:r>
      <w:r>
        <w:rPr>
          <w:rStyle w:val="21"/>
          <w:rFonts w:ascii="Times New Roman" w:hAnsi="Times New Roman" w:cs="Times New Roman"/>
          <w:color w:val="auto"/>
        </w:rPr>
        <w:t>可持续影响</w:t>
      </w:r>
      <w:r>
        <w:rPr>
          <w:rStyle w:val="21"/>
          <w:rFonts w:hint="eastAsia" w:cs="Times New Roman"/>
          <w:color w:val="auto"/>
        </w:rPr>
        <w:t>期限，</w:t>
      </w:r>
      <w:r>
        <w:rPr>
          <w:rFonts w:hint="eastAsia" w:ascii="仿宋_GB2312" w:hAnsi="仿宋_GB2312" w:eastAsia="仿宋_GB2312" w:cs="仿宋_GB2312"/>
          <w:bCs/>
          <w:kern w:val="28"/>
          <w:sz w:val="32"/>
          <w:szCs w:val="32"/>
        </w:rPr>
        <w:t>指标值</w:t>
      </w:r>
      <w:r>
        <w:rPr>
          <w:rFonts w:hint="eastAsia" w:ascii="仿宋_GB2312" w:hAnsi="仿宋_GB2312" w:eastAsia="仿宋_GB2312" w:cs="仿宋_GB2312"/>
          <w:bCs/>
          <w:kern w:val="28"/>
          <w:sz w:val="32"/>
          <w:szCs w:val="32"/>
          <w:lang w:eastAsia="zh-CN"/>
        </w:rPr>
        <w:t>：</w:t>
      </w:r>
      <w:r>
        <w:rPr>
          <w:rFonts w:hint="eastAsia" w:ascii="仿宋_GB2312" w:hAnsi="仿宋_GB2312" w:eastAsia="仿宋_GB2312" w:cs="仿宋_GB2312"/>
          <w:bCs/>
          <w:kern w:val="28"/>
          <w:sz w:val="32"/>
          <w:szCs w:val="32"/>
        </w:rPr>
        <w:t>&gt;=2年，实际完成值</w:t>
      </w:r>
      <w:r>
        <w:rPr>
          <w:rFonts w:hint="eastAsia" w:ascii="仿宋_GB2312" w:hAnsi="仿宋_GB2312" w:eastAsia="仿宋_GB2312" w:cs="仿宋_GB2312"/>
          <w:bCs/>
          <w:kern w:val="28"/>
          <w:sz w:val="32"/>
          <w:szCs w:val="32"/>
          <w:lang w:eastAsia="zh-CN"/>
        </w:rPr>
        <w:t>：</w:t>
      </w:r>
      <w:r>
        <w:rPr>
          <w:rFonts w:hint="eastAsia" w:ascii="仿宋_GB2312" w:hAnsi="仿宋_GB2312" w:eastAsia="仿宋_GB2312" w:cs="仿宋_GB2312"/>
          <w:bCs/>
          <w:kern w:val="28"/>
          <w:sz w:val="32"/>
          <w:szCs w:val="32"/>
        </w:rPr>
        <w:t>8年，</w:t>
      </w:r>
      <w:r>
        <w:rPr>
          <w:rFonts w:hint="eastAsia" w:ascii="仿宋_GB2312" w:hAnsi="仿宋_GB2312" w:eastAsia="仿宋_GB2312" w:cs="仿宋_GB2312"/>
          <w:bCs/>
          <w:kern w:val="28"/>
          <w:sz w:val="32"/>
          <w:szCs w:val="32"/>
          <w:lang w:eastAsia="zh-CN"/>
        </w:rPr>
        <w:t>指标</w:t>
      </w:r>
      <w:r>
        <w:rPr>
          <w:rFonts w:hint="eastAsia" w:ascii="仿宋_GB2312" w:hAnsi="仿宋_GB2312" w:eastAsia="仿宋_GB2312" w:cs="仿宋_GB2312"/>
          <w:bCs/>
          <w:kern w:val="28"/>
          <w:sz w:val="32"/>
          <w:szCs w:val="32"/>
        </w:rPr>
        <w:t>完成率100%。</w:t>
      </w:r>
      <w:r>
        <w:rPr>
          <w:rStyle w:val="21"/>
          <w:rFonts w:hint="eastAsia" w:cs="Times New Roman"/>
          <w:color w:val="auto"/>
        </w:rPr>
        <w:t>项目将长期为企业高技能人才的培养提供服务，带动行业持续发展。</w:t>
      </w:r>
    </w:p>
    <w:p w14:paraId="72504058">
      <w:pPr>
        <w:shd w:val="clear"/>
        <w:spacing w:line="600" w:lineRule="exact"/>
        <w:ind w:firstLine="640" w:firstLineChars="200"/>
        <w:outlineLvl w:val="9"/>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2.满意度</w:t>
      </w:r>
    </w:p>
    <w:p w14:paraId="1117514E">
      <w:pPr>
        <w:spacing w:line="600" w:lineRule="exact"/>
        <w:ind w:firstLine="640" w:firstLineChars="200"/>
        <w:outlineLvl w:val="9"/>
        <w:rPr>
          <w:rStyle w:val="21"/>
          <w:rFonts w:hint="eastAsia" w:eastAsia="仿宋_GB2312" w:cs="Times New Roman"/>
          <w:color w:val="auto"/>
          <w:lang w:eastAsia="zh-CN"/>
        </w:rPr>
      </w:pPr>
      <w:r>
        <w:rPr>
          <w:rFonts w:hint="eastAsia" w:ascii="仿宋_GB2312" w:hAnsi="仿宋_GB2312" w:eastAsia="仿宋_GB2312" w:cs="仿宋_GB2312"/>
          <w:sz w:val="32"/>
          <w:szCs w:val="32"/>
          <w:highlight w:val="none"/>
          <w:lang w:val="en-US" w:eastAsia="zh-CN"/>
        </w:rPr>
        <w:t>指标1：</w:t>
      </w:r>
      <w:r>
        <w:rPr>
          <w:rStyle w:val="21"/>
          <w:rFonts w:hint="eastAsia" w:cs="Times New Roman"/>
          <w:color w:val="auto"/>
        </w:rPr>
        <w:t>学生满意度，指标值</w:t>
      </w:r>
      <w:r>
        <w:rPr>
          <w:rStyle w:val="21"/>
          <w:rFonts w:hint="eastAsia" w:eastAsia="仿宋_GB2312" w:cs="Times New Roman"/>
          <w:color w:val="auto"/>
          <w:lang w:eastAsia="zh-CN"/>
        </w:rPr>
        <w:t>：</w:t>
      </w:r>
      <w:r>
        <w:rPr>
          <w:rStyle w:val="21"/>
          <w:rFonts w:hint="eastAsia" w:cs="Times New Roman"/>
          <w:color w:val="auto"/>
        </w:rPr>
        <w:t>&gt;=90%，实际完成值</w:t>
      </w:r>
      <w:r>
        <w:rPr>
          <w:rStyle w:val="21"/>
          <w:rFonts w:hint="eastAsia" w:eastAsia="仿宋_GB2312" w:cs="Times New Roman"/>
          <w:color w:val="auto"/>
          <w:lang w:eastAsia="zh-CN"/>
        </w:rPr>
        <w:t>：</w:t>
      </w:r>
      <w:r>
        <w:rPr>
          <w:rStyle w:val="21"/>
          <w:rFonts w:hint="eastAsia" w:eastAsia="仿宋_GB2312" w:cs="Times New Roman"/>
          <w:color w:val="auto"/>
          <w:lang w:val="en-US" w:eastAsia="zh-CN"/>
        </w:rPr>
        <w:t>100%</w:t>
      </w:r>
      <w:r>
        <w:rPr>
          <w:rStyle w:val="21"/>
          <w:rFonts w:hint="eastAsia" w:cs="Times New Roman"/>
          <w:color w:val="auto"/>
        </w:rPr>
        <w:t>，</w:t>
      </w:r>
      <w:r>
        <w:rPr>
          <w:rStyle w:val="21"/>
          <w:rFonts w:hint="eastAsia" w:eastAsia="仿宋_GB2312" w:cs="Times New Roman"/>
          <w:color w:val="auto"/>
          <w:lang w:eastAsia="zh-CN"/>
        </w:rPr>
        <w:t>指标</w:t>
      </w:r>
      <w:r>
        <w:rPr>
          <w:rStyle w:val="21"/>
          <w:rFonts w:hint="eastAsia" w:cs="Times New Roman"/>
          <w:color w:val="auto"/>
        </w:rPr>
        <w:t>完成率</w:t>
      </w:r>
      <w:r>
        <w:rPr>
          <w:rStyle w:val="21"/>
          <w:rFonts w:hint="eastAsia" w:eastAsia="仿宋_GB2312" w:cs="Times New Roman"/>
          <w:color w:val="auto"/>
          <w:lang w:eastAsia="zh-CN"/>
        </w:rPr>
        <w:t>：</w:t>
      </w:r>
      <w:r>
        <w:rPr>
          <w:rStyle w:val="21"/>
          <w:rFonts w:hint="eastAsia" w:eastAsia="仿宋_GB2312" w:cs="Times New Roman"/>
          <w:color w:val="auto"/>
          <w:lang w:val="en-US" w:eastAsia="zh-CN"/>
        </w:rPr>
        <w:t>100</w:t>
      </w:r>
      <w:r>
        <w:rPr>
          <w:rStyle w:val="21"/>
          <w:rFonts w:hint="eastAsia" w:cs="Times New Roman"/>
          <w:color w:val="auto"/>
        </w:rPr>
        <w:t>%</w:t>
      </w:r>
      <w:r>
        <w:rPr>
          <w:rStyle w:val="21"/>
          <w:rFonts w:hint="eastAsia" w:eastAsia="仿宋_GB2312" w:cs="Times New Roman"/>
          <w:color w:val="auto"/>
          <w:lang w:eastAsia="zh-CN"/>
        </w:rPr>
        <w:t>。</w:t>
      </w:r>
    </w:p>
    <w:p w14:paraId="7FA1DA27">
      <w:pPr>
        <w:spacing w:line="600" w:lineRule="exact"/>
        <w:ind w:firstLine="640" w:firstLineChars="200"/>
        <w:outlineLvl w:val="9"/>
        <w:rPr>
          <w:rFonts w:hint="default" w:ascii="仿宋_GB2312" w:hAnsi="仿宋_GB2312" w:eastAsia="仿宋_GB2312" w:cs="仿宋_GB2312"/>
          <w:sz w:val="32"/>
          <w:szCs w:val="32"/>
          <w:highlight w:val="none"/>
          <w:lang w:val="en-US" w:eastAsia="zh-CN"/>
        </w:rPr>
      </w:pPr>
      <w:r>
        <w:rPr>
          <w:rFonts w:hint="eastAsia" w:ascii="仿宋_GB2312" w:eastAsia="仿宋_GB2312"/>
          <w:sz w:val="32"/>
          <w:szCs w:val="32"/>
          <w:lang w:eastAsia="zh-CN"/>
        </w:rPr>
        <w:t>指标</w:t>
      </w:r>
      <w:r>
        <w:rPr>
          <w:rFonts w:hint="eastAsia" w:ascii="仿宋_GB2312" w:eastAsia="仿宋_GB2312"/>
          <w:sz w:val="32"/>
          <w:szCs w:val="32"/>
          <w:lang w:val="en-US" w:eastAsia="zh-CN"/>
        </w:rPr>
        <w:t>2：</w:t>
      </w:r>
      <w:r>
        <w:rPr>
          <w:rFonts w:hint="eastAsia" w:ascii="仿宋_GB2312" w:eastAsia="仿宋_GB2312"/>
          <w:sz w:val="32"/>
          <w:szCs w:val="32"/>
        </w:rPr>
        <w:t>企业满意度，指标值</w:t>
      </w:r>
      <w:r>
        <w:rPr>
          <w:rFonts w:hint="eastAsia" w:ascii="仿宋_GB2312" w:eastAsia="仿宋_GB2312"/>
          <w:sz w:val="32"/>
          <w:szCs w:val="32"/>
          <w:lang w:eastAsia="zh-CN"/>
        </w:rPr>
        <w:t>：</w:t>
      </w:r>
      <w:r>
        <w:rPr>
          <w:rFonts w:hint="eastAsia" w:ascii="仿宋_GB2312" w:eastAsia="仿宋_GB2312"/>
          <w:sz w:val="32"/>
          <w:szCs w:val="32"/>
        </w:rPr>
        <w:t>&gt;=90%，实际完成值</w:t>
      </w:r>
      <w:r>
        <w:rPr>
          <w:rFonts w:hint="eastAsia" w:ascii="仿宋_GB2312" w:eastAsia="仿宋_GB2312"/>
          <w:sz w:val="32"/>
          <w:szCs w:val="32"/>
          <w:lang w:eastAsia="zh-CN"/>
        </w:rPr>
        <w:t>：</w:t>
      </w:r>
      <w:r>
        <w:rPr>
          <w:rFonts w:hint="eastAsia" w:ascii="仿宋_GB2312" w:eastAsia="仿宋_GB2312"/>
          <w:sz w:val="32"/>
          <w:szCs w:val="32"/>
        </w:rPr>
        <w:t>0，</w:t>
      </w:r>
      <w:r>
        <w:rPr>
          <w:rFonts w:hint="eastAsia" w:ascii="仿宋_GB2312" w:eastAsia="仿宋_GB2312"/>
          <w:sz w:val="32"/>
          <w:szCs w:val="32"/>
          <w:lang w:eastAsia="zh-CN"/>
        </w:rPr>
        <w:t>指标</w:t>
      </w:r>
      <w:r>
        <w:rPr>
          <w:rFonts w:hint="eastAsia" w:ascii="仿宋_GB2312" w:eastAsia="仿宋_GB2312"/>
          <w:sz w:val="32"/>
          <w:szCs w:val="32"/>
        </w:rPr>
        <w:t>完成率0.00%，偏差率100%，偏差原因</w:t>
      </w:r>
      <w:r>
        <w:rPr>
          <w:rFonts w:hint="eastAsia" w:ascii="仿宋_GB2312" w:eastAsia="仿宋_GB2312"/>
          <w:sz w:val="32"/>
          <w:szCs w:val="32"/>
          <w:lang w:eastAsia="zh-CN"/>
        </w:rPr>
        <w:t>：</w:t>
      </w:r>
      <w:r>
        <w:rPr>
          <w:rFonts w:hint="eastAsia" w:ascii="仿宋_GB2312" w:eastAsia="仿宋_GB2312"/>
          <w:sz w:val="32"/>
          <w:szCs w:val="32"/>
        </w:rPr>
        <w:t>因在建实训楼未完工，导致该项目实训室无法建设投入使用，从而未</w:t>
      </w:r>
      <w:r>
        <w:rPr>
          <w:rFonts w:hint="eastAsia" w:ascii="仿宋_GB2312" w:eastAsia="仿宋_GB2312"/>
          <w:sz w:val="32"/>
          <w:szCs w:val="32"/>
          <w:lang w:val="en-US" w:eastAsia="zh-CN"/>
        </w:rPr>
        <w:t>组织</w:t>
      </w:r>
      <w:r>
        <w:rPr>
          <w:rFonts w:hint="eastAsia" w:ascii="仿宋_GB2312" w:eastAsia="仿宋_GB2312"/>
          <w:sz w:val="32"/>
          <w:szCs w:val="32"/>
        </w:rPr>
        <w:t>进行企业满意度调查。</w:t>
      </w:r>
    </w:p>
    <w:p w14:paraId="626B46A3">
      <w:pPr>
        <w:pStyle w:val="3"/>
        <w:bidi w:val="0"/>
        <w:ind w:firstLine="1041"/>
        <w:rPr>
          <w:rFonts w:hint="eastAsia" w:ascii="Times New Roman" w:hAnsi="Times New Roman"/>
          <w:b/>
          <w:lang w:eastAsia="zh-Hans"/>
        </w:rPr>
      </w:pPr>
      <w:bookmarkStart w:id="22" w:name="_Toc24080"/>
      <w:r>
        <w:rPr>
          <w:rFonts w:hint="eastAsia" w:ascii="Times New Roman" w:hAnsi="Times New Roman"/>
          <w:b/>
          <w:lang w:eastAsia="zh-Hans"/>
        </w:rPr>
        <w:t>五、预算执行进度与绩效指标总体完成率偏差</w:t>
      </w:r>
      <w:bookmarkEnd w:id="22"/>
    </w:p>
    <w:p w14:paraId="39B86486">
      <w:pPr>
        <w:pStyle w:val="22"/>
        <w:spacing w:line="560" w:lineRule="exact"/>
        <w:ind w:firstLine="640"/>
        <w:outlineLvl w:val="9"/>
        <w:rPr>
          <w:rFonts w:hint="eastAsia" w:ascii="仿宋_GB2312" w:hAnsi="Times New Roman" w:eastAsia="仿宋_GB2312" w:cs="Times New Roman"/>
          <w:kern w:val="2"/>
          <w:sz w:val="32"/>
          <w:szCs w:val="32"/>
          <w:highlight w:val="none"/>
          <w:lang w:val="en-US" w:eastAsia="zh-CN" w:bidi="ar-SA"/>
        </w:rPr>
      </w:pPr>
      <w:r>
        <w:rPr>
          <w:rFonts w:hint="eastAsia" w:ascii="仿宋_GB2312" w:hAnsi="Times New Roman" w:eastAsia="仿宋_GB2312" w:cs="Times New Roman"/>
          <w:kern w:val="2"/>
          <w:sz w:val="32"/>
          <w:szCs w:val="32"/>
          <w:lang w:val="en-US" w:eastAsia="zh-CN" w:bidi="ar-SA"/>
        </w:rPr>
        <w:t>高技能人才实训基地建设项目年初预算500万元，全年预算500万元，实际支出455.51万元，预算执行率为91.10%，项目绩效指标总体完成率为90.1%，</w:t>
      </w:r>
      <w:r>
        <w:rPr>
          <w:rFonts w:hint="eastAsia" w:ascii="仿宋_GB2312" w:hAnsi="Times New Roman" w:eastAsia="仿宋_GB2312" w:cs="Times New Roman"/>
          <w:kern w:val="2"/>
          <w:sz w:val="32"/>
          <w:szCs w:val="32"/>
          <w:lang w:val="en-US" w:eastAsia="zh-Hans" w:bidi="ar-SA"/>
        </w:rPr>
        <w:t>总体</w:t>
      </w:r>
      <w:r>
        <w:rPr>
          <w:rFonts w:hint="eastAsia" w:ascii="仿宋_GB2312" w:hAnsi="Times New Roman" w:eastAsia="仿宋_GB2312" w:cs="Times New Roman"/>
          <w:kern w:val="2"/>
          <w:sz w:val="32"/>
          <w:szCs w:val="32"/>
          <w:lang w:val="en-US" w:eastAsia="zh-CN" w:bidi="ar-SA"/>
        </w:rPr>
        <w:t>偏差率</w:t>
      </w:r>
      <w:r>
        <w:rPr>
          <w:rFonts w:hint="eastAsia" w:ascii="仿宋_GB2312" w:hAnsi="Times New Roman" w:eastAsia="仿宋_GB2312" w:cs="Times New Roman"/>
          <w:kern w:val="2"/>
          <w:sz w:val="32"/>
          <w:szCs w:val="32"/>
          <w:highlight w:val="none"/>
          <w:lang w:val="en-US" w:eastAsia="zh-CN" w:bidi="ar-SA"/>
        </w:rPr>
        <w:t>为1%</w:t>
      </w:r>
      <w:r>
        <w:rPr>
          <w:rFonts w:hint="eastAsia" w:ascii="仿宋_GB2312" w:eastAsia="仿宋_GB2312" w:cs="Times New Roman"/>
          <w:kern w:val="2"/>
          <w:sz w:val="32"/>
          <w:szCs w:val="32"/>
          <w:highlight w:val="none"/>
          <w:lang w:val="en-US" w:eastAsia="zh-CN" w:bidi="ar-SA"/>
        </w:rPr>
        <w:t>，</w:t>
      </w:r>
      <w:r>
        <w:rPr>
          <w:rFonts w:hint="eastAsia" w:ascii="仿宋_GB2312" w:hAnsi="Times New Roman" w:eastAsia="仿宋_GB2312" w:cs="Times New Roman"/>
          <w:kern w:val="2"/>
          <w:sz w:val="32"/>
          <w:szCs w:val="32"/>
          <w:highlight w:val="none"/>
          <w:lang w:val="en-US" w:eastAsia="zh-Hans" w:bidi="ar-SA"/>
        </w:rPr>
        <w:t>偏差</w:t>
      </w:r>
      <w:r>
        <w:rPr>
          <w:rFonts w:hint="eastAsia" w:ascii="仿宋_GB2312" w:hAnsi="Times New Roman" w:eastAsia="仿宋_GB2312" w:cs="Times New Roman"/>
          <w:kern w:val="2"/>
          <w:sz w:val="32"/>
          <w:szCs w:val="32"/>
          <w:highlight w:val="none"/>
          <w:lang w:val="en-US" w:eastAsia="zh-CN" w:bidi="ar-SA"/>
        </w:rPr>
        <w:t>原因：因在建实训楼未完工，导致该项目实训室无法建设投入使用。</w:t>
      </w:r>
      <w:r>
        <w:rPr>
          <w:rFonts w:hint="eastAsia" w:ascii="仿宋_GB2312" w:hAnsi="Times New Roman" w:eastAsia="仿宋_GB2312" w:cs="Times New Roman"/>
          <w:kern w:val="2"/>
          <w:sz w:val="32"/>
          <w:szCs w:val="32"/>
          <w:highlight w:val="none"/>
          <w:lang w:val="en-US" w:eastAsia="zh-Hans" w:bidi="ar-SA"/>
        </w:rPr>
        <w:t>改进</w:t>
      </w:r>
      <w:r>
        <w:rPr>
          <w:rFonts w:hint="eastAsia" w:ascii="仿宋_GB2312" w:hAnsi="Times New Roman" w:eastAsia="仿宋_GB2312" w:cs="Times New Roman"/>
          <w:kern w:val="2"/>
          <w:sz w:val="32"/>
          <w:szCs w:val="32"/>
          <w:highlight w:val="none"/>
          <w:lang w:val="en-US" w:eastAsia="zh-CN" w:bidi="ar-SA"/>
        </w:rPr>
        <w:t>措施：加快推进实训楼项目建设,尽快建设实训室以投入使用。</w:t>
      </w:r>
    </w:p>
    <w:p w14:paraId="04EDF651">
      <w:pPr>
        <w:pStyle w:val="3"/>
        <w:bidi w:val="0"/>
        <w:ind w:firstLine="1041"/>
        <w:rPr>
          <w:rFonts w:hint="eastAsia" w:ascii="Times New Roman" w:hAnsi="Times New Roman"/>
          <w:b/>
          <w:lang w:eastAsia="zh-Hans"/>
        </w:rPr>
      </w:pPr>
      <w:bookmarkStart w:id="23" w:name="_Toc2910"/>
      <w:r>
        <w:rPr>
          <w:rFonts w:hint="eastAsia" w:ascii="Times New Roman" w:hAnsi="Times New Roman"/>
          <w:b/>
          <w:lang w:eastAsia="zh-Hans"/>
        </w:rPr>
        <w:t>六、主要经验及做法、存在的问题及原因分析</w:t>
      </w:r>
      <w:bookmarkEnd w:id="23"/>
    </w:p>
    <w:p w14:paraId="4D249A8B">
      <w:pPr>
        <w:pStyle w:val="4"/>
        <w:bidi w:val="0"/>
      </w:pPr>
      <w:bookmarkStart w:id="24" w:name="_Toc28740"/>
      <w:r>
        <w:t>（一）主要经验及做法</w:t>
      </w:r>
      <w:bookmarkEnd w:id="24"/>
    </w:p>
    <w:p w14:paraId="71DF5A55">
      <w:pPr>
        <w:spacing w:line="600" w:lineRule="exact"/>
        <w:ind w:firstLine="640" w:firstLineChars="200"/>
        <w:outlineLvl w:val="9"/>
        <w:rPr>
          <w:rFonts w:eastAsia="仿宋_GB2312"/>
          <w:sz w:val="32"/>
          <w:szCs w:val="32"/>
        </w:rPr>
      </w:pPr>
      <w:r>
        <w:rPr>
          <w:rFonts w:eastAsia="仿宋_GB2312"/>
          <w:sz w:val="32"/>
          <w:szCs w:val="32"/>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w:t>
      </w:r>
      <w:r>
        <w:rPr>
          <w:rFonts w:hint="eastAsia" w:eastAsia="仿宋_GB2312"/>
          <w:sz w:val="32"/>
          <w:szCs w:val="32"/>
        </w:rPr>
        <w:t>企业、学生满意度</w:t>
      </w:r>
      <w:r>
        <w:rPr>
          <w:rFonts w:eastAsia="仿宋_GB2312"/>
          <w:sz w:val="32"/>
          <w:szCs w:val="32"/>
        </w:rPr>
        <w:t>调查工作。</w:t>
      </w:r>
    </w:p>
    <w:p w14:paraId="4DC37D5D">
      <w:pPr>
        <w:bidi w:val="0"/>
      </w:pPr>
      <w:r>
        <w:t>严格坚持先做事、后验收、再拨付的原则，基本杜绝了资金被挤占和挪用现象的发生，跟踪检查到位。</w:t>
      </w:r>
      <w:r>
        <w:rPr>
          <w:rFonts w:hint="eastAsia"/>
        </w:rPr>
        <w:t>学校相关</w:t>
      </w:r>
      <w:r>
        <w:t>职能部门全面参与专项资金事前、事中和事后全过程的监管</w:t>
      </w:r>
      <w:r>
        <w:rPr>
          <w:rFonts w:hint="eastAsia"/>
        </w:rPr>
        <w:t>，大额资金支出管理均通过学校党支部会议做出决策</w:t>
      </w:r>
      <w:r>
        <w:t>。</w:t>
      </w:r>
    </w:p>
    <w:p w14:paraId="0F9335DE">
      <w:pPr>
        <w:pStyle w:val="4"/>
        <w:numPr>
          <w:ilvl w:val="0"/>
          <w:numId w:val="5"/>
        </w:numPr>
        <w:bidi w:val="0"/>
      </w:pPr>
      <w:bookmarkStart w:id="25" w:name="_Toc21841"/>
      <w:r>
        <w:t>存在的问题及原因分析</w:t>
      </w:r>
      <w:bookmarkEnd w:id="25"/>
    </w:p>
    <w:p w14:paraId="04DECBA4">
      <w:pPr>
        <w:spacing w:line="600" w:lineRule="exact"/>
        <w:ind w:firstLine="640" w:firstLineChars="200"/>
        <w:outlineLvl w:val="9"/>
      </w:pPr>
      <w:r>
        <w:rPr>
          <w:rFonts w:hint="eastAsia" w:ascii="仿宋_GB2312" w:hAnsi="仿宋" w:eastAsia="仿宋_GB2312" w:cs="宋体"/>
          <w:kern w:val="0"/>
          <w:sz w:val="32"/>
          <w:szCs w:val="32"/>
        </w:rPr>
        <w:t>目前该项目两个子项目，其中建筑模型设计与制作（BIM施工技术）实训室基础设施已全部建成并投入使用；机电产品检测技术应用（焊接无损检测）实训室设备购置工作均已完成，因受教学楼项目建设滞后制约，部分设备放置在库房，部分设备已投入教学实训中。后续的师资培训、讲义编制、教学模式改革调研和能力评价体系建立工作已在推进，但是按照当前时间节点，项目进度有些滞后，还需在学校党支部的领导下，提出切实可行的措施，加快教学楼项目实施进度，确保项目资金得以充分利用，项目成效惠及广大学生和专业技能人才，为新疆区域经济高质量发展添砖加瓦。</w:t>
      </w:r>
    </w:p>
    <w:p w14:paraId="4C47841D">
      <w:pPr>
        <w:spacing w:line="560" w:lineRule="exact"/>
        <w:ind w:firstLine="643" w:firstLineChars="200"/>
        <w:outlineLvl w:val="0"/>
        <w:rPr>
          <w:rFonts w:hint="eastAsia" w:ascii="Times New Roman" w:hAnsi="Times New Roman" w:eastAsia="黑体" w:cs="Times New Roman"/>
          <w:b/>
          <w:kern w:val="44"/>
          <w:sz w:val="32"/>
          <w:szCs w:val="24"/>
          <w:lang w:val="en-US" w:eastAsia="zh-Hans" w:bidi="ar-SA"/>
        </w:rPr>
      </w:pPr>
      <w:bookmarkStart w:id="26" w:name="_Toc7263"/>
      <w:r>
        <w:rPr>
          <w:rFonts w:hint="eastAsia" w:ascii="Times New Roman" w:hAnsi="Times New Roman" w:eastAsia="黑体" w:cs="Times New Roman"/>
          <w:b/>
          <w:kern w:val="44"/>
          <w:sz w:val="32"/>
          <w:szCs w:val="24"/>
          <w:lang w:val="en-US" w:eastAsia="zh-Hans" w:bidi="ar-SA"/>
        </w:rPr>
        <w:t>七、有关建议</w:t>
      </w:r>
      <w:bookmarkEnd w:id="26"/>
    </w:p>
    <w:p w14:paraId="2BF6530D">
      <w:pPr>
        <w:shd w:val="clear"/>
        <w:spacing w:line="600" w:lineRule="exact"/>
        <w:ind w:firstLine="640" w:firstLineChars="200"/>
        <w:outlineLvl w:val="9"/>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1.多进行有关绩效管理工作方面的培训。积极组织第三方开展绩效管理工作培训，进一步夯实业务基础，提高我单位绩效人员水平。</w:t>
      </w:r>
    </w:p>
    <w:p w14:paraId="10F01318">
      <w:pPr>
        <w:shd w:val="clear"/>
        <w:spacing w:line="600" w:lineRule="exact"/>
        <w:ind w:firstLine="640" w:firstLineChars="200"/>
        <w:outlineLvl w:val="9"/>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2.专门设定对绩效工作人员定职、定岗、定责等相关制度措施，进一步提升我单位绩效管理工作业务水平，扎实做好绩效管理工作。</w:t>
      </w:r>
    </w:p>
    <w:p w14:paraId="1975EB53">
      <w:pPr>
        <w:shd w:val="clear"/>
        <w:spacing w:line="600" w:lineRule="exact"/>
        <w:ind w:firstLine="640" w:firstLineChars="200"/>
        <w:outlineLvl w:val="9"/>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3.进一步规范项目建设的程序。项目前期做好可行性研究报告，更加细化实施方案，严格执行资金管理办法和财政资金管理制度，严格按照项目实施方案、招投标管理办法等稳步推进工作，根据自己项目的特点进行总结。</w:t>
      </w:r>
    </w:p>
    <w:p w14:paraId="73599B13">
      <w:pPr>
        <w:shd w:val="clear"/>
        <w:spacing w:line="600" w:lineRule="exact"/>
        <w:ind w:firstLine="640" w:firstLineChars="200"/>
        <w:outlineLvl w:val="9"/>
        <w:rPr>
          <w:sz w:val="22"/>
          <w:szCs w:val="28"/>
        </w:rPr>
      </w:pPr>
      <w:r>
        <w:rPr>
          <w:rFonts w:hint="eastAsia" w:ascii="仿宋_GB2312" w:hAnsi="仿宋_GB2312" w:eastAsia="仿宋_GB2312" w:cs="仿宋_GB2312"/>
          <w:sz w:val="32"/>
          <w:szCs w:val="32"/>
          <w:highlight w:val="none"/>
          <w:lang w:val="en-US" w:eastAsia="zh-CN"/>
        </w:rPr>
        <w:t>4.进一步完善项目评价过程中有关数据和资料的收集、整理、审核及分析。项目启动时同步做好档案的归纳与整理，及时整理、收集、汇总，健全档案资料。项目后续管理有待进一步加强和跟踪</w:t>
      </w:r>
      <w:r>
        <w:rPr>
          <w:rFonts w:hint="eastAsia" w:ascii="仿宋_GB2312" w:hAnsi="仿宋_GB2312" w:eastAsia="仿宋_GB2312" w:cs="仿宋_GB2312"/>
          <w:sz w:val="36"/>
          <w:szCs w:val="32"/>
        </w:rPr>
        <w:t>。</w:t>
      </w:r>
    </w:p>
    <w:p w14:paraId="5CE25B15">
      <w:pPr>
        <w:shd w:val="clear"/>
        <w:spacing w:line="600" w:lineRule="exact"/>
        <w:ind w:firstLine="640" w:firstLineChars="200"/>
        <w:outlineLvl w:val="9"/>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5.进一步加强对绩效管理工作的组织领导，提高对预算绩效管理工作重要性的认识，总结经验查找问题，抓紧研究制定更全面更完善的绩效评价管理办法，让“花钱必问效，无效必问责”的理念深入工作每个环节。</w:t>
      </w:r>
    </w:p>
    <w:p w14:paraId="08EECA1C">
      <w:pPr>
        <w:spacing w:line="560" w:lineRule="exact"/>
        <w:ind w:firstLine="643" w:firstLineChars="200"/>
        <w:outlineLvl w:val="0"/>
        <w:rPr>
          <w:rFonts w:hint="eastAsia" w:ascii="Times New Roman" w:hAnsi="Times New Roman" w:eastAsia="黑体" w:cs="Times New Roman"/>
          <w:b/>
          <w:kern w:val="44"/>
          <w:sz w:val="32"/>
          <w:szCs w:val="24"/>
          <w:lang w:val="en-US" w:eastAsia="zh-Hans" w:bidi="ar-SA"/>
        </w:rPr>
      </w:pPr>
      <w:bookmarkStart w:id="27" w:name="_Toc4161"/>
      <w:r>
        <w:rPr>
          <w:rFonts w:hint="eastAsia" w:ascii="Times New Roman" w:hAnsi="Times New Roman" w:eastAsia="黑体" w:cs="Times New Roman"/>
          <w:b/>
          <w:kern w:val="44"/>
          <w:sz w:val="32"/>
          <w:szCs w:val="24"/>
          <w:lang w:val="en-US" w:eastAsia="zh-Hans" w:bidi="ar-SA"/>
        </w:rPr>
        <w:t>八、其他需要说</w:t>
      </w:r>
      <w:bookmarkStart w:id="28" w:name="page8"/>
      <w:bookmarkEnd w:id="28"/>
      <w:r>
        <w:rPr>
          <w:rFonts w:hint="eastAsia" w:ascii="Times New Roman" w:hAnsi="Times New Roman" w:eastAsia="黑体" w:cs="Times New Roman"/>
          <w:b/>
          <w:kern w:val="44"/>
          <w:sz w:val="32"/>
          <w:szCs w:val="24"/>
          <w:lang w:val="en-US" w:eastAsia="zh-Hans" w:bidi="ar-SA"/>
        </w:rPr>
        <w:t>明的问题</w:t>
      </w:r>
      <w:bookmarkEnd w:id="27"/>
    </w:p>
    <w:p w14:paraId="7097EF09">
      <w:pPr>
        <w:pStyle w:val="16"/>
        <w:spacing w:after="0" w:line="560" w:lineRule="exact"/>
        <w:ind w:left="0" w:leftChars="0" w:firstLine="640"/>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lang w:eastAsia="zh-Hans"/>
        </w:rPr>
        <w:t>本项目无其他需说明的问题。</w:t>
      </w:r>
    </w:p>
    <w:p w14:paraId="6B30E8BC">
      <w:pPr>
        <w:pStyle w:val="16"/>
        <w:spacing w:after="0" w:line="560" w:lineRule="exact"/>
        <w:ind w:left="0" w:leftChars="0" w:firstLine="640"/>
        <w:outlineLvl w:val="9"/>
        <w:rPr>
          <w:rFonts w:ascii="仿宋_GB2312" w:hAnsi="仿宋_GB2312" w:eastAsia="仿宋_GB2312" w:cs="仿宋_GB2312"/>
          <w:sz w:val="32"/>
          <w:szCs w:val="32"/>
        </w:rPr>
      </w:pPr>
    </w:p>
    <w:p w14:paraId="14674550">
      <w:pPr>
        <w:pStyle w:val="16"/>
        <w:spacing w:after="0" w:line="560" w:lineRule="exact"/>
        <w:ind w:left="0" w:leftChars="0" w:firstLine="640"/>
        <w:rPr>
          <w:rFonts w:ascii="仿宋_GB2312" w:hAnsi="仿宋_GB2312" w:eastAsia="仿宋_GB2312" w:cs="仿宋_GB2312"/>
          <w:sz w:val="32"/>
          <w:szCs w:val="32"/>
        </w:rPr>
      </w:pPr>
    </w:p>
    <w:p w14:paraId="7334F841">
      <w:pPr>
        <w:pStyle w:val="16"/>
        <w:spacing w:after="0" w:line="560" w:lineRule="exact"/>
        <w:ind w:left="0" w:leftChars="0" w:firstLine="0" w:firstLineChars="0"/>
        <w:rPr>
          <w:rFonts w:ascii="仿宋_GB2312" w:hAnsi="仿宋_GB2312" w:eastAsia="仿宋_GB2312" w:cs="仿宋_GB2312"/>
          <w:sz w:val="32"/>
          <w:szCs w:val="32"/>
        </w:rPr>
      </w:pPr>
    </w:p>
    <w:p w14:paraId="2C755EE9">
      <w:pPr>
        <w:widowControl/>
        <w:jc w:val="center"/>
        <w:textAlignment w:val="center"/>
        <w:rPr>
          <w:rFonts w:eastAsia="方正小标宋简体"/>
          <w:b/>
          <w:kern w:val="0"/>
          <w:sz w:val="32"/>
          <w:szCs w:val="32"/>
          <w:lang w:bidi="ar"/>
        </w:rPr>
        <w:sectPr>
          <w:pgSz w:w="11906" w:h="16838"/>
          <w:pgMar w:top="1440" w:right="1558" w:bottom="1440" w:left="1800" w:header="851" w:footer="992" w:gutter="0"/>
          <w:cols w:space="425" w:num="1"/>
          <w:docGrid w:type="lines" w:linePitch="312" w:charSpace="0"/>
        </w:sectPr>
      </w:pPr>
    </w:p>
    <w:tbl>
      <w:tblPr>
        <w:tblStyle w:val="17"/>
        <w:tblW w:w="8834" w:type="dxa"/>
        <w:tblInd w:w="0" w:type="dxa"/>
        <w:tblLayout w:type="fixed"/>
        <w:tblCellMar>
          <w:top w:w="0" w:type="dxa"/>
          <w:left w:w="0" w:type="dxa"/>
          <w:bottom w:w="0" w:type="dxa"/>
          <w:right w:w="0" w:type="dxa"/>
        </w:tblCellMar>
      </w:tblPr>
      <w:tblGrid>
        <w:gridCol w:w="798"/>
        <w:gridCol w:w="984"/>
        <w:gridCol w:w="1430"/>
        <w:gridCol w:w="1523"/>
        <w:gridCol w:w="1268"/>
        <w:gridCol w:w="1348"/>
        <w:gridCol w:w="1483"/>
      </w:tblGrid>
      <w:tr w14:paraId="612C18F3">
        <w:tblPrEx>
          <w:tblCellMar>
            <w:top w:w="0" w:type="dxa"/>
            <w:left w:w="0" w:type="dxa"/>
            <w:bottom w:w="0" w:type="dxa"/>
            <w:right w:w="0" w:type="dxa"/>
          </w:tblCellMar>
        </w:tblPrEx>
        <w:trPr>
          <w:trHeight w:val="420" w:hRule="atLeast"/>
        </w:trPr>
        <w:tc>
          <w:tcPr>
            <w:tcW w:w="8834" w:type="dxa"/>
            <w:gridSpan w:val="7"/>
            <w:tcBorders>
              <w:top w:val="nil"/>
              <w:left w:val="nil"/>
              <w:bottom w:val="single" w:color="auto" w:sz="4" w:space="0"/>
              <w:right w:val="nil"/>
            </w:tcBorders>
            <w:shd w:val="clear" w:color="auto" w:fill="auto"/>
            <w:tcMar>
              <w:top w:w="12" w:type="dxa"/>
              <w:left w:w="12" w:type="dxa"/>
              <w:right w:w="12" w:type="dxa"/>
            </w:tcMar>
            <w:vAlign w:val="center"/>
          </w:tcPr>
          <w:p w14:paraId="52E5BB00">
            <w:pPr>
              <w:widowControl/>
              <w:jc w:val="center"/>
              <w:textAlignment w:val="center"/>
              <w:rPr>
                <w:rFonts w:eastAsia="方正小标宋简体"/>
                <w:b/>
                <w:sz w:val="32"/>
                <w:szCs w:val="32"/>
                <w:u w:val="single"/>
              </w:rPr>
            </w:pPr>
            <w:r>
              <w:rPr>
                <w:rFonts w:eastAsia="方正小标宋简体"/>
                <w:b/>
                <w:kern w:val="0"/>
                <w:sz w:val="32"/>
                <w:szCs w:val="32"/>
              </w:rPr>
              <w:t>项目支出绩效自评表</w:t>
            </w:r>
          </w:p>
        </w:tc>
      </w:tr>
      <w:tr w14:paraId="5AF8FF56">
        <w:tblPrEx>
          <w:tblCellMar>
            <w:top w:w="0" w:type="dxa"/>
            <w:left w:w="0" w:type="dxa"/>
            <w:bottom w:w="0" w:type="dxa"/>
            <w:right w:w="0" w:type="dxa"/>
          </w:tblCellMar>
        </w:tblPrEx>
        <w:trPr>
          <w:trHeight w:val="288" w:hRule="atLeast"/>
        </w:trPr>
        <w:tc>
          <w:tcPr>
            <w:tcW w:w="8834" w:type="dxa"/>
            <w:gridSpan w:val="7"/>
            <w:tcBorders>
              <w:top w:val="single" w:color="auto"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B47AC75">
            <w:pPr>
              <w:widowControl/>
              <w:jc w:val="center"/>
              <w:textAlignment w:val="center"/>
              <w:rPr>
                <w:sz w:val="22"/>
                <w:szCs w:val="22"/>
              </w:rPr>
            </w:pPr>
            <w:r>
              <w:rPr>
                <w:kern w:val="0"/>
                <w:sz w:val="22"/>
                <w:szCs w:val="22"/>
              </w:rPr>
              <w:t>（202</w:t>
            </w:r>
            <w:r>
              <w:rPr>
                <w:rFonts w:hint="eastAsia"/>
                <w:kern w:val="0"/>
                <w:sz w:val="22"/>
                <w:szCs w:val="22"/>
              </w:rPr>
              <w:t>3</w:t>
            </w:r>
            <w:r>
              <w:rPr>
                <w:kern w:val="0"/>
                <w:sz w:val="22"/>
                <w:szCs w:val="22"/>
              </w:rPr>
              <w:t>年度）</w:t>
            </w:r>
          </w:p>
        </w:tc>
      </w:tr>
      <w:tr w14:paraId="6F6D3735">
        <w:tblPrEx>
          <w:tblCellMar>
            <w:top w:w="0" w:type="dxa"/>
            <w:left w:w="0" w:type="dxa"/>
            <w:bottom w:w="0" w:type="dxa"/>
            <w:right w:w="0" w:type="dxa"/>
          </w:tblCellMar>
        </w:tblPrEx>
        <w:trPr>
          <w:trHeight w:val="276" w:hRule="atLeast"/>
        </w:trPr>
        <w:tc>
          <w:tcPr>
            <w:tcW w:w="178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A5B19B4">
            <w:pPr>
              <w:widowControl/>
              <w:jc w:val="center"/>
              <w:textAlignment w:val="center"/>
              <w:rPr>
                <w:sz w:val="18"/>
                <w:szCs w:val="18"/>
              </w:rPr>
            </w:pPr>
            <w:r>
              <w:rPr>
                <w:kern w:val="0"/>
                <w:sz w:val="18"/>
                <w:szCs w:val="18"/>
              </w:rPr>
              <w:t>项目名称</w:t>
            </w:r>
          </w:p>
        </w:tc>
        <w:tc>
          <w:tcPr>
            <w:tcW w:w="7052" w:type="dxa"/>
            <w:gridSpan w:val="5"/>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3705973">
            <w:pPr>
              <w:widowControl/>
              <w:jc w:val="center"/>
              <w:textAlignment w:val="center"/>
              <w:rPr>
                <w:sz w:val="18"/>
                <w:szCs w:val="18"/>
              </w:rPr>
            </w:pPr>
            <w:r>
              <w:rPr>
                <w:rFonts w:hint="eastAsia"/>
                <w:sz w:val="18"/>
                <w:szCs w:val="18"/>
              </w:rPr>
              <w:t>高技能人才培训基地建设</w:t>
            </w:r>
          </w:p>
        </w:tc>
      </w:tr>
      <w:tr w14:paraId="1353E0AE">
        <w:tblPrEx>
          <w:tblCellMar>
            <w:top w:w="0" w:type="dxa"/>
            <w:left w:w="0" w:type="dxa"/>
            <w:bottom w:w="0" w:type="dxa"/>
            <w:right w:w="0" w:type="dxa"/>
          </w:tblCellMar>
        </w:tblPrEx>
        <w:trPr>
          <w:trHeight w:val="276" w:hRule="atLeast"/>
        </w:trPr>
        <w:tc>
          <w:tcPr>
            <w:tcW w:w="178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38D3F54">
            <w:pPr>
              <w:widowControl/>
              <w:jc w:val="center"/>
              <w:textAlignment w:val="center"/>
              <w:rPr>
                <w:sz w:val="18"/>
                <w:szCs w:val="18"/>
              </w:rPr>
            </w:pPr>
            <w:r>
              <w:rPr>
                <w:kern w:val="0"/>
                <w:sz w:val="18"/>
                <w:szCs w:val="18"/>
              </w:rPr>
              <w:t>主管部门</w:t>
            </w:r>
          </w:p>
        </w:tc>
        <w:tc>
          <w:tcPr>
            <w:tcW w:w="4221"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D0F6E35">
            <w:pPr>
              <w:widowControl/>
              <w:jc w:val="center"/>
              <w:textAlignment w:val="center"/>
              <w:rPr>
                <w:sz w:val="18"/>
                <w:szCs w:val="18"/>
              </w:rPr>
            </w:pPr>
            <w:r>
              <w:rPr>
                <w:rFonts w:hint="eastAsia"/>
                <w:sz w:val="18"/>
                <w:szCs w:val="18"/>
              </w:rPr>
              <w:t>自治区工业和信息化厅</w:t>
            </w:r>
          </w:p>
        </w:tc>
        <w:tc>
          <w:tcPr>
            <w:tcW w:w="13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85D813E">
            <w:pPr>
              <w:widowControl/>
              <w:jc w:val="center"/>
              <w:textAlignment w:val="center"/>
              <w:rPr>
                <w:sz w:val="18"/>
                <w:szCs w:val="18"/>
              </w:rPr>
            </w:pPr>
            <w:r>
              <w:rPr>
                <w:kern w:val="0"/>
                <w:sz w:val="18"/>
                <w:szCs w:val="18"/>
              </w:rPr>
              <w:t>实施单位</w:t>
            </w:r>
          </w:p>
        </w:tc>
        <w:tc>
          <w:tcPr>
            <w:tcW w:w="148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2C31B5B">
            <w:pPr>
              <w:jc w:val="center"/>
              <w:rPr>
                <w:sz w:val="18"/>
                <w:szCs w:val="18"/>
              </w:rPr>
            </w:pPr>
            <w:r>
              <w:rPr>
                <w:rFonts w:hint="eastAsia"/>
                <w:sz w:val="18"/>
                <w:szCs w:val="18"/>
              </w:rPr>
              <w:t>新疆安装技工学校</w:t>
            </w:r>
          </w:p>
        </w:tc>
      </w:tr>
      <w:tr w14:paraId="03E491DE">
        <w:tblPrEx>
          <w:tblCellMar>
            <w:top w:w="0" w:type="dxa"/>
            <w:left w:w="0" w:type="dxa"/>
            <w:bottom w:w="0" w:type="dxa"/>
            <w:right w:w="0" w:type="dxa"/>
          </w:tblCellMar>
        </w:tblPrEx>
        <w:trPr>
          <w:trHeight w:val="276" w:hRule="atLeast"/>
        </w:trPr>
        <w:tc>
          <w:tcPr>
            <w:tcW w:w="1782"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F599820">
            <w:pPr>
              <w:widowControl/>
              <w:jc w:val="center"/>
              <w:textAlignment w:val="center"/>
              <w:rPr>
                <w:sz w:val="18"/>
                <w:szCs w:val="18"/>
              </w:rPr>
            </w:pPr>
            <w:r>
              <w:rPr>
                <w:kern w:val="0"/>
                <w:sz w:val="18"/>
                <w:szCs w:val="18"/>
              </w:rPr>
              <w:t>项目资金</w:t>
            </w:r>
          </w:p>
        </w:tc>
        <w:tc>
          <w:tcPr>
            <w:tcW w:w="14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44EB7E4">
            <w:pPr>
              <w:jc w:val="center"/>
              <w:rPr>
                <w:sz w:val="18"/>
                <w:szCs w:val="18"/>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3610DFD">
            <w:pPr>
              <w:widowControl/>
              <w:jc w:val="center"/>
              <w:textAlignment w:val="center"/>
              <w:rPr>
                <w:sz w:val="18"/>
                <w:szCs w:val="18"/>
              </w:rPr>
            </w:pPr>
            <w:r>
              <w:rPr>
                <w:kern w:val="0"/>
                <w:sz w:val="18"/>
                <w:szCs w:val="18"/>
              </w:rPr>
              <w:t>年初预算数</w:t>
            </w:r>
          </w:p>
        </w:tc>
        <w:tc>
          <w:tcPr>
            <w:tcW w:w="126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87B1711">
            <w:pPr>
              <w:widowControl/>
              <w:jc w:val="center"/>
              <w:textAlignment w:val="center"/>
              <w:rPr>
                <w:sz w:val="18"/>
                <w:szCs w:val="18"/>
              </w:rPr>
            </w:pPr>
            <w:r>
              <w:rPr>
                <w:kern w:val="0"/>
                <w:sz w:val="18"/>
                <w:szCs w:val="18"/>
              </w:rPr>
              <w:t>全年预算数</w:t>
            </w:r>
          </w:p>
        </w:tc>
        <w:tc>
          <w:tcPr>
            <w:tcW w:w="13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1DA2141">
            <w:pPr>
              <w:widowControl/>
              <w:jc w:val="center"/>
              <w:textAlignment w:val="center"/>
              <w:rPr>
                <w:sz w:val="18"/>
                <w:szCs w:val="18"/>
              </w:rPr>
            </w:pPr>
            <w:r>
              <w:rPr>
                <w:kern w:val="0"/>
                <w:sz w:val="18"/>
                <w:szCs w:val="18"/>
              </w:rPr>
              <w:t>全年执行数</w:t>
            </w:r>
          </w:p>
        </w:tc>
        <w:tc>
          <w:tcPr>
            <w:tcW w:w="148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07A5822">
            <w:pPr>
              <w:widowControl/>
              <w:jc w:val="center"/>
              <w:textAlignment w:val="center"/>
              <w:rPr>
                <w:sz w:val="18"/>
                <w:szCs w:val="18"/>
              </w:rPr>
            </w:pPr>
            <w:r>
              <w:rPr>
                <w:kern w:val="0"/>
                <w:sz w:val="18"/>
                <w:szCs w:val="18"/>
              </w:rPr>
              <w:t>执行率</w:t>
            </w:r>
          </w:p>
        </w:tc>
      </w:tr>
      <w:tr w14:paraId="4226C4FA">
        <w:tblPrEx>
          <w:tblCellMar>
            <w:top w:w="0" w:type="dxa"/>
            <w:left w:w="0" w:type="dxa"/>
            <w:bottom w:w="0" w:type="dxa"/>
            <w:right w:w="0" w:type="dxa"/>
          </w:tblCellMar>
        </w:tblPrEx>
        <w:trPr>
          <w:trHeight w:val="276" w:hRule="atLeast"/>
        </w:trPr>
        <w:tc>
          <w:tcPr>
            <w:tcW w:w="178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73F983A">
            <w:pPr>
              <w:jc w:val="center"/>
              <w:rPr>
                <w:sz w:val="18"/>
                <w:szCs w:val="18"/>
              </w:rPr>
            </w:pPr>
          </w:p>
        </w:tc>
        <w:tc>
          <w:tcPr>
            <w:tcW w:w="14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356A7D0">
            <w:pPr>
              <w:widowControl/>
              <w:textAlignment w:val="center"/>
              <w:rPr>
                <w:sz w:val="18"/>
                <w:szCs w:val="18"/>
              </w:rPr>
            </w:pPr>
            <w:r>
              <w:rPr>
                <w:kern w:val="0"/>
                <w:sz w:val="18"/>
                <w:szCs w:val="18"/>
              </w:rPr>
              <w:t>年度资金总额</w:t>
            </w:r>
          </w:p>
        </w:tc>
        <w:tc>
          <w:tcPr>
            <w:tcW w:w="152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7427452">
            <w:pPr>
              <w:widowControl/>
              <w:jc w:val="center"/>
              <w:textAlignment w:val="center"/>
              <w:rPr>
                <w:sz w:val="18"/>
                <w:szCs w:val="18"/>
              </w:rPr>
            </w:pPr>
            <w:r>
              <w:rPr>
                <w:rFonts w:hint="eastAsia"/>
                <w:sz w:val="18"/>
                <w:szCs w:val="18"/>
              </w:rPr>
              <w:t>500</w:t>
            </w:r>
          </w:p>
        </w:tc>
        <w:tc>
          <w:tcPr>
            <w:tcW w:w="126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CB96821">
            <w:pPr>
              <w:widowControl/>
              <w:jc w:val="center"/>
              <w:textAlignment w:val="center"/>
              <w:rPr>
                <w:sz w:val="18"/>
                <w:szCs w:val="18"/>
              </w:rPr>
            </w:pPr>
            <w:r>
              <w:rPr>
                <w:rFonts w:hint="eastAsia"/>
                <w:sz w:val="18"/>
                <w:szCs w:val="18"/>
              </w:rPr>
              <w:t>500</w:t>
            </w:r>
          </w:p>
        </w:tc>
        <w:tc>
          <w:tcPr>
            <w:tcW w:w="13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01EAE78">
            <w:pPr>
              <w:widowControl/>
              <w:jc w:val="center"/>
              <w:textAlignment w:val="center"/>
              <w:rPr>
                <w:sz w:val="18"/>
                <w:szCs w:val="18"/>
              </w:rPr>
            </w:pPr>
            <w:r>
              <w:rPr>
                <w:rFonts w:hint="eastAsia"/>
                <w:sz w:val="18"/>
                <w:szCs w:val="18"/>
              </w:rPr>
              <w:t>455.51</w:t>
            </w:r>
          </w:p>
        </w:tc>
        <w:tc>
          <w:tcPr>
            <w:tcW w:w="148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388937E">
            <w:pPr>
              <w:widowControl/>
              <w:jc w:val="center"/>
              <w:textAlignment w:val="center"/>
              <w:rPr>
                <w:sz w:val="18"/>
                <w:szCs w:val="18"/>
              </w:rPr>
            </w:pPr>
            <w:r>
              <w:rPr>
                <w:rFonts w:hint="eastAsia"/>
                <w:sz w:val="18"/>
                <w:szCs w:val="18"/>
              </w:rPr>
              <w:t>91.10%</w:t>
            </w:r>
          </w:p>
        </w:tc>
      </w:tr>
      <w:tr w14:paraId="43D48E19">
        <w:tblPrEx>
          <w:tblCellMar>
            <w:top w:w="0" w:type="dxa"/>
            <w:left w:w="0" w:type="dxa"/>
            <w:bottom w:w="0" w:type="dxa"/>
            <w:right w:w="0" w:type="dxa"/>
          </w:tblCellMar>
        </w:tblPrEx>
        <w:trPr>
          <w:trHeight w:val="276" w:hRule="atLeast"/>
        </w:trPr>
        <w:tc>
          <w:tcPr>
            <w:tcW w:w="178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968208B">
            <w:pPr>
              <w:jc w:val="center"/>
              <w:rPr>
                <w:sz w:val="18"/>
                <w:szCs w:val="18"/>
              </w:rPr>
            </w:pPr>
          </w:p>
        </w:tc>
        <w:tc>
          <w:tcPr>
            <w:tcW w:w="14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DC6773A">
            <w:pPr>
              <w:widowControl/>
              <w:jc w:val="center"/>
              <w:textAlignment w:val="center"/>
              <w:rPr>
                <w:sz w:val="18"/>
                <w:szCs w:val="18"/>
              </w:rPr>
            </w:pPr>
            <w:r>
              <w:rPr>
                <w:kern w:val="0"/>
                <w:sz w:val="18"/>
                <w:szCs w:val="18"/>
              </w:rPr>
              <w:t>其中：当年财政拨款</w:t>
            </w:r>
          </w:p>
        </w:tc>
        <w:tc>
          <w:tcPr>
            <w:tcW w:w="152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26C30E1">
            <w:pPr>
              <w:widowControl/>
              <w:jc w:val="center"/>
              <w:textAlignment w:val="center"/>
              <w:rPr>
                <w:sz w:val="18"/>
                <w:szCs w:val="18"/>
              </w:rPr>
            </w:pPr>
            <w:r>
              <w:rPr>
                <w:rFonts w:hint="eastAsia"/>
                <w:sz w:val="18"/>
                <w:szCs w:val="18"/>
              </w:rPr>
              <w:t>0</w:t>
            </w:r>
          </w:p>
        </w:tc>
        <w:tc>
          <w:tcPr>
            <w:tcW w:w="126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4FBC9DE">
            <w:pPr>
              <w:widowControl/>
              <w:jc w:val="center"/>
              <w:textAlignment w:val="center"/>
              <w:rPr>
                <w:sz w:val="18"/>
                <w:szCs w:val="18"/>
              </w:rPr>
            </w:pPr>
          </w:p>
        </w:tc>
        <w:tc>
          <w:tcPr>
            <w:tcW w:w="13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0C31476">
            <w:pPr>
              <w:widowControl/>
              <w:jc w:val="center"/>
              <w:textAlignment w:val="center"/>
              <w:rPr>
                <w:sz w:val="18"/>
                <w:szCs w:val="18"/>
              </w:rPr>
            </w:pPr>
          </w:p>
        </w:tc>
        <w:tc>
          <w:tcPr>
            <w:tcW w:w="148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312ABC2">
            <w:pPr>
              <w:widowControl/>
              <w:jc w:val="center"/>
              <w:textAlignment w:val="center"/>
              <w:rPr>
                <w:sz w:val="18"/>
                <w:szCs w:val="18"/>
              </w:rPr>
            </w:pPr>
          </w:p>
        </w:tc>
      </w:tr>
      <w:tr w14:paraId="4FF1EDC6">
        <w:tblPrEx>
          <w:tblCellMar>
            <w:top w:w="0" w:type="dxa"/>
            <w:left w:w="0" w:type="dxa"/>
            <w:bottom w:w="0" w:type="dxa"/>
            <w:right w:w="0" w:type="dxa"/>
          </w:tblCellMar>
        </w:tblPrEx>
        <w:trPr>
          <w:trHeight w:val="276" w:hRule="atLeast"/>
        </w:trPr>
        <w:tc>
          <w:tcPr>
            <w:tcW w:w="178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BEE26DC">
            <w:pPr>
              <w:jc w:val="center"/>
              <w:rPr>
                <w:sz w:val="18"/>
                <w:szCs w:val="18"/>
              </w:rPr>
            </w:pPr>
          </w:p>
        </w:tc>
        <w:tc>
          <w:tcPr>
            <w:tcW w:w="14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8D1D28C">
            <w:pPr>
              <w:widowControl/>
              <w:jc w:val="center"/>
              <w:textAlignment w:val="center"/>
              <w:rPr>
                <w:sz w:val="18"/>
                <w:szCs w:val="18"/>
              </w:rPr>
            </w:pPr>
            <w:r>
              <w:rPr>
                <w:kern w:val="0"/>
                <w:sz w:val="18"/>
                <w:szCs w:val="18"/>
              </w:rPr>
              <w:t>上年结转资金</w:t>
            </w:r>
          </w:p>
        </w:tc>
        <w:tc>
          <w:tcPr>
            <w:tcW w:w="152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460909F">
            <w:pPr>
              <w:jc w:val="center"/>
              <w:rPr>
                <w:sz w:val="18"/>
                <w:szCs w:val="18"/>
              </w:rPr>
            </w:pPr>
            <w:r>
              <w:rPr>
                <w:rFonts w:hint="eastAsia"/>
                <w:sz w:val="18"/>
                <w:szCs w:val="18"/>
              </w:rPr>
              <w:t>500</w:t>
            </w:r>
          </w:p>
        </w:tc>
        <w:tc>
          <w:tcPr>
            <w:tcW w:w="126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FDEDB98">
            <w:pPr>
              <w:jc w:val="center"/>
              <w:rPr>
                <w:sz w:val="18"/>
                <w:szCs w:val="18"/>
              </w:rPr>
            </w:pPr>
            <w:r>
              <w:rPr>
                <w:rFonts w:hint="eastAsia"/>
                <w:sz w:val="18"/>
                <w:szCs w:val="18"/>
              </w:rPr>
              <w:t>500</w:t>
            </w:r>
          </w:p>
        </w:tc>
        <w:tc>
          <w:tcPr>
            <w:tcW w:w="13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10D1F9C">
            <w:pPr>
              <w:jc w:val="center"/>
              <w:rPr>
                <w:sz w:val="18"/>
                <w:szCs w:val="18"/>
              </w:rPr>
            </w:pPr>
            <w:r>
              <w:rPr>
                <w:rFonts w:hint="eastAsia"/>
                <w:sz w:val="18"/>
                <w:szCs w:val="18"/>
              </w:rPr>
              <w:t>455.51</w:t>
            </w:r>
          </w:p>
        </w:tc>
        <w:tc>
          <w:tcPr>
            <w:tcW w:w="148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BE12A45">
            <w:pPr>
              <w:jc w:val="center"/>
              <w:rPr>
                <w:sz w:val="18"/>
                <w:szCs w:val="18"/>
              </w:rPr>
            </w:pPr>
            <w:r>
              <w:rPr>
                <w:rFonts w:hint="eastAsia"/>
                <w:sz w:val="18"/>
                <w:szCs w:val="18"/>
              </w:rPr>
              <w:t>91.10%</w:t>
            </w:r>
          </w:p>
        </w:tc>
      </w:tr>
      <w:tr w14:paraId="15E08322">
        <w:tblPrEx>
          <w:tblCellMar>
            <w:top w:w="0" w:type="dxa"/>
            <w:left w:w="0" w:type="dxa"/>
            <w:bottom w:w="0" w:type="dxa"/>
            <w:right w:w="0" w:type="dxa"/>
          </w:tblCellMar>
        </w:tblPrEx>
        <w:trPr>
          <w:trHeight w:val="276" w:hRule="atLeast"/>
        </w:trPr>
        <w:tc>
          <w:tcPr>
            <w:tcW w:w="178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C6A7DBE">
            <w:pPr>
              <w:jc w:val="center"/>
              <w:rPr>
                <w:sz w:val="18"/>
                <w:szCs w:val="18"/>
              </w:rPr>
            </w:pPr>
          </w:p>
        </w:tc>
        <w:tc>
          <w:tcPr>
            <w:tcW w:w="14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3A9BCD0">
            <w:pPr>
              <w:widowControl/>
              <w:jc w:val="center"/>
              <w:textAlignment w:val="center"/>
              <w:rPr>
                <w:sz w:val="18"/>
                <w:szCs w:val="18"/>
              </w:rPr>
            </w:pPr>
            <w:r>
              <w:rPr>
                <w:kern w:val="0"/>
                <w:sz w:val="18"/>
                <w:szCs w:val="18"/>
              </w:rPr>
              <w:t xml:space="preserve">  其他资金</w:t>
            </w:r>
          </w:p>
        </w:tc>
        <w:tc>
          <w:tcPr>
            <w:tcW w:w="152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B4FF00B">
            <w:pPr>
              <w:jc w:val="center"/>
              <w:rPr>
                <w:sz w:val="18"/>
                <w:szCs w:val="18"/>
              </w:rPr>
            </w:pPr>
          </w:p>
        </w:tc>
        <w:tc>
          <w:tcPr>
            <w:tcW w:w="126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8FF15D1">
            <w:pPr>
              <w:jc w:val="center"/>
              <w:rPr>
                <w:sz w:val="18"/>
                <w:szCs w:val="18"/>
              </w:rPr>
            </w:pPr>
          </w:p>
        </w:tc>
        <w:tc>
          <w:tcPr>
            <w:tcW w:w="13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AD66965">
            <w:pPr>
              <w:jc w:val="center"/>
              <w:rPr>
                <w:sz w:val="18"/>
                <w:szCs w:val="18"/>
              </w:rPr>
            </w:pPr>
          </w:p>
        </w:tc>
        <w:tc>
          <w:tcPr>
            <w:tcW w:w="148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0D94B77">
            <w:pPr>
              <w:jc w:val="center"/>
              <w:rPr>
                <w:sz w:val="18"/>
                <w:szCs w:val="18"/>
              </w:rPr>
            </w:pPr>
          </w:p>
        </w:tc>
      </w:tr>
      <w:tr w14:paraId="26496DD0">
        <w:tblPrEx>
          <w:tblCellMar>
            <w:top w:w="0" w:type="dxa"/>
            <w:left w:w="0" w:type="dxa"/>
            <w:bottom w:w="0" w:type="dxa"/>
            <w:right w:w="0" w:type="dxa"/>
          </w:tblCellMar>
        </w:tblPrEx>
        <w:trPr>
          <w:trHeight w:val="276" w:hRule="atLeast"/>
        </w:trPr>
        <w:tc>
          <w:tcPr>
            <w:tcW w:w="79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5B483D6">
            <w:pPr>
              <w:widowControl/>
              <w:jc w:val="center"/>
              <w:textAlignment w:val="center"/>
              <w:rPr>
                <w:sz w:val="18"/>
                <w:szCs w:val="18"/>
              </w:rPr>
            </w:pPr>
            <w:r>
              <w:rPr>
                <w:kern w:val="0"/>
                <w:sz w:val="18"/>
                <w:szCs w:val="18"/>
              </w:rPr>
              <w:t>年度总体目标</w:t>
            </w:r>
          </w:p>
        </w:tc>
        <w:tc>
          <w:tcPr>
            <w:tcW w:w="5205" w:type="dxa"/>
            <w:gridSpan w:val="4"/>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92B59D7">
            <w:pPr>
              <w:widowControl/>
              <w:jc w:val="center"/>
              <w:textAlignment w:val="center"/>
              <w:rPr>
                <w:sz w:val="18"/>
                <w:szCs w:val="18"/>
              </w:rPr>
            </w:pPr>
            <w:r>
              <w:rPr>
                <w:kern w:val="0"/>
                <w:sz w:val="18"/>
                <w:szCs w:val="18"/>
              </w:rPr>
              <w:t>预期目标</w:t>
            </w:r>
          </w:p>
        </w:tc>
        <w:tc>
          <w:tcPr>
            <w:tcW w:w="283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EC7DB20">
            <w:pPr>
              <w:widowControl/>
              <w:jc w:val="center"/>
              <w:textAlignment w:val="center"/>
              <w:rPr>
                <w:sz w:val="18"/>
                <w:szCs w:val="18"/>
              </w:rPr>
            </w:pPr>
            <w:r>
              <w:rPr>
                <w:kern w:val="0"/>
                <w:sz w:val="18"/>
                <w:szCs w:val="18"/>
              </w:rPr>
              <w:t>实际完成情况</w:t>
            </w:r>
          </w:p>
        </w:tc>
      </w:tr>
      <w:tr w14:paraId="5AA830F5">
        <w:tblPrEx>
          <w:tblCellMar>
            <w:top w:w="0" w:type="dxa"/>
            <w:left w:w="0" w:type="dxa"/>
            <w:bottom w:w="0" w:type="dxa"/>
            <w:right w:w="0" w:type="dxa"/>
          </w:tblCellMar>
        </w:tblPrEx>
        <w:trPr>
          <w:trHeight w:val="720" w:hRule="atLeast"/>
        </w:trPr>
        <w:tc>
          <w:tcPr>
            <w:tcW w:w="7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2BD17D6">
            <w:pPr>
              <w:jc w:val="center"/>
              <w:rPr>
                <w:sz w:val="18"/>
                <w:szCs w:val="18"/>
              </w:rPr>
            </w:pPr>
          </w:p>
        </w:tc>
        <w:tc>
          <w:tcPr>
            <w:tcW w:w="5205" w:type="dxa"/>
            <w:gridSpan w:val="4"/>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1C38608">
            <w:pPr>
              <w:widowControl/>
              <w:textAlignment w:val="center"/>
              <w:rPr>
                <w:sz w:val="18"/>
                <w:szCs w:val="18"/>
              </w:rPr>
            </w:pPr>
            <w:r>
              <w:rPr>
                <w:rFonts w:hint="eastAsia"/>
                <w:sz w:val="18"/>
                <w:szCs w:val="18"/>
              </w:rPr>
              <w:t>1. 按照基地建设的要求，集中投入资金对我校现有基础设施进行升级改造，使培训场地和设施设备符合国家建设和安全标准。</w:t>
            </w:r>
          </w:p>
          <w:p w14:paraId="52550158">
            <w:pPr>
              <w:widowControl/>
              <w:textAlignment w:val="center"/>
              <w:rPr>
                <w:sz w:val="18"/>
                <w:szCs w:val="18"/>
              </w:rPr>
            </w:pPr>
            <w:r>
              <w:rPr>
                <w:rFonts w:hint="eastAsia"/>
                <w:sz w:val="18"/>
                <w:szCs w:val="18"/>
              </w:rPr>
              <w:t>2.进一步完善高技能人才培训的师资队伍建设方案，不断提高教师素质，满足基地培训对师资的要求。</w:t>
            </w:r>
          </w:p>
          <w:p w14:paraId="623CFCF6">
            <w:pPr>
              <w:widowControl/>
              <w:textAlignment w:val="center"/>
              <w:rPr>
                <w:sz w:val="18"/>
                <w:szCs w:val="18"/>
              </w:rPr>
            </w:pPr>
            <w:r>
              <w:rPr>
                <w:rFonts w:hint="eastAsia"/>
                <w:sz w:val="18"/>
                <w:szCs w:val="18"/>
              </w:rPr>
              <w:t>3.按照专业与产业、企业、岗位对接，专业设置与岗位相对接的原则，调整专业课程设置。</w:t>
            </w:r>
          </w:p>
        </w:tc>
        <w:tc>
          <w:tcPr>
            <w:tcW w:w="283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E9AD043">
            <w:pPr>
              <w:widowControl/>
              <w:jc w:val="left"/>
              <w:textAlignment w:val="center"/>
              <w:rPr>
                <w:sz w:val="18"/>
                <w:szCs w:val="18"/>
              </w:rPr>
            </w:pPr>
            <w:r>
              <w:rPr>
                <w:rFonts w:hint="eastAsia"/>
                <w:sz w:val="18"/>
                <w:szCs w:val="18"/>
              </w:rPr>
              <w:t>1.目前该项目两个子项目，其中建筑模型设计与制作（BIM施工技术）实训室基础设施已全部建成并投入教学使用；机电产品检测技术应用（焊接无损检测）实训室设备购置工作均已完成，因受教学楼项目建设滞后制约，部分设备放置在库房，部分设备已投入教学实训中。</w:t>
            </w:r>
          </w:p>
          <w:p w14:paraId="67213CFD">
            <w:pPr>
              <w:widowControl/>
              <w:jc w:val="left"/>
              <w:textAlignment w:val="center"/>
              <w:rPr>
                <w:sz w:val="18"/>
                <w:szCs w:val="18"/>
              </w:rPr>
            </w:pPr>
            <w:r>
              <w:rPr>
                <w:rFonts w:hint="eastAsia"/>
                <w:sz w:val="18"/>
                <w:szCs w:val="18"/>
              </w:rPr>
              <w:t>2.继续加强师资队伍的建设，定期组织教师培训和学习活动，鼓励教师参加行业交流和学术活动，提高教师的教学水平和实际操作能力。</w:t>
            </w:r>
          </w:p>
          <w:p w14:paraId="6F9A947A">
            <w:pPr>
              <w:widowControl/>
              <w:jc w:val="left"/>
              <w:textAlignment w:val="center"/>
              <w:rPr>
                <w:sz w:val="18"/>
                <w:szCs w:val="18"/>
              </w:rPr>
            </w:pPr>
            <w:r>
              <w:rPr>
                <w:rFonts w:hint="eastAsia"/>
                <w:sz w:val="18"/>
                <w:szCs w:val="18"/>
              </w:rPr>
              <w:t>3.根据市场需求和企业需求，不断完善各专业课程设置、教材开发和线上教学资源，确保课程内容的前沿性和实用性。同时，将与相关行业和企业合作，共同开发更加贴近实际需求的教材和案例。</w:t>
            </w:r>
          </w:p>
        </w:tc>
      </w:tr>
      <w:tr w14:paraId="2ACDBA7F">
        <w:tblPrEx>
          <w:tblCellMar>
            <w:top w:w="0" w:type="dxa"/>
            <w:left w:w="0" w:type="dxa"/>
            <w:bottom w:w="0" w:type="dxa"/>
            <w:right w:w="0" w:type="dxa"/>
          </w:tblCellMar>
        </w:tblPrEx>
        <w:trPr>
          <w:trHeight w:val="408" w:hRule="atLeast"/>
        </w:trPr>
        <w:tc>
          <w:tcPr>
            <w:tcW w:w="79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683300F">
            <w:pPr>
              <w:widowControl/>
              <w:jc w:val="center"/>
              <w:textAlignment w:val="center"/>
              <w:rPr>
                <w:sz w:val="18"/>
                <w:szCs w:val="18"/>
              </w:rPr>
            </w:pPr>
            <w:r>
              <w:rPr>
                <w:kern w:val="0"/>
                <w:sz w:val="18"/>
                <w:szCs w:val="18"/>
              </w:rPr>
              <w:t>绩效指标</w:t>
            </w:r>
          </w:p>
        </w:tc>
        <w:tc>
          <w:tcPr>
            <w:tcW w:w="984"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1AB0915">
            <w:pPr>
              <w:widowControl/>
              <w:jc w:val="center"/>
              <w:textAlignment w:val="center"/>
              <w:rPr>
                <w:sz w:val="18"/>
                <w:szCs w:val="18"/>
              </w:rPr>
            </w:pPr>
            <w:r>
              <w:rPr>
                <w:kern w:val="0"/>
                <w:sz w:val="18"/>
                <w:szCs w:val="18"/>
              </w:rPr>
              <w:t>一级指标</w:t>
            </w:r>
          </w:p>
        </w:tc>
        <w:tc>
          <w:tcPr>
            <w:tcW w:w="1430"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A2FBCF8">
            <w:pPr>
              <w:widowControl/>
              <w:jc w:val="center"/>
              <w:textAlignment w:val="center"/>
              <w:rPr>
                <w:sz w:val="18"/>
                <w:szCs w:val="18"/>
              </w:rPr>
            </w:pPr>
            <w:r>
              <w:rPr>
                <w:kern w:val="0"/>
                <w:sz w:val="18"/>
                <w:szCs w:val="18"/>
              </w:rPr>
              <w:t>二级指标</w:t>
            </w:r>
          </w:p>
        </w:tc>
        <w:tc>
          <w:tcPr>
            <w:tcW w:w="1523"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5B9DF58">
            <w:pPr>
              <w:widowControl/>
              <w:jc w:val="center"/>
              <w:textAlignment w:val="center"/>
              <w:rPr>
                <w:sz w:val="18"/>
                <w:szCs w:val="18"/>
              </w:rPr>
            </w:pPr>
            <w:r>
              <w:rPr>
                <w:kern w:val="0"/>
                <w:sz w:val="18"/>
                <w:szCs w:val="18"/>
              </w:rPr>
              <w:t>三级指标</w:t>
            </w:r>
          </w:p>
        </w:tc>
        <w:tc>
          <w:tcPr>
            <w:tcW w:w="126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DF32CFA">
            <w:pPr>
              <w:widowControl/>
              <w:jc w:val="center"/>
              <w:textAlignment w:val="center"/>
              <w:rPr>
                <w:sz w:val="18"/>
                <w:szCs w:val="18"/>
              </w:rPr>
            </w:pPr>
            <w:r>
              <w:rPr>
                <w:kern w:val="0"/>
                <w:sz w:val="18"/>
                <w:szCs w:val="18"/>
              </w:rPr>
              <w:t>年度指标值</w:t>
            </w:r>
          </w:p>
        </w:tc>
        <w:tc>
          <w:tcPr>
            <w:tcW w:w="13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59D7AB6">
            <w:pPr>
              <w:widowControl/>
              <w:jc w:val="center"/>
              <w:textAlignment w:val="center"/>
              <w:rPr>
                <w:sz w:val="18"/>
                <w:szCs w:val="18"/>
              </w:rPr>
            </w:pPr>
            <w:r>
              <w:rPr>
                <w:kern w:val="0"/>
                <w:sz w:val="18"/>
                <w:szCs w:val="18"/>
              </w:rPr>
              <w:t>实际完成值</w:t>
            </w:r>
          </w:p>
        </w:tc>
        <w:tc>
          <w:tcPr>
            <w:tcW w:w="1483"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7F50616">
            <w:pPr>
              <w:widowControl/>
              <w:jc w:val="center"/>
              <w:textAlignment w:val="center"/>
              <w:rPr>
                <w:sz w:val="18"/>
                <w:szCs w:val="18"/>
              </w:rPr>
            </w:pPr>
            <w:r>
              <w:rPr>
                <w:kern w:val="0"/>
                <w:sz w:val="18"/>
                <w:szCs w:val="18"/>
              </w:rPr>
              <w:t>偏差原因分析及改进措施</w:t>
            </w:r>
          </w:p>
        </w:tc>
      </w:tr>
      <w:tr w14:paraId="24E079B9">
        <w:tblPrEx>
          <w:tblCellMar>
            <w:top w:w="0" w:type="dxa"/>
            <w:left w:w="0" w:type="dxa"/>
            <w:bottom w:w="0" w:type="dxa"/>
            <w:right w:w="0" w:type="dxa"/>
          </w:tblCellMar>
        </w:tblPrEx>
        <w:trPr>
          <w:trHeight w:val="408" w:hRule="atLeast"/>
        </w:trPr>
        <w:tc>
          <w:tcPr>
            <w:tcW w:w="7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4CA0EE5">
            <w:pPr>
              <w:jc w:val="center"/>
              <w:rPr>
                <w:sz w:val="18"/>
                <w:szCs w:val="18"/>
              </w:rPr>
            </w:pPr>
          </w:p>
        </w:tc>
        <w:tc>
          <w:tcPr>
            <w:tcW w:w="98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7464069">
            <w:pPr>
              <w:jc w:val="center"/>
              <w:rPr>
                <w:sz w:val="18"/>
                <w:szCs w:val="18"/>
              </w:rPr>
            </w:pPr>
          </w:p>
        </w:tc>
        <w:tc>
          <w:tcPr>
            <w:tcW w:w="1430"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B124BEC">
            <w:pPr>
              <w:jc w:val="center"/>
              <w:rPr>
                <w:sz w:val="18"/>
                <w:szCs w:val="18"/>
              </w:rPr>
            </w:pPr>
          </w:p>
        </w:tc>
        <w:tc>
          <w:tcPr>
            <w:tcW w:w="1523"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A2C6157">
            <w:pPr>
              <w:jc w:val="center"/>
              <w:rPr>
                <w:sz w:val="18"/>
                <w:szCs w:val="18"/>
              </w:rPr>
            </w:pPr>
          </w:p>
        </w:tc>
        <w:tc>
          <w:tcPr>
            <w:tcW w:w="126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0F23B1E">
            <w:pPr>
              <w:jc w:val="center"/>
              <w:rPr>
                <w:sz w:val="18"/>
                <w:szCs w:val="18"/>
              </w:rPr>
            </w:pPr>
          </w:p>
        </w:tc>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E4A8E68">
            <w:pPr>
              <w:jc w:val="center"/>
              <w:rPr>
                <w:sz w:val="18"/>
                <w:szCs w:val="18"/>
              </w:rPr>
            </w:pPr>
          </w:p>
        </w:tc>
        <w:tc>
          <w:tcPr>
            <w:tcW w:w="1483"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B1C28FC">
            <w:pPr>
              <w:jc w:val="center"/>
              <w:rPr>
                <w:sz w:val="18"/>
                <w:szCs w:val="18"/>
              </w:rPr>
            </w:pPr>
          </w:p>
        </w:tc>
      </w:tr>
      <w:tr w14:paraId="620CD23F">
        <w:tblPrEx>
          <w:tblCellMar>
            <w:top w:w="0" w:type="dxa"/>
            <w:left w:w="0" w:type="dxa"/>
            <w:bottom w:w="0" w:type="dxa"/>
            <w:right w:w="0" w:type="dxa"/>
          </w:tblCellMar>
        </w:tblPrEx>
        <w:trPr>
          <w:trHeight w:val="876" w:hRule="atLeast"/>
        </w:trPr>
        <w:tc>
          <w:tcPr>
            <w:tcW w:w="7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28E8B66">
            <w:pPr>
              <w:jc w:val="center"/>
              <w:rPr>
                <w:sz w:val="18"/>
                <w:szCs w:val="18"/>
              </w:rPr>
            </w:pPr>
          </w:p>
        </w:tc>
        <w:tc>
          <w:tcPr>
            <w:tcW w:w="984"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941E759">
            <w:pPr>
              <w:widowControl/>
              <w:jc w:val="center"/>
              <w:textAlignment w:val="center"/>
              <w:rPr>
                <w:sz w:val="18"/>
                <w:szCs w:val="18"/>
              </w:rPr>
            </w:pPr>
            <w:r>
              <w:rPr>
                <w:kern w:val="0"/>
                <w:sz w:val="18"/>
                <w:szCs w:val="18"/>
              </w:rPr>
              <w:t>产出指标</w:t>
            </w:r>
          </w:p>
        </w:tc>
        <w:tc>
          <w:tcPr>
            <w:tcW w:w="1430"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02A1D662">
            <w:pPr>
              <w:widowControl/>
              <w:jc w:val="center"/>
              <w:textAlignment w:val="center"/>
              <w:rPr>
                <w:sz w:val="18"/>
                <w:szCs w:val="18"/>
              </w:rPr>
            </w:pPr>
            <w:r>
              <w:rPr>
                <w:kern w:val="0"/>
                <w:sz w:val="18"/>
                <w:szCs w:val="18"/>
              </w:rPr>
              <w:t>数量指标</w:t>
            </w:r>
          </w:p>
        </w:tc>
        <w:tc>
          <w:tcPr>
            <w:tcW w:w="152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0255BD4">
            <w:pPr>
              <w:widowControl/>
              <w:jc w:val="center"/>
              <w:textAlignment w:val="center"/>
              <w:rPr>
                <w:sz w:val="18"/>
                <w:szCs w:val="18"/>
              </w:rPr>
            </w:pPr>
            <w:r>
              <w:rPr>
                <w:rFonts w:hint="eastAsia"/>
                <w:sz w:val="18"/>
                <w:szCs w:val="18"/>
              </w:rPr>
              <w:t>新增基地数量</w:t>
            </w:r>
          </w:p>
        </w:tc>
        <w:tc>
          <w:tcPr>
            <w:tcW w:w="126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7CAFA70">
            <w:pPr>
              <w:widowControl/>
              <w:jc w:val="center"/>
              <w:textAlignment w:val="center"/>
              <w:rPr>
                <w:sz w:val="18"/>
                <w:szCs w:val="18"/>
              </w:rPr>
            </w:pPr>
            <w:r>
              <w:rPr>
                <w:rFonts w:hint="eastAsia"/>
                <w:sz w:val="18"/>
                <w:szCs w:val="18"/>
              </w:rPr>
              <w:t>=2个</w:t>
            </w:r>
          </w:p>
        </w:tc>
        <w:tc>
          <w:tcPr>
            <w:tcW w:w="13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8FD94CC">
            <w:pPr>
              <w:widowControl/>
              <w:jc w:val="center"/>
              <w:textAlignment w:val="center"/>
              <w:rPr>
                <w:sz w:val="18"/>
                <w:szCs w:val="18"/>
              </w:rPr>
            </w:pPr>
            <w:r>
              <w:rPr>
                <w:rFonts w:hint="eastAsia"/>
                <w:sz w:val="18"/>
                <w:szCs w:val="18"/>
              </w:rPr>
              <w:t>1.75</w:t>
            </w:r>
          </w:p>
        </w:tc>
        <w:tc>
          <w:tcPr>
            <w:tcW w:w="148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484C58C">
            <w:pPr>
              <w:jc w:val="center"/>
              <w:rPr>
                <w:sz w:val="18"/>
                <w:szCs w:val="18"/>
              </w:rPr>
            </w:pPr>
          </w:p>
        </w:tc>
      </w:tr>
      <w:tr w14:paraId="198C718B">
        <w:tblPrEx>
          <w:tblCellMar>
            <w:top w:w="0" w:type="dxa"/>
            <w:left w:w="0" w:type="dxa"/>
            <w:bottom w:w="0" w:type="dxa"/>
            <w:right w:w="0" w:type="dxa"/>
          </w:tblCellMar>
        </w:tblPrEx>
        <w:trPr>
          <w:trHeight w:val="876" w:hRule="atLeast"/>
        </w:trPr>
        <w:tc>
          <w:tcPr>
            <w:tcW w:w="7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89DF6E3">
            <w:pPr>
              <w:jc w:val="center"/>
              <w:rPr>
                <w:sz w:val="18"/>
                <w:szCs w:val="18"/>
              </w:rPr>
            </w:pPr>
          </w:p>
        </w:tc>
        <w:tc>
          <w:tcPr>
            <w:tcW w:w="98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9DE607B">
            <w:pPr>
              <w:widowControl/>
              <w:jc w:val="center"/>
              <w:textAlignment w:val="center"/>
              <w:rPr>
                <w:kern w:val="0"/>
                <w:sz w:val="18"/>
                <w:szCs w:val="18"/>
              </w:rPr>
            </w:pPr>
          </w:p>
        </w:tc>
        <w:tc>
          <w:tcPr>
            <w:tcW w:w="143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6714B16C">
            <w:pPr>
              <w:widowControl/>
              <w:jc w:val="center"/>
              <w:textAlignment w:val="center"/>
              <w:rPr>
                <w:kern w:val="0"/>
                <w:sz w:val="18"/>
                <w:szCs w:val="18"/>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34CC7FC">
            <w:pPr>
              <w:widowControl/>
              <w:jc w:val="center"/>
              <w:textAlignment w:val="center"/>
              <w:rPr>
                <w:sz w:val="18"/>
                <w:szCs w:val="18"/>
              </w:rPr>
            </w:pPr>
            <w:r>
              <w:rPr>
                <w:rFonts w:hint="eastAsia"/>
                <w:sz w:val="18"/>
                <w:szCs w:val="18"/>
              </w:rPr>
              <w:t>新增教学设备数量</w:t>
            </w:r>
          </w:p>
        </w:tc>
        <w:tc>
          <w:tcPr>
            <w:tcW w:w="126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81ED950">
            <w:pPr>
              <w:widowControl/>
              <w:jc w:val="center"/>
              <w:textAlignment w:val="center"/>
              <w:rPr>
                <w:sz w:val="18"/>
                <w:szCs w:val="18"/>
              </w:rPr>
            </w:pPr>
            <w:r>
              <w:rPr>
                <w:rFonts w:hint="eastAsia"/>
                <w:sz w:val="18"/>
                <w:szCs w:val="18"/>
              </w:rPr>
              <w:t>&gt;=295台</w:t>
            </w:r>
          </w:p>
        </w:tc>
        <w:tc>
          <w:tcPr>
            <w:tcW w:w="13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793164C">
            <w:pPr>
              <w:widowControl/>
              <w:jc w:val="center"/>
              <w:textAlignment w:val="center"/>
              <w:rPr>
                <w:sz w:val="18"/>
                <w:szCs w:val="18"/>
              </w:rPr>
            </w:pPr>
            <w:r>
              <w:rPr>
                <w:rFonts w:hint="eastAsia"/>
                <w:sz w:val="18"/>
                <w:szCs w:val="18"/>
              </w:rPr>
              <w:t>295</w:t>
            </w:r>
          </w:p>
        </w:tc>
        <w:tc>
          <w:tcPr>
            <w:tcW w:w="148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33120F9">
            <w:pPr>
              <w:jc w:val="center"/>
              <w:rPr>
                <w:sz w:val="18"/>
                <w:szCs w:val="18"/>
              </w:rPr>
            </w:pPr>
          </w:p>
        </w:tc>
      </w:tr>
      <w:tr w14:paraId="5666766F">
        <w:tblPrEx>
          <w:tblCellMar>
            <w:top w:w="0" w:type="dxa"/>
            <w:left w:w="0" w:type="dxa"/>
            <w:bottom w:w="0" w:type="dxa"/>
            <w:right w:w="0" w:type="dxa"/>
          </w:tblCellMar>
        </w:tblPrEx>
        <w:trPr>
          <w:trHeight w:val="876" w:hRule="atLeast"/>
        </w:trPr>
        <w:tc>
          <w:tcPr>
            <w:tcW w:w="7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EDC5E2B">
            <w:pPr>
              <w:jc w:val="center"/>
              <w:rPr>
                <w:sz w:val="18"/>
                <w:szCs w:val="18"/>
              </w:rPr>
            </w:pPr>
          </w:p>
        </w:tc>
        <w:tc>
          <w:tcPr>
            <w:tcW w:w="98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E6D5D4D">
            <w:pPr>
              <w:widowControl/>
              <w:jc w:val="center"/>
              <w:textAlignment w:val="center"/>
              <w:rPr>
                <w:kern w:val="0"/>
                <w:sz w:val="18"/>
                <w:szCs w:val="18"/>
              </w:rPr>
            </w:pPr>
          </w:p>
        </w:tc>
        <w:tc>
          <w:tcPr>
            <w:tcW w:w="1430"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0E16700">
            <w:pPr>
              <w:widowControl/>
              <w:jc w:val="center"/>
              <w:textAlignment w:val="center"/>
              <w:rPr>
                <w:kern w:val="0"/>
                <w:sz w:val="18"/>
                <w:szCs w:val="18"/>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EA2D6AB">
            <w:pPr>
              <w:widowControl/>
              <w:jc w:val="center"/>
              <w:textAlignment w:val="center"/>
              <w:rPr>
                <w:sz w:val="18"/>
                <w:szCs w:val="18"/>
              </w:rPr>
            </w:pPr>
            <w:r>
              <w:rPr>
                <w:rFonts w:hint="eastAsia"/>
                <w:sz w:val="18"/>
                <w:szCs w:val="18"/>
              </w:rPr>
              <w:t>教师参加培训人数</w:t>
            </w:r>
          </w:p>
        </w:tc>
        <w:tc>
          <w:tcPr>
            <w:tcW w:w="126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21FAFE6">
            <w:pPr>
              <w:widowControl/>
              <w:jc w:val="center"/>
              <w:textAlignment w:val="center"/>
              <w:rPr>
                <w:sz w:val="18"/>
                <w:szCs w:val="18"/>
              </w:rPr>
            </w:pPr>
            <w:r>
              <w:rPr>
                <w:rFonts w:hint="eastAsia"/>
                <w:sz w:val="18"/>
                <w:szCs w:val="18"/>
              </w:rPr>
              <w:t>&gt;=10人次</w:t>
            </w:r>
          </w:p>
        </w:tc>
        <w:tc>
          <w:tcPr>
            <w:tcW w:w="13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A2B8C59">
            <w:pPr>
              <w:widowControl/>
              <w:jc w:val="center"/>
              <w:textAlignment w:val="center"/>
              <w:rPr>
                <w:sz w:val="18"/>
                <w:szCs w:val="18"/>
              </w:rPr>
            </w:pPr>
            <w:r>
              <w:rPr>
                <w:rFonts w:hint="eastAsia"/>
                <w:sz w:val="18"/>
                <w:szCs w:val="18"/>
                <w:lang w:val="en-US" w:eastAsia="zh-CN"/>
              </w:rPr>
              <w:t>1</w:t>
            </w:r>
            <w:r>
              <w:rPr>
                <w:rFonts w:hint="eastAsia"/>
                <w:sz w:val="18"/>
                <w:szCs w:val="18"/>
              </w:rPr>
              <w:t>0人次</w:t>
            </w:r>
          </w:p>
        </w:tc>
        <w:tc>
          <w:tcPr>
            <w:tcW w:w="148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87B0F6A">
            <w:pPr>
              <w:jc w:val="center"/>
              <w:rPr>
                <w:sz w:val="18"/>
                <w:szCs w:val="18"/>
              </w:rPr>
            </w:pPr>
          </w:p>
        </w:tc>
      </w:tr>
      <w:tr w14:paraId="10A6A694">
        <w:tblPrEx>
          <w:tblCellMar>
            <w:top w:w="0" w:type="dxa"/>
            <w:left w:w="0" w:type="dxa"/>
            <w:bottom w:w="0" w:type="dxa"/>
            <w:right w:w="0" w:type="dxa"/>
          </w:tblCellMar>
        </w:tblPrEx>
        <w:trPr>
          <w:trHeight w:val="876" w:hRule="atLeast"/>
        </w:trPr>
        <w:tc>
          <w:tcPr>
            <w:tcW w:w="7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846E1BB">
            <w:pPr>
              <w:jc w:val="center"/>
              <w:rPr>
                <w:sz w:val="18"/>
                <w:szCs w:val="18"/>
              </w:rPr>
            </w:pPr>
          </w:p>
        </w:tc>
        <w:tc>
          <w:tcPr>
            <w:tcW w:w="984"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1E06048F">
            <w:pPr>
              <w:widowControl/>
              <w:jc w:val="center"/>
              <w:textAlignment w:val="center"/>
              <w:rPr>
                <w:kern w:val="0"/>
                <w:sz w:val="18"/>
                <w:szCs w:val="18"/>
              </w:rPr>
            </w:pPr>
          </w:p>
        </w:tc>
        <w:tc>
          <w:tcPr>
            <w:tcW w:w="1430"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6BCBE696">
            <w:pPr>
              <w:widowControl/>
              <w:jc w:val="center"/>
              <w:textAlignment w:val="center"/>
              <w:rPr>
                <w:kern w:val="0"/>
                <w:sz w:val="18"/>
                <w:szCs w:val="18"/>
              </w:rPr>
            </w:pPr>
            <w:r>
              <w:rPr>
                <w:kern w:val="0"/>
                <w:sz w:val="18"/>
                <w:szCs w:val="18"/>
              </w:rPr>
              <w:t>质量指标</w:t>
            </w:r>
          </w:p>
        </w:tc>
        <w:tc>
          <w:tcPr>
            <w:tcW w:w="152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0CC12BE">
            <w:pPr>
              <w:widowControl/>
              <w:jc w:val="center"/>
              <w:textAlignment w:val="center"/>
              <w:rPr>
                <w:sz w:val="18"/>
                <w:szCs w:val="18"/>
              </w:rPr>
            </w:pPr>
            <w:r>
              <w:rPr>
                <w:rFonts w:hint="eastAsia"/>
                <w:sz w:val="18"/>
                <w:szCs w:val="18"/>
              </w:rPr>
              <w:t>政府采购率</w:t>
            </w:r>
          </w:p>
        </w:tc>
        <w:tc>
          <w:tcPr>
            <w:tcW w:w="126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EFD17BC">
            <w:pPr>
              <w:widowControl/>
              <w:jc w:val="center"/>
              <w:textAlignment w:val="center"/>
              <w:rPr>
                <w:sz w:val="18"/>
                <w:szCs w:val="18"/>
              </w:rPr>
            </w:pPr>
            <w:r>
              <w:rPr>
                <w:sz w:val="18"/>
                <w:szCs w:val="18"/>
              </w:rPr>
              <w:t>&gt;=90%</w:t>
            </w:r>
          </w:p>
        </w:tc>
        <w:tc>
          <w:tcPr>
            <w:tcW w:w="13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EED2E63">
            <w:pPr>
              <w:widowControl/>
              <w:jc w:val="center"/>
              <w:textAlignment w:val="center"/>
              <w:rPr>
                <w:sz w:val="18"/>
                <w:szCs w:val="18"/>
              </w:rPr>
            </w:pPr>
            <w:r>
              <w:rPr>
                <w:rFonts w:hint="eastAsia"/>
                <w:sz w:val="18"/>
                <w:szCs w:val="18"/>
              </w:rPr>
              <w:t>93.81%</w:t>
            </w:r>
          </w:p>
        </w:tc>
        <w:tc>
          <w:tcPr>
            <w:tcW w:w="148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9A5A919">
            <w:pPr>
              <w:jc w:val="center"/>
              <w:rPr>
                <w:sz w:val="18"/>
                <w:szCs w:val="18"/>
              </w:rPr>
            </w:pPr>
          </w:p>
        </w:tc>
      </w:tr>
      <w:tr w14:paraId="16E7A069">
        <w:tblPrEx>
          <w:tblCellMar>
            <w:top w:w="0" w:type="dxa"/>
            <w:left w:w="0" w:type="dxa"/>
            <w:bottom w:w="0" w:type="dxa"/>
            <w:right w:w="0" w:type="dxa"/>
          </w:tblCellMar>
        </w:tblPrEx>
        <w:trPr>
          <w:trHeight w:val="876" w:hRule="atLeast"/>
        </w:trPr>
        <w:tc>
          <w:tcPr>
            <w:tcW w:w="7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31D4B36">
            <w:pPr>
              <w:jc w:val="center"/>
              <w:rPr>
                <w:sz w:val="18"/>
                <w:szCs w:val="18"/>
              </w:rPr>
            </w:pPr>
          </w:p>
        </w:tc>
        <w:tc>
          <w:tcPr>
            <w:tcW w:w="984"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6B3E9BB2">
            <w:pPr>
              <w:widowControl/>
              <w:jc w:val="center"/>
              <w:textAlignment w:val="center"/>
              <w:rPr>
                <w:kern w:val="0"/>
                <w:sz w:val="18"/>
                <w:szCs w:val="18"/>
              </w:rPr>
            </w:pPr>
          </w:p>
        </w:tc>
        <w:tc>
          <w:tcPr>
            <w:tcW w:w="1430"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D2BC839">
            <w:pPr>
              <w:widowControl/>
              <w:jc w:val="center"/>
              <w:textAlignment w:val="center"/>
              <w:rPr>
                <w:kern w:val="0"/>
                <w:sz w:val="18"/>
                <w:szCs w:val="18"/>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84158E3">
            <w:pPr>
              <w:widowControl/>
              <w:jc w:val="center"/>
              <w:textAlignment w:val="center"/>
              <w:rPr>
                <w:sz w:val="18"/>
                <w:szCs w:val="18"/>
              </w:rPr>
            </w:pPr>
            <w:r>
              <w:rPr>
                <w:rFonts w:hint="eastAsia"/>
                <w:sz w:val="18"/>
                <w:szCs w:val="18"/>
              </w:rPr>
              <w:t>购置教学设备质量达标率</w:t>
            </w:r>
          </w:p>
        </w:tc>
        <w:tc>
          <w:tcPr>
            <w:tcW w:w="126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E7B0F06">
            <w:pPr>
              <w:widowControl/>
              <w:jc w:val="center"/>
              <w:textAlignment w:val="center"/>
              <w:rPr>
                <w:sz w:val="18"/>
                <w:szCs w:val="18"/>
              </w:rPr>
            </w:pPr>
            <w:r>
              <w:rPr>
                <w:sz w:val="18"/>
                <w:szCs w:val="18"/>
              </w:rPr>
              <w:t>=100%</w:t>
            </w:r>
          </w:p>
        </w:tc>
        <w:tc>
          <w:tcPr>
            <w:tcW w:w="13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5CF176F">
            <w:pPr>
              <w:widowControl/>
              <w:jc w:val="center"/>
              <w:textAlignment w:val="center"/>
              <w:rPr>
                <w:sz w:val="18"/>
                <w:szCs w:val="18"/>
              </w:rPr>
            </w:pPr>
            <w:r>
              <w:rPr>
                <w:rFonts w:hint="eastAsia"/>
                <w:sz w:val="18"/>
                <w:szCs w:val="18"/>
              </w:rPr>
              <w:t>100%</w:t>
            </w:r>
          </w:p>
        </w:tc>
        <w:tc>
          <w:tcPr>
            <w:tcW w:w="148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7D42538">
            <w:pPr>
              <w:jc w:val="center"/>
              <w:rPr>
                <w:sz w:val="18"/>
                <w:szCs w:val="18"/>
              </w:rPr>
            </w:pPr>
          </w:p>
        </w:tc>
      </w:tr>
      <w:tr w14:paraId="1CAB6EA7">
        <w:tblPrEx>
          <w:tblCellMar>
            <w:top w:w="0" w:type="dxa"/>
            <w:left w:w="0" w:type="dxa"/>
            <w:bottom w:w="0" w:type="dxa"/>
            <w:right w:w="0" w:type="dxa"/>
          </w:tblCellMar>
        </w:tblPrEx>
        <w:trPr>
          <w:trHeight w:val="500" w:hRule="atLeast"/>
        </w:trPr>
        <w:tc>
          <w:tcPr>
            <w:tcW w:w="7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ADFFA48">
            <w:pPr>
              <w:jc w:val="center"/>
              <w:rPr>
                <w:sz w:val="18"/>
                <w:szCs w:val="18"/>
              </w:rPr>
            </w:pPr>
          </w:p>
        </w:tc>
        <w:tc>
          <w:tcPr>
            <w:tcW w:w="98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A8FF105">
            <w:pPr>
              <w:jc w:val="center"/>
              <w:rPr>
                <w:sz w:val="18"/>
                <w:szCs w:val="18"/>
              </w:rPr>
            </w:pPr>
          </w:p>
        </w:tc>
        <w:tc>
          <w:tcPr>
            <w:tcW w:w="1430"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41A3F52A">
            <w:pPr>
              <w:widowControl/>
              <w:jc w:val="center"/>
              <w:textAlignment w:val="center"/>
              <w:rPr>
                <w:sz w:val="18"/>
                <w:szCs w:val="18"/>
              </w:rPr>
            </w:pPr>
            <w:r>
              <w:rPr>
                <w:kern w:val="0"/>
                <w:sz w:val="18"/>
                <w:szCs w:val="18"/>
              </w:rPr>
              <w:t>时效指标</w:t>
            </w:r>
          </w:p>
        </w:tc>
        <w:tc>
          <w:tcPr>
            <w:tcW w:w="152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652A097">
            <w:pPr>
              <w:widowControl/>
              <w:jc w:val="center"/>
              <w:textAlignment w:val="center"/>
              <w:rPr>
                <w:sz w:val="18"/>
                <w:szCs w:val="18"/>
              </w:rPr>
            </w:pPr>
            <w:r>
              <w:rPr>
                <w:rFonts w:hint="eastAsia"/>
                <w:sz w:val="18"/>
                <w:szCs w:val="18"/>
              </w:rPr>
              <w:t>设备购置完成及时率</w:t>
            </w:r>
          </w:p>
        </w:tc>
        <w:tc>
          <w:tcPr>
            <w:tcW w:w="126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4AF1AC2">
            <w:pPr>
              <w:widowControl/>
              <w:jc w:val="center"/>
              <w:textAlignment w:val="center"/>
              <w:rPr>
                <w:sz w:val="18"/>
                <w:szCs w:val="18"/>
              </w:rPr>
            </w:pPr>
            <w:r>
              <w:rPr>
                <w:sz w:val="18"/>
                <w:szCs w:val="18"/>
              </w:rPr>
              <w:t>&gt;=90%</w:t>
            </w:r>
          </w:p>
        </w:tc>
        <w:tc>
          <w:tcPr>
            <w:tcW w:w="13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EA87247">
            <w:pPr>
              <w:widowControl/>
              <w:jc w:val="center"/>
              <w:textAlignment w:val="center"/>
              <w:rPr>
                <w:sz w:val="18"/>
                <w:szCs w:val="18"/>
              </w:rPr>
            </w:pPr>
            <w:r>
              <w:rPr>
                <w:rFonts w:hint="eastAsia"/>
                <w:sz w:val="18"/>
                <w:szCs w:val="18"/>
              </w:rPr>
              <w:t>100%</w:t>
            </w:r>
          </w:p>
        </w:tc>
        <w:tc>
          <w:tcPr>
            <w:tcW w:w="148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2BD0A0C">
            <w:pPr>
              <w:jc w:val="center"/>
              <w:rPr>
                <w:sz w:val="18"/>
                <w:szCs w:val="18"/>
              </w:rPr>
            </w:pPr>
          </w:p>
        </w:tc>
      </w:tr>
      <w:tr w14:paraId="4FE4E15F">
        <w:tblPrEx>
          <w:tblCellMar>
            <w:top w:w="0" w:type="dxa"/>
            <w:left w:w="0" w:type="dxa"/>
            <w:bottom w:w="0" w:type="dxa"/>
            <w:right w:w="0" w:type="dxa"/>
          </w:tblCellMar>
        </w:tblPrEx>
        <w:trPr>
          <w:trHeight w:val="500" w:hRule="atLeast"/>
        </w:trPr>
        <w:tc>
          <w:tcPr>
            <w:tcW w:w="7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3F62FE4">
            <w:pPr>
              <w:jc w:val="center"/>
              <w:rPr>
                <w:sz w:val="18"/>
                <w:szCs w:val="18"/>
              </w:rPr>
            </w:pPr>
          </w:p>
        </w:tc>
        <w:tc>
          <w:tcPr>
            <w:tcW w:w="98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2CFBD80">
            <w:pPr>
              <w:jc w:val="center"/>
              <w:rPr>
                <w:sz w:val="18"/>
                <w:szCs w:val="18"/>
              </w:rPr>
            </w:pPr>
          </w:p>
        </w:tc>
        <w:tc>
          <w:tcPr>
            <w:tcW w:w="1430"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A0E2682">
            <w:pPr>
              <w:widowControl/>
              <w:jc w:val="center"/>
              <w:textAlignment w:val="center"/>
              <w:rPr>
                <w:kern w:val="0"/>
                <w:sz w:val="18"/>
                <w:szCs w:val="18"/>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E11B2D2">
            <w:pPr>
              <w:widowControl/>
              <w:jc w:val="center"/>
              <w:textAlignment w:val="center"/>
              <w:rPr>
                <w:sz w:val="18"/>
                <w:szCs w:val="18"/>
              </w:rPr>
            </w:pPr>
            <w:r>
              <w:rPr>
                <w:rFonts w:hint="eastAsia"/>
                <w:sz w:val="18"/>
                <w:szCs w:val="18"/>
              </w:rPr>
              <w:t>项目按期完成率</w:t>
            </w:r>
          </w:p>
        </w:tc>
        <w:tc>
          <w:tcPr>
            <w:tcW w:w="126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861AEA6">
            <w:pPr>
              <w:widowControl/>
              <w:jc w:val="center"/>
              <w:textAlignment w:val="center"/>
              <w:rPr>
                <w:sz w:val="18"/>
                <w:szCs w:val="18"/>
              </w:rPr>
            </w:pPr>
            <w:r>
              <w:rPr>
                <w:sz w:val="18"/>
                <w:szCs w:val="18"/>
              </w:rPr>
              <w:t>&gt;=90%</w:t>
            </w:r>
          </w:p>
        </w:tc>
        <w:tc>
          <w:tcPr>
            <w:tcW w:w="13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18E38F5">
            <w:pPr>
              <w:widowControl/>
              <w:jc w:val="center"/>
              <w:textAlignment w:val="center"/>
              <w:rPr>
                <w:sz w:val="18"/>
                <w:szCs w:val="18"/>
              </w:rPr>
            </w:pPr>
            <w:r>
              <w:rPr>
                <w:rFonts w:hint="eastAsia"/>
                <w:sz w:val="18"/>
                <w:szCs w:val="18"/>
              </w:rPr>
              <w:t>100%</w:t>
            </w:r>
          </w:p>
        </w:tc>
        <w:tc>
          <w:tcPr>
            <w:tcW w:w="148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6290BC6">
            <w:pPr>
              <w:jc w:val="center"/>
              <w:rPr>
                <w:sz w:val="18"/>
                <w:szCs w:val="18"/>
              </w:rPr>
            </w:pPr>
          </w:p>
        </w:tc>
      </w:tr>
      <w:tr w14:paraId="76505E7D">
        <w:tblPrEx>
          <w:tblCellMar>
            <w:top w:w="0" w:type="dxa"/>
            <w:left w:w="0" w:type="dxa"/>
            <w:bottom w:w="0" w:type="dxa"/>
            <w:right w:w="0" w:type="dxa"/>
          </w:tblCellMar>
        </w:tblPrEx>
        <w:trPr>
          <w:trHeight w:val="560" w:hRule="atLeast"/>
        </w:trPr>
        <w:tc>
          <w:tcPr>
            <w:tcW w:w="7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58D1057">
            <w:pPr>
              <w:jc w:val="center"/>
              <w:rPr>
                <w:sz w:val="18"/>
                <w:szCs w:val="18"/>
              </w:rPr>
            </w:pPr>
          </w:p>
        </w:tc>
        <w:tc>
          <w:tcPr>
            <w:tcW w:w="98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3BF3958">
            <w:pPr>
              <w:jc w:val="center"/>
              <w:rPr>
                <w:sz w:val="18"/>
                <w:szCs w:val="18"/>
              </w:rPr>
            </w:pPr>
          </w:p>
        </w:tc>
        <w:tc>
          <w:tcPr>
            <w:tcW w:w="1430"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2D07744D">
            <w:pPr>
              <w:jc w:val="center"/>
              <w:textAlignment w:val="center"/>
              <w:rPr>
                <w:kern w:val="0"/>
                <w:sz w:val="18"/>
                <w:szCs w:val="18"/>
              </w:rPr>
            </w:pPr>
            <w:r>
              <w:rPr>
                <w:kern w:val="0"/>
                <w:sz w:val="18"/>
                <w:szCs w:val="18"/>
              </w:rPr>
              <w:t>成本指标</w:t>
            </w:r>
          </w:p>
        </w:tc>
        <w:tc>
          <w:tcPr>
            <w:tcW w:w="152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A44627C">
            <w:pPr>
              <w:widowControl/>
              <w:jc w:val="center"/>
              <w:textAlignment w:val="center"/>
              <w:rPr>
                <w:sz w:val="18"/>
                <w:szCs w:val="18"/>
              </w:rPr>
            </w:pPr>
            <w:r>
              <w:rPr>
                <w:rFonts w:hint="eastAsia"/>
                <w:sz w:val="18"/>
                <w:szCs w:val="18"/>
              </w:rPr>
              <w:t>培训支出人均成本</w:t>
            </w:r>
          </w:p>
        </w:tc>
        <w:tc>
          <w:tcPr>
            <w:tcW w:w="126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5E9B3EF">
            <w:pPr>
              <w:widowControl/>
              <w:jc w:val="center"/>
              <w:textAlignment w:val="center"/>
              <w:rPr>
                <w:sz w:val="18"/>
                <w:szCs w:val="18"/>
              </w:rPr>
            </w:pPr>
            <w:r>
              <w:rPr>
                <w:rFonts w:hint="eastAsia"/>
                <w:sz w:val="18"/>
                <w:szCs w:val="18"/>
              </w:rPr>
              <w:t>&lt;=2万元</w:t>
            </w:r>
          </w:p>
        </w:tc>
        <w:tc>
          <w:tcPr>
            <w:tcW w:w="13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EB56332">
            <w:pPr>
              <w:widowControl/>
              <w:jc w:val="center"/>
              <w:textAlignment w:val="center"/>
              <w:rPr>
                <w:sz w:val="18"/>
                <w:szCs w:val="18"/>
              </w:rPr>
            </w:pPr>
            <w:r>
              <w:rPr>
                <w:rFonts w:hint="eastAsia"/>
                <w:sz w:val="18"/>
                <w:szCs w:val="18"/>
                <w:lang w:val="en-US" w:eastAsia="zh-CN"/>
              </w:rPr>
              <w:t>1.88</w:t>
            </w:r>
            <w:r>
              <w:rPr>
                <w:rFonts w:hint="eastAsia"/>
                <w:sz w:val="18"/>
                <w:szCs w:val="18"/>
              </w:rPr>
              <w:t>万元</w:t>
            </w:r>
          </w:p>
        </w:tc>
        <w:tc>
          <w:tcPr>
            <w:tcW w:w="148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2FEBA40">
            <w:pPr>
              <w:jc w:val="center"/>
              <w:rPr>
                <w:sz w:val="18"/>
                <w:szCs w:val="18"/>
              </w:rPr>
            </w:pPr>
          </w:p>
        </w:tc>
      </w:tr>
      <w:tr w14:paraId="3514C271">
        <w:tblPrEx>
          <w:tblCellMar>
            <w:top w:w="0" w:type="dxa"/>
            <w:left w:w="0" w:type="dxa"/>
            <w:bottom w:w="0" w:type="dxa"/>
            <w:right w:w="0" w:type="dxa"/>
          </w:tblCellMar>
        </w:tblPrEx>
        <w:trPr>
          <w:trHeight w:val="560" w:hRule="atLeast"/>
        </w:trPr>
        <w:tc>
          <w:tcPr>
            <w:tcW w:w="7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DD117AD">
            <w:pPr>
              <w:jc w:val="center"/>
              <w:rPr>
                <w:sz w:val="18"/>
                <w:szCs w:val="18"/>
              </w:rPr>
            </w:pPr>
          </w:p>
        </w:tc>
        <w:tc>
          <w:tcPr>
            <w:tcW w:w="98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DEFC583">
            <w:pPr>
              <w:jc w:val="center"/>
              <w:rPr>
                <w:sz w:val="18"/>
                <w:szCs w:val="18"/>
              </w:rPr>
            </w:pPr>
          </w:p>
        </w:tc>
        <w:tc>
          <w:tcPr>
            <w:tcW w:w="1430"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D8E4517">
            <w:pPr>
              <w:widowControl/>
              <w:jc w:val="center"/>
              <w:textAlignment w:val="center"/>
              <w:rPr>
                <w:sz w:val="18"/>
                <w:szCs w:val="18"/>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997F7E5">
            <w:pPr>
              <w:widowControl/>
              <w:jc w:val="center"/>
              <w:textAlignment w:val="center"/>
              <w:rPr>
                <w:sz w:val="18"/>
                <w:szCs w:val="18"/>
              </w:rPr>
            </w:pPr>
            <w:r>
              <w:rPr>
                <w:rFonts w:hint="eastAsia"/>
                <w:sz w:val="18"/>
                <w:szCs w:val="18"/>
              </w:rPr>
              <w:t>设备采购成本控制数</w:t>
            </w:r>
          </w:p>
        </w:tc>
        <w:tc>
          <w:tcPr>
            <w:tcW w:w="126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4749520">
            <w:pPr>
              <w:widowControl/>
              <w:jc w:val="center"/>
              <w:textAlignment w:val="center"/>
              <w:rPr>
                <w:sz w:val="18"/>
                <w:szCs w:val="18"/>
              </w:rPr>
            </w:pPr>
            <w:r>
              <w:rPr>
                <w:rFonts w:hint="eastAsia"/>
                <w:sz w:val="18"/>
                <w:szCs w:val="18"/>
              </w:rPr>
              <w:t>&lt;=467万元</w:t>
            </w:r>
          </w:p>
        </w:tc>
        <w:tc>
          <w:tcPr>
            <w:tcW w:w="13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9096B7F">
            <w:pPr>
              <w:widowControl/>
              <w:jc w:val="center"/>
              <w:textAlignment w:val="center"/>
              <w:rPr>
                <w:sz w:val="18"/>
                <w:szCs w:val="18"/>
              </w:rPr>
            </w:pPr>
            <w:r>
              <w:rPr>
                <w:rFonts w:hint="eastAsia"/>
                <w:sz w:val="18"/>
                <w:szCs w:val="18"/>
              </w:rPr>
              <w:t>419.30万元</w:t>
            </w:r>
          </w:p>
        </w:tc>
        <w:tc>
          <w:tcPr>
            <w:tcW w:w="148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AA6D071">
            <w:pPr>
              <w:jc w:val="center"/>
              <w:rPr>
                <w:sz w:val="18"/>
                <w:szCs w:val="18"/>
              </w:rPr>
            </w:pPr>
          </w:p>
        </w:tc>
      </w:tr>
      <w:tr w14:paraId="282F8964">
        <w:tblPrEx>
          <w:tblCellMar>
            <w:top w:w="0" w:type="dxa"/>
            <w:left w:w="0" w:type="dxa"/>
            <w:bottom w:w="0" w:type="dxa"/>
            <w:right w:w="0" w:type="dxa"/>
          </w:tblCellMar>
        </w:tblPrEx>
        <w:trPr>
          <w:trHeight w:val="620" w:hRule="atLeast"/>
        </w:trPr>
        <w:tc>
          <w:tcPr>
            <w:tcW w:w="7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9751F95">
            <w:pPr>
              <w:jc w:val="center"/>
              <w:rPr>
                <w:sz w:val="18"/>
                <w:szCs w:val="18"/>
              </w:rPr>
            </w:pPr>
          </w:p>
        </w:tc>
        <w:tc>
          <w:tcPr>
            <w:tcW w:w="984"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2AE91140">
            <w:pPr>
              <w:widowControl/>
              <w:jc w:val="center"/>
              <w:textAlignment w:val="center"/>
              <w:rPr>
                <w:sz w:val="18"/>
                <w:szCs w:val="18"/>
              </w:rPr>
            </w:pPr>
            <w:r>
              <w:rPr>
                <w:kern w:val="0"/>
                <w:sz w:val="18"/>
                <w:szCs w:val="18"/>
              </w:rPr>
              <w:t>效益指标</w:t>
            </w:r>
          </w:p>
        </w:tc>
        <w:tc>
          <w:tcPr>
            <w:tcW w:w="14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4E0008C">
            <w:pPr>
              <w:widowControl/>
              <w:jc w:val="center"/>
              <w:textAlignment w:val="center"/>
              <w:rPr>
                <w:sz w:val="18"/>
                <w:szCs w:val="18"/>
              </w:rPr>
            </w:pPr>
            <w:r>
              <w:rPr>
                <w:sz w:val="18"/>
                <w:szCs w:val="18"/>
              </w:rPr>
              <w:t>社会效益指标</w:t>
            </w:r>
          </w:p>
        </w:tc>
        <w:tc>
          <w:tcPr>
            <w:tcW w:w="152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02027CC">
            <w:pPr>
              <w:widowControl/>
              <w:jc w:val="center"/>
              <w:textAlignment w:val="center"/>
              <w:rPr>
                <w:sz w:val="18"/>
                <w:szCs w:val="18"/>
              </w:rPr>
            </w:pPr>
            <w:r>
              <w:rPr>
                <w:rFonts w:hint="eastAsia"/>
                <w:sz w:val="18"/>
                <w:szCs w:val="18"/>
              </w:rPr>
              <w:t>设备购置类项目持续发挥作用期限</w:t>
            </w:r>
          </w:p>
        </w:tc>
        <w:tc>
          <w:tcPr>
            <w:tcW w:w="126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6C18D63">
            <w:pPr>
              <w:widowControl/>
              <w:jc w:val="center"/>
              <w:textAlignment w:val="center"/>
              <w:rPr>
                <w:sz w:val="18"/>
                <w:szCs w:val="18"/>
              </w:rPr>
            </w:pPr>
            <w:r>
              <w:rPr>
                <w:rFonts w:hint="eastAsia"/>
                <w:sz w:val="18"/>
                <w:szCs w:val="18"/>
              </w:rPr>
              <w:t>&gt;=2年</w:t>
            </w:r>
          </w:p>
        </w:tc>
        <w:tc>
          <w:tcPr>
            <w:tcW w:w="13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5C3AF0D">
            <w:pPr>
              <w:widowControl/>
              <w:jc w:val="center"/>
              <w:textAlignment w:val="center"/>
              <w:rPr>
                <w:sz w:val="18"/>
                <w:szCs w:val="18"/>
              </w:rPr>
            </w:pPr>
            <w:r>
              <w:rPr>
                <w:rFonts w:hint="eastAsia"/>
                <w:sz w:val="18"/>
                <w:szCs w:val="18"/>
              </w:rPr>
              <w:t>8年</w:t>
            </w:r>
          </w:p>
        </w:tc>
        <w:tc>
          <w:tcPr>
            <w:tcW w:w="148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445FAF9">
            <w:pPr>
              <w:jc w:val="center"/>
              <w:rPr>
                <w:sz w:val="18"/>
                <w:szCs w:val="18"/>
              </w:rPr>
            </w:pPr>
          </w:p>
        </w:tc>
      </w:tr>
      <w:tr w14:paraId="632D0A42">
        <w:tblPrEx>
          <w:tblCellMar>
            <w:top w:w="0" w:type="dxa"/>
            <w:left w:w="0" w:type="dxa"/>
            <w:bottom w:w="0" w:type="dxa"/>
            <w:right w:w="0" w:type="dxa"/>
          </w:tblCellMar>
        </w:tblPrEx>
        <w:trPr>
          <w:trHeight w:val="620" w:hRule="atLeast"/>
        </w:trPr>
        <w:tc>
          <w:tcPr>
            <w:tcW w:w="7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47A068E">
            <w:pPr>
              <w:jc w:val="center"/>
              <w:rPr>
                <w:sz w:val="18"/>
                <w:szCs w:val="18"/>
              </w:rPr>
            </w:pPr>
          </w:p>
        </w:tc>
        <w:tc>
          <w:tcPr>
            <w:tcW w:w="984"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39B6C324">
            <w:pPr>
              <w:widowControl/>
              <w:jc w:val="center"/>
              <w:textAlignment w:val="center"/>
              <w:rPr>
                <w:kern w:val="0"/>
                <w:sz w:val="18"/>
                <w:szCs w:val="18"/>
              </w:rPr>
            </w:pPr>
          </w:p>
        </w:tc>
        <w:tc>
          <w:tcPr>
            <w:tcW w:w="14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D3C8B9C">
            <w:pPr>
              <w:widowControl/>
              <w:jc w:val="center"/>
              <w:textAlignment w:val="center"/>
              <w:rPr>
                <w:kern w:val="0"/>
                <w:sz w:val="18"/>
                <w:szCs w:val="18"/>
              </w:rPr>
            </w:pPr>
            <w:r>
              <w:rPr>
                <w:kern w:val="0"/>
                <w:sz w:val="18"/>
                <w:szCs w:val="18"/>
              </w:rPr>
              <w:t>经济效益</w:t>
            </w:r>
            <w:r>
              <w:rPr>
                <w:sz w:val="18"/>
                <w:szCs w:val="18"/>
              </w:rPr>
              <w:t>指标</w:t>
            </w:r>
          </w:p>
        </w:tc>
        <w:tc>
          <w:tcPr>
            <w:tcW w:w="152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C82B77C">
            <w:pPr>
              <w:widowControl/>
              <w:jc w:val="center"/>
              <w:textAlignment w:val="center"/>
              <w:rPr>
                <w:sz w:val="18"/>
                <w:szCs w:val="18"/>
              </w:rPr>
            </w:pPr>
            <w:r>
              <w:rPr>
                <w:rFonts w:hint="eastAsia"/>
                <w:sz w:val="18"/>
                <w:szCs w:val="18"/>
              </w:rPr>
              <w:t>设备利用率</w:t>
            </w:r>
          </w:p>
        </w:tc>
        <w:tc>
          <w:tcPr>
            <w:tcW w:w="126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0C4F769">
            <w:pPr>
              <w:widowControl/>
              <w:jc w:val="center"/>
              <w:textAlignment w:val="center"/>
              <w:rPr>
                <w:sz w:val="18"/>
                <w:szCs w:val="18"/>
              </w:rPr>
            </w:pPr>
            <w:r>
              <w:rPr>
                <w:sz w:val="18"/>
                <w:szCs w:val="18"/>
              </w:rPr>
              <w:t>&gt;=90%</w:t>
            </w:r>
          </w:p>
        </w:tc>
        <w:tc>
          <w:tcPr>
            <w:tcW w:w="13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EFD19A6">
            <w:pPr>
              <w:widowControl/>
              <w:jc w:val="center"/>
              <w:textAlignment w:val="center"/>
              <w:rPr>
                <w:sz w:val="18"/>
                <w:szCs w:val="18"/>
              </w:rPr>
            </w:pPr>
            <w:r>
              <w:rPr>
                <w:rFonts w:hint="eastAsia"/>
                <w:sz w:val="18"/>
                <w:szCs w:val="18"/>
              </w:rPr>
              <w:t>85%</w:t>
            </w:r>
          </w:p>
        </w:tc>
        <w:tc>
          <w:tcPr>
            <w:tcW w:w="148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F1E19E3">
            <w:pPr>
              <w:jc w:val="center"/>
              <w:rPr>
                <w:sz w:val="18"/>
                <w:szCs w:val="18"/>
              </w:rPr>
            </w:pPr>
          </w:p>
        </w:tc>
      </w:tr>
      <w:tr w14:paraId="2CD5A9CD">
        <w:tblPrEx>
          <w:tblCellMar>
            <w:top w:w="0" w:type="dxa"/>
            <w:left w:w="0" w:type="dxa"/>
            <w:bottom w:w="0" w:type="dxa"/>
            <w:right w:w="0" w:type="dxa"/>
          </w:tblCellMar>
        </w:tblPrEx>
        <w:trPr>
          <w:trHeight w:val="620" w:hRule="atLeast"/>
        </w:trPr>
        <w:tc>
          <w:tcPr>
            <w:tcW w:w="7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8D9E304">
            <w:pPr>
              <w:jc w:val="center"/>
              <w:rPr>
                <w:sz w:val="18"/>
                <w:szCs w:val="18"/>
              </w:rPr>
            </w:pPr>
          </w:p>
        </w:tc>
        <w:tc>
          <w:tcPr>
            <w:tcW w:w="984"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0B3DDA88">
            <w:pPr>
              <w:widowControl/>
              <w:jc w:val="center"/>
              <w:textAlignment w:val="center"/>
              <w:rPr>
                <w:kern w:val="0"/>
                <w:sz w:val="18"/>
                <w:szCs w:val="18"/>
              </w:rPr>
            </w:pPr>
          </w:p>
        </w:tc>
        <w:tc>
          <w:tcPr>
            <w:tcW w:w="14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83E582B">
            <w:pPr>
              <w:widowControl/>
              <w:jc w:val="center"/>
              <w:textAlignment w:val="center"/>
              <w:rPr>
                <w:kern w:val="0"/>
                <w:sz w:val="18"/>
                <w:szCs w:val="18"/>
              </w:rPr>
            </w:pPr>
            <w:r>
              <w:rPr>
                <w:kern w:val="0"/>
                <w:sz w:val="18"/>
                <w:szCs w:val="18"/>
              </w:rPr>
              <w:t>生态效益</w:t>
            </w:r>
            <w:r>
              <w:rPr>
                <w:sz w:val="18"/>
                <w:szCs w:val="18"/>
              </w:rPr>
              <w:t>指标</w:t>
            </w:r>
          </w:p>
        </w:tc>
        <w:tc>
          <w:tcPr>
            <w:tcW w:w="152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634074C">
            <w:pPr>
              <w:widowControl/>
              <w:jc w:val="center"/>
              <w:textAlignment w:val="center"/>
              <w:rPr>
                <w:sz w:val="18"/>
                <w:szCs w:val="18"/>
              </w:rPr>
            </w:pPr>
            <w:r>
              <w:rPr>
                <w:rFonts w:hint="eastAsia"/>
                <w:sz w:val="18"/>
                <w:szCs w:val="18"/>
              </w:rPr>
              <w:t>影响环境生态要素</w:t>
            </w:r>
          </w:p>
        </w:tc>
        <w:tc>
          <w:tcPr>
            <w:tcW w:w="126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20A6443">
            <w:pPr>
              <w:widowControl/>
              <w:jc w:val="center"/>
              <w:textAlignment w:val="center"/>
              <w:rPr>
                <w:sz w:val="18"/>
                <w:szCs w:val="18"/>
              </w:rPr>
            </w:pPr>
          </w:p>
        </w:tc>
        <w:tc>
          <w:tcPr>
            <w:tcW w:w="13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ABA1C99">
            <w:pPr>
              <w:widowControl/>
              <w:jc w:val="center"/>
              <w:textAlignment w:val="center"/>
              <w:rPr>
                <w:sz w:val="18"/>
                <w:szCs w:val="18"/>
              </w:rPr>
            </w:pPr>
          </w:p>
        </w:tc>
        <w:tc>
          <w:tcPr>
            <w:tcW w:w="148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A3A61B5">
            <w:pPr>
              <w:jc w:val="center"/>
              <w:rPr>
                <w:sz w:val="18"/>
                <w:szCs w:val="18"/>
              </w:rPr>
            </w:pPr>
          </w:p>
        </w:tc>
      </w:tr>
      <w:tr w14:paraId="6C5E4C6F">
        <w:tblPrEx>
          <w:tblCellMar>
            <w:top w:w="0" w:type="dxa"/>
            <w:left w:w="0" w:type="dxa"/>
            <w:bottom w:w="0" w:type="dxa"/>
            <w:right w:w="0" w:type="dxa"/>
          </w:tblCellMar>
        </w:tblPrEx>
        <w:trPr>
          <w:trHeight w:val="620" w:hRule="atLeast"/>
        </w:trPr>
        <w:tc>
          <w:tcPr>
            <w:tcW w:w="7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BF8F66B">
            <w:pPr>
              <w:jc w:val="center"/>
              <w:rPr>
                <w:sz w:val="18"/>
                <w:szCs w:val="18"/>
              </w:rPr>
            </w:pPr>
          </w:p>
        </w:tc>
        <w:tc>
          <w:tcPr>
            <w:tcW w:w="984"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E7AFEDB">
            <w:pPr>
              <w:widowControl/>
              <w:jc w:val="center"/>
              <w:textAlignment w:val="center"/>
              <w:rPr>
                <w:kern w:val="0"/>
                <w:sz w:val="18"/>
                <w:szCs w:val="18"/>
              </w:rPr>
            </w:pPr>
          </w:p>
        </w:tc>
        <w:tc>
          <w:tcPr>
            <w:tcW w:w="14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0F61BEE">
            <w:pPr>
              <w:widowControl/>
              <w:jc w:val="center"/>
              <w:textAlignment w:val="center"/>
              <w:rPr>
                <w:kern w:val="0"/>
                <w:sz w:val="18"/>
                <w:szCs w:val="18"/>
              </w:rPr>
            </w:pPr>
            <w:r>
              <w:rPr>
                <w:kern w:val="0"/>
                <w:sz w:val="18"/>
                <w:szCs w:val="18"/>
              </w:rPr>
              <w:t>可持续影响指标</w:t>
            </w:r>
          </w:p>
        </w:tc>
        <w:tc>
          <w:tcPr>
            <w:tcW w:w="152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E257499">
            <w:pPr>
              <w:widowControl/>
              <w:jc w:val="center"/>
              <w:textAlignment w:val="center"/>
              <w:rPr>
                <w:sz w:val="18"/>
                <w:szCs w:val="18"/>
              </w:rPr>
            </w:pPr>
            <w:r>
              <w:rPr>
                <w:kern w:val="0"/>
                <w:sz w:val="18"/>
                <w:szCs w:val="18"/>
              </w:rPr>
              <w:t>可持续影响</w:t>
            </w:r>
            <w:r>
              <w:rPr>
                <w:rFonts w:hint="eastAsia"/>
                <w:kern w:val="0"/>
                <w:sz w:val="18"/>
                <w:szCs w:val="18"/>
              </w:rPr>
              <w:t>期限</w:t>
            </w:r>
          </w:p>
        </w:tc>
        <w:tc>
          <w:tcPr>
            <w:tcW w:w="126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3FF57D3">
            <w:pPr>
              <w:widowControl/>
              <w:jc w:val="center"/>
              <w:textAlignment w:val="center"/>
              <w:rPr>
                <w:sz w:val="18"/>
                <w:szCs w:val="18"/>
              </w:rPr>
            </w:pPr>
            <w:r>
              <w:rPr>
                <w:rFonts w:hint="eastAsia"/>
                <w:sz w:val="18"/>
                <w:szCs w:val="18"/>
              </w:rPr>
              <w:t>&gt;=2年</w:t>
            </w:r>
          </w:p>
        </w:tc>
        <w:tc>
          <w:tcPr>
            <w:tcW w:w="13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C546287">
            <w:pPr>
              <w:widowControl/>
              <w:jc w:val="center"/>
              <w:textAlignment w:val="center"/>
              <w:rPr>
                <w:sz w:val="18"/>
                <w:szCs w:val="18"/>
              </w:rPr>
            </w:pPr>
            <w:r>
              <w:rPr>
                <w:rFonts w:hint="eastAsia"/>
                <w:sz w:val="18"/>
                <w:szCs w:val="18"/>
              </w:rPr>
              <w:t>8年</w:t>
            </w:r>
          </w:p>
        </w:tc>
        <w:tc>
          <w:tcPr>
            <w:tcW w:w="148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1AAEBA1">
            <w:pPr>
              <w:jc w:val="center"/>
              <w:rPr>
                <w:sz w:val="18"/>
                <w:szCs w:val="18"/>
              </w:rPr>
            </w:pPr>
          </w:p>
        </w:tc>
      </w:tr>
      <w:tr w14:paraId="0A47A047">
        <w:tblPrEx>
          <w:tblCellMar>
            <w:top w:w="0" w:type="dxa"/>
            <w:left w:w="0" w:type="dxa"/>
            <w:bottom w:w="0" w:type="dxa"/>
            <w:right w:w="0" w:type="dxa"/>
          </w:tblCellMar>
        </w:tblPrEx>
        <w:trPr>
          <w:trHeight w:val="432" w:hRule="atLeast"/>
        </w:trPr>
        <w:tc>
          <w:tcPr>
            <w:tcW w:w="7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1894F9A">
            <w:pPr>
              <w:jc w:val="center"/>
              <w:rPr>
                <w:sz w:val="18"/>
                <w:szCs w:val="18"/>
              </w:rPr>
            </w:pPr>
          </w:p>
        </w:tc>
        <w:tc>
          <w:tcPr>
            <w:tcW w:w="984"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4B0E512F">
            <w:pPr>
              <w:jc w:val="center"/>
              <w:textAlignment w:val="center"/>
              <w:rPr>
                <w:kern w:val="0"/>
                <w:sz w:val="18"/>
                <w:szCs w:val="18"/>
              </w:rPr>
            </w:pPr>
            <w:r>
              <w:rPr>
                <w:kern w:val="0"/>
                <w:sz w:val="18"/>
                <w:szCs w:val="18"/>
              </w:rPr>
              <w:t>满意度</w:t>
            </w:r>
          </w:p>
        </w:tc>
        <w:tc>
          <w:tcPr>
            <w:tcW w:w="1430"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09F89B6E">
            <w:pPr>
              <w:jc w:val="center"/>
              <w:textAlignment w:val="center"/>
              <w:rPr>
                <w:kern w:val="0"/>
                <w:sz w:val="18"/>
                <w:szCs w:val="18"/>
              </w:rPr>
            </w:pPr>
            <w:r>
              <w:rPr>
                <w:kern w:val="0"/>
                <w:sz w:val="18"/>
                <w:szCs w:val="18"/>
              </w:rPr>
              <w:t>服务对象满意度指标</w:t>
            </w:r>
          </w:p>
        </w:tc>
        <w:tc>
          <w:tcPr>
            <w:tcW w:w="152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7916221">
            <w:pPr>
              <w:widowControl/>
              <w:jc w:val="center"/>
              <w:textAlignment w:val="center"/>
              <w:rPr>
                <w:sz w:val="18"/>
                <w:szCs w:val="18"/>
              </w:rPr>
            </w:pPr>
            <w:r>
              <w:rPr>
                <w:rFonts w:hint="eastAsia"/>
                <w:sz w:val="18"/>
                <w:szCs w:val="18"/>
              </w:rPr>
              <w:t>学生满意度</w:t>
            </w:r>
          </w:p>
        </w:tc>
        <w:tc>
          <w:tcPr>
            <w:tcW w:w="126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D99CCA8">
            <w:pPr>
              <w:widowControl/>
              <w:jc w:val="center"/>
              <w:textAlignment w:val="center"/>
              <w:rPr>
                <w:sz w:val="18"/>
                <w:szCs w:val="18"/>
              </w:rPr>
            </w:pPr>
            <w:r>
              <w:rPr>
                <w:sz w:val="18"/>
                <w:szCs w:val="18"/>
              </w:rPr>
              <w:t>&gt;=90%</w:t>
            </w:r>
          </w:p>
        </w:tc>
        <w:tc>
          <w:tcPr>
            <w:tcW w:w="13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68C411D">
            <w:pPr>
              <w:widowControl/>
              <w:jc w:val="center"/>
              <w:textAlignment w:val="center"/>
              <w:rPr>
                <w:rFonts w:hint="default" w:eastAsia="宋体"/>
                <w:sz w:val="18"/>
                <w:szCs w:val="18"/>
                <w:lang w:val="en-US" w:eastAsia="zh-CN"/>
              </w:rPr>
            </w:pPr>
            <w:r>
              <w:rPr>
                <w:rFonts w:hint="eastAsia"/>
                <w:sz w:val="18"/>
                <w:szCs w:val="18"/>
                <w:lang w:val="en-US" w:eastAsia="zh-CN"/>
              </w:rPr>
              <w:t>100%</w:t>
            </w:r>
          </w:p>
        </w:tc>
        <w:tc>
          <w:tcPr>
            <w:tcW w:w="148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68C8963">
            <w:pPr>
              <w:rPr>
                <w:sz w:val="18"/>
                <w:szCs w:val="18"/>
              </w:rPr>
            </w:pPr>
          </w:p>
        </w:tc>
      </w:tr>
      <w:tr w14:paraId="05B55436">
        <w:tblPrEx>
          <w:tblCellMar>
            <w:top w:w="0" w:type="dxa"/>
            <w:left w:w="0" w:type="dxa"/>
            <w:bottom w:w="0" w:type="dxa"/>
            <w:right w:w="0" w:type="dxa"/>
          </w:tblCellMar>
        </w:tblPrEx>
        <w:trPr>
          <w:trHeight w:val="432" w:hRule="atLeast"/>
        </w:trPr>
        <w:tc>
          <w:tcPr>
            <w:tcW w:w="7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E778ECC">
            <w:pPr>
              <w:jc w:val="center"/>
              <w:rPr>
                <w:sz w:val="18"/>
                <w:szCs w:val="18"/>
              </w:rPr>
            </w:pPr>
          </w:p>
        </w:tc>
        <w:tc>
          <w:tcPr>
            <w:tcW w:w="984"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64C009F">
            <w:pPr>
              <w:widowControl/>
              <w:jc w:val="center"/>
              <w:textAlignment w:val="center"/>
              <w:rPr>
                <w:sz w:val="18"/>
                <w:szCs w:val="18"/>
              </w:rPr>
            </w:pPr>
          </w:p>
        </w:tc>
        <w:tc>
          <w:tcPr>
            <w:tcW w:w="1430"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0D4F693">
            <w:pPr>
              <w:widowControl/>
              <w:jc w:val="center"/>
              <w:textAlignment w:val="center"/>
              <w:rPr>
                <w:sz w:val="18"/>
                <w:szCs w:val="18"/>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91DE94E">
            <w:pPr>
              <w:widowControl/>
              <w:jc w:val="center"/>
              <w:textAlignment w:val="center"/>
              <w:rPr>
                <w:sz w:val="18"/>
                <w:szCs w:val="18"/>
              </w:rPr>
            </w:pPr>
            <w:r>
              <w:rPr>
                <w:rFonts w:hint="eastAsia"/>
                <w:sz w:val="18"/>
                <w:szCs w:val="18"/>
              </w:rPr>
              <w:t>企业满意度</w:t>
            </w:r>
          </w:p>
        </w:tc>
        <w:tc>
          <w:tcPr>
            <w:tcW w:w="126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8695C0A">
            <w:pPr>
              <w:widowControl/>
              <w:jc w:val="center"/>
              <w:textAlignment w:val="center"/>
              <w:rPr>
                <w:sz w:val="18"/>
                <w:szCs w:val="18"/>
              </w:rPr>
            </w:pPr>
            <w:r>
              <w:rPr>
                <w:sz w:val="18"/>
                <w:szCs w:val="18"/>
              </w:rPr>
              <w:t>&gt;=90%</w:t>
            </w:r>
          </w:p>
        </w:tc>
        <w:tc>
          <w:tcPr>
            <w:tcW w:w="13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E6656A1">
            <w:pPr>
              <w:widowControl/>
              <w:jc w:val="center"/>
              <w:textAlignment w:val="center"/>
              <w:rPr>
                <w:sz w:val="18"/>
                <w:szCs w:val="18"/>
              </w:rPr>
            </w:pPr>
            <w:r>
              <w:rPr>
                <w:rFonts w:hint="eastAsia"/>
                <w:sz w:val="18"/>
                <w:szCs w:val="18"/>
              </w:rPr>
              <w:t>0</w:t>
            </w:r>
          </w:p>
        </w:tc>
        <w:tc>
          <w:tcPr>
            <w:tcW w:w="148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9DAFCA0">
            <w:pPr>
              <w:rPr>
                <w:sz w:val="18"/>
                <w:szCs w:val="18"/>
              </w:rPr>
            </w:pPr>
            <w:r>
              <w:rPr>
                <w:rFonts w:hint="eastAsia"/>
                <w:sz w:val="18"/>
                <w:szCs w:val="18"/>
              </w:rPr>
              <w:t>偏差原因：因在建实训楼未完工，导致该项目实训室无法建设投入使用，从而未进行企业满意度调查。</w:t>
            </w:r>
          </w:p>
          <w:p w14:paraId="2F0333B0">
            <w:pPr>
              <w:rPr>
                <w:sz w:val="18"/>
                <w:szCs w:val="18"/>
              </w:rPr>
            </w:pPr>
            <w:r>
              <w:rPr>
                <w:rFonts w:hint="eastAsia"/>
                <w:sz w:val="18"/>
                <w:szCs w:val="18"/>
              </w:rPr>
              <w:t>改进措施：加快推进实训楼项目建设,尽快建设实训室以投入使用。</w:t>
            </w:r>
          </w:p>
        </w:tc>
      </w:tr>
    </w:tbl>
    <w:p w14:paraId="5D23A6F4">
      <w:pPr>
        <w:pStyle w:val="2"/>
        <w:jc w:val="both"/>
        <w:outlineLvl w:val="9"/>
        <w:rPr>
          <w:rFonts w:ascii="Times New Roman" w:hAnsi="Times New Roman" w:eastAsia="黑体"/>
          <w:b w:val="0"/>
          <w:bCs w:val="0"/>
        </w:rPr>
      </w:pPr>
    </w:p>
    <w:p w14:paraId="0FF0CC69">
      <w:pPr>
        <w:pStyle w:val="2"/>
        <w:outlineLvl w:val="9"/>
        <w:rPr>
          <w:rFonts w:ascii="Times New Roman" w:hAnsi="Times New Roman" w:eastAsia="黑体"/>
          <w:b w:val="0"/>
          <w:bCs w:val="0"/>
        </w:rPr>
      </w:pPr>
    </w:p>
    <w:p w14:paraId="6BE4702A">
      <w:pPr>
        <w:pStyle w:val="2"/>
        <w:jc w:val="both"/>
        <w:outlineLvl w:val="9"/>
        <w:rPr>
          <w:rFonts w:ascii="Times New Roman" w:hAnsi="Times New Roman"/>
        </w:rPr>
        <w:sectPr>
          <w:pgSz w:w="11906" w:h="16838"/>
          <w:pgMar w:top="1440" w:right="1558" w:bottom="1440" w:left="1800" w:header="851" w:footer="992" w:gutter="0"/>
          <w:cols w:space="425" w:num="1"/>
          <w:docGrid w:type="lines" w:linePitch="312" w:charSpace="0"/>
        </w:sectPr>
      </w:pPr>
    </w:p>
    <w:p w14:paraId="656DA0FC">
      <w:pPr>
        <w:spacing w:line="600" w:lineRule="exact"/>
        <w:outlineLvl w:val="0"/>
        <w:rPr>
          <w:rFonts w:hint="eastAsia" w:ascii="黑体" w:hAnsi="黑体" w:eastAsia="黑体" w:cs="黑体"/>
        </w:rPr>
      </w:pPr>
      <w:bookmarkStart w:id="29" w:name="_Toc5739"/>
      <w:r>
        <w:rPr>
          <w:rFonts w:hint="eastAsia" w:ascii="黑体" w:hAnsi="黑体" w:eastAsia="黑体" w:cs="黑体"/>
          <w:bCs/>
          <w:sz w:val="32"/>
          <w:szCs w:val="32"/>
        </w:rPr>
        <w:t>附件1</w:t>
      </w:r>
      <w:bookmarkEnd w:id="29"/>
    </w:p>
    <w:p w14:paraId="23FE28EE">
      <w:pPr>
        <w:pStyle w:val="22"/>
        <w:ind w:firstLine="562"/>
        <w:jc w:val="center"/>
        <w:rPr>
          <w:sz w:val="28"/>
          <w:szCs w:val="40"/>
        </w:rPr>
      </w:pPr>
      <w:bookmarkStart w:id="30" w:name="_Toc30064_WPSOffice_Level1"/>
      <w:bookmarkStart w:id="31" w:name="_Toc26499_WPSOffice_Level2"/>
      <w:r>
        <w:rPr>
          <w:rFonts w:hint="eastAsia"/>
          <w:b/>
          <w:bCs/>
          <w:sz w:val="28"/>
          <w:szCs w:val="40"/>
        </w:rPr>
        <w:t>高技能人才培训基地建设项目绩效评价指标体系及综合评分表</w:t>
      </w:r>
      <w:bookmarkEnd w:id="30"/>
      <w:bookmarkEnd w:id="31"/>
    </w:p>
    <w:tbl>
      <w:tblPr>
        <w:tblStyle w:val="17"/>
        <w:tblW w:w="12683"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832"/>
        <w:gridCol w:w="764"/>
        <w:gridCol w:w="873"/>
        <w:gridCol w:w="2353"/>
        <w:gridCol w:w="5198"/>
        <w:gridCol w:w="1300"/>
        <w:gridCol w:w="1363"/>
      </w:tblGrid>
      <w:tr w14:paraId="6866619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832" w:type="dxa"/>
            <w:shd w:val="clear" w:color="auto" w:fill="FFFFFF"/>
            <w:vAlign w:val="center"/>
          </w:tcPr>
          <w:p w14:paraId="73A7FE18">
            <w:pPr>
              <w:widowControl/>
              <w:spacing w:line="0" w:lineRule="atLeast"/>
              <w:jc w:val="center"/>
              <w:rPr>
                <w:b/>
                <w:bCs/>
                <w:color w:val="000000"/>
                <w:kern w:val="0"/>
                <w:sz w:val="22"/>
                <w:szCs w:val="22"/>
              </w:rPr>
            </w:pPr>
            <w:r>
              <w:rPr>
                <w:b/>
                <w:bCs/>
                <w:color w:val="000000"/>
                <w:kern w:val="0"/>
                <w:sz w:val="22"/>
                <w:szCs w:val="22"/>
              </w:rPr>
              <w:t>一级指标</w:t>
            </w:r>
          </w:p>
        </w:tc>
        <w:tc>
          <w:tcPr>
            <w:tcW w:w="764" w:type="dxa"/>
            <w:shd w:val="clear" w:color="auto" w:fill="FFFFFF"/>
            <w:vAlign w:val="center"/>
          </w:tcPr>
          <w:p w14:paraId="0EE620BA">
            <w:pPr>
              <w:widowControl/>
              <w:spacing w:line="0" w:lineRule="atLeast"/>
              <w:jc w:val="center"/>
              <w:rPr>
                <w:b/>
                <w:bCs/>
                <w:color w:val="000000"/>
                <w:kern w:val="0"/>
                <w:sz w:val="22"/>
                <w:szCs w:val="22"/>
              </w:rPr>
            </w:pPr>
            <w:r>
              <w:rPr>
                <w:b/>
                <w:bCs/>
                <w:color w:val="000000"/>
                <w:kern w:val="0"/>
                <w:sz w:val="22"/>
                <w:szCs w:val="22"/>
              </w:rPr>
              <w:t>二级指标</w:t>
            </w:r>
          </w:p>
        </w:tc>
        <w:tc>
          <w:tcPr>
            <w:tcW w:w="873" w:type="dxa"/>
            <w:shd w:val="clear" w:color="auto" w:fill="FFFFFF"/>
            <w:vAlign w:val="center"/>
          </w:tcPr>
          <w:p w14:paraId="27970E63">
            <w:pPr>
              <w:widowControl/>
              <w:spacing w:line="0" w:lineRule="atLeast"/>
              <w:jc w:val="center"/>
              <w:rPr>
                <w:b/>
                <w:bCs/>
                <w:color w:val="000000"/>
                <w:kern w:val="0"/>
                <w:sz w:val="22"/>
                <w:szCs w:val="22"/>
              </w:rPr>
            </w:pPr>
            <w:r>
              <w:rPr>
                <w:b/>
                <w:bCs/>
                <w:color w:val="000000"/>
                <w:kern w:val="0"/>
                <w:sz w:val="22"/>
                <w:szCs w:val="22"/>
              </w:rPr>
              <w:t>三级指标</w:t>
            </w:r>
          </w:p>
        </w:tc>
        <w:tc>
          <w:tcPr>
            <w:tcW w:w="2353" w:type="dxa"/>
            <w:shd w:val="clear" w:color="auto" w:fill="FFFFFF"/>
            <w:vAlign w:val="center"/>
          </w:tcPr>
          <w:p w14:paraId="002F5DA0">
            <w:pPr>
              <w:widowControl/>
              <w:spacing w:line="0" w:lineRule="atLeast"/>
              <w:jc w:val="center"/>
              <w:rPr>
                <w:b/>
                <w:bCs/>
                <w:color w:val="000000"/>
                <w:kern w:val="0"/>
                <w:sz w:val="22"/>
                <w:szCs w:val="22"/>
              </w:rPr>
            </w:pPr>
            <w:r>
              <w:rPr>
                <w:b/>
                <w:bCs/>
                <w:color w:val="000000"/>
                <w:kern w:val="0"/>
                <w:sz w:val="22"/>
                <w:szCs w:val="22"/>
              </w:rPr>
              <w:t>指标解释</w:t>
            </w:r>
          </w:p>
        </w:tc>
        <w:tc>
          <w:tcPr>
            <w:tcW w:w="5198" w:type="dxa"/>
            <w:shd w:val="clear" w:color="auto" w:fill="FFFFFF"/>
            <w:vAlign w:val="center"/>
          </w:tcPr>
          <w:p w14:paraId="73B203BF">
            <w:pPr>
              <w:widowControl/>
              <w:spacing w:line="0" w:lineRule="atLeast"/>
              <w:jc w:val="center"/>
              <w:rPr>
                <w:b/>
                <w:bCs/>
                <w:color w:val="000000"/>
                <w:kern w:val="0"/>
                <w:sz w:val="22"/>
                <w:szCs w:val="22"/>
              </w:rPr>
            </w:pPr>
            <w:r>
              <w:rPr>
                <w:b/>
                <w:bCs/>
                <w:color w:val="000000"/>
                <w:kern w:val="0"/>
                <w:sz w:val="22"/>
                <w:szCs w:val="22"/>
              </w:rPr>
              <w:t>指标说明</w:t>
            </w:r>
          </w:p>
        </w:tc>
        <w:tc>
          <w:tcPr>
            <w:tcW w:w="1300" w:type="dxa"/>
            <w:shd w:val="clear" w:color="auto" w:fill="FFFFFF"/>
            <w:vAlign w:val="center"/>
          </w:tcPr>
          <w:p w14:paraId="4361995A">
            <w:pPr>
              <w:widowControl/>
              <w:spacing w:line="0" w:lineRule="atLeast"/>
              <w:jc w:val="center"/>
              <w:rPr>
                <w:b/>
                <w:bCs/>
                <w:color w:val="000000"/>
                <w:kern w:val="0"/>
                <w:sz w:val="22"/>
                <w:szCs w:val="22"/>
              </w:rPr>
            </w:pPr>
            <w:r>
              <w:rPr>
                <w:b/>
                <w:bCs/>
                <w:color w:val="000000"/>
                <w:kern w:val="0"/>
                <w:sz w:val="22"/>
                <w:szCs w:val="22"/>
              </w:rPr>
              <w:t>权重</w:t>
            </w:r>
          </w:p>
        </w:tc>
        <w:tc>
          <w:tcPr>
            <w:tcW w:w="1363" w:type="dxa"/>
            <w:shd w:val="clear" w:color="auto" w:fill="FFFFFF"/>
            <w:vAlign w:val="center"/>
          </w:tcPr>
          <w:p w14:paraId="510FB346">
            <w:pPr>
              <w:widowControl/>
              <w:spacing w:line="0" w:lineRule="atLeast"/>
              <w:jc w:val="center"/>
              <w:rPr>
                <w:b/>
                <w:bCs/>
                <w:color w:val="000000"/>
                <w:kern w:val="0"/>
                <w:sz w:val="22"/>
                <w:szCs w:val="22"/>
              </w:rPr>
            </w:pPr>
            <w:r>
              <w:rPr>
                <w:b/>
                <w:bCs/>
                <w:color w:val="000000"/>
                <w:kern w:val="0"/>
                <w:sz w:val="22"/>
                <w:szCs w:val="22"/>
              </w:rPr>
              <w:t>得分</w:t>
            </w:r>
          </w:p>
        </w:tc>
      </w:tr>
      <w:tr w14:paraId="751EADA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919" w:hRule="atLeast"/>
          <w:jc w:val="center"/>
        </w:trPr>
        <w:tc>
          <w:tcPr>
            <w:tcW w:w="832" w:type="dxa"/>
            <w:vMerge w:val="restart"/>
            <w:shd w:val="clear" w:color="auto" w:fill="FFFFFF"/>
            <w:vAlign w:val="center"/>
          </w:tcPr>
          <w:p w14:paraId="7300179E">
            <w:pPr>
              <w:widowControl/>
              <w:spacing w:line="0" w:lineRule="atLeast"/>
              <w:jc w:val="center"/>
              <w:rPr>
                <w:color w:val="000000"/>
                <w:kern w:val="0"/>
                <w:sz w:val="22"/>
                <w:szCs w:val="22"/>
              </w:rPr>
            </w:pPr>
          </w:p>
          <w:p w14:paraId="08AECB8B">
            <w:pPr>
              <w:widowControl/>
              <w:spacing w:line="0" w:lineRule="atLeast"/>
              <w:jc w:val="center"/>
              <w:rPr>
                <w:color w:val="000000"/>
                <w:kern w:val="0"/>
                <w:sz w:val="22"/>
                <w:szCs w:val="22"/>
              </w:rPr>
            </w:pPr>
          </w:p>
          <w:p w14:paraId="1BA0CA78">
            <w:pPr>
              <w:widowControl/>
              <w:spacing w:line="0" w:lineRule="atLeast"/>
              <w:jc w:val="center"/>
              <w:rPr>
                <w:color w:val="000000"/>
                <w:kern w:val="0"/>
                <w:sz w:val="22"/>
                <w:szCs w:val="22"/>
              </w:rPr>
            </w:pPr>
          </w:p>
          <w:p w14:paraId="669900EE">
            <w:pPr>
              <w:widowControl/>
              <w:spacing w:line="0" w:lineRule="atLeast"/>
              <w:jc w:val="center"/>
              <w:rPr>
                <w:color w:val="000000"/>
                <w:kern w:val="0"/>
                <w:sz w:val="22"/>
                <w:szCs w:val="22"/>
              </w:rPr>
            </w:pPr>
          </w:p>
          <w:p w14:paraId="14893B50">
            <w:pPr>
              <w:widowControl/>
              <w:spacing w:line="0" w:lineRule="atLeast"/>
              <w:jc w:val="center"/>
              <w:rPr>
                <w:color w:val="000000"/>
                <w:kern w:val="0"/>
                <w:sz w:val="22"/>
                <w:szCs w:val="22"/>
              </w:rPr>
            </w:pPr>
          </w:p>
          <w:p w14:paraId="044C82E3">
            <w:pPr>
              <w:widowControl/>
              <w:spacing w:line="0" w:lineRule="atLeast"/>
              <w:jc w:val="center"/>
              <w:rPr>
                <w:color w:val="000000"/>
                <w:kern w:val="0"/>
                <w:sz w:val="22"/>
                <w:szCs w:val="22"/>
              </w:rPr>
            </w:pPr>
          </w:p>
          <w:p w14:paraId="1E91D6F0">
            <w:pPr>
              <w:widowControl/>
              <w:spacing w:line="0" w:lineRule="atLeast"/>
              <w:jc w:val="center"/>
              <w:rPr>
                <w:color w:val="000000"/>
                <w:kern w:val="0"/>
                <w:sz w:val="22"/>
                <w:szCs w:val="22"/>
              </w:rPr>
            </w:pPr>
            <w:r>
              <w:rPr>
                <w:color w:val="000000"/>
                <w:kern w:val="0"/>
                <w:sz w:val="22"/>
                <w:szCs w:val="22"/>
              </w:rPr>
              <w:t>决策　</w:t>
            </w:r>
          </w:p>
        </w:tc>
        <w:tc>
          <w:tcPr>
            <w:tcW w:w="764" w:type="dxa"/>
            <w:vMerge w:val="restart"/>
            <w:shd w:val="clear" w:color="auto" w:fill="FFFFFF"/>
            <w:vAlign w:val="center"/>
          </w:tcPr>
          <w:p w14:paraId="6B100D00">
            <w:pPr>
              <w:widowControl/>
              <w:spacing w:line="0" w:lineRule="atLeast"/>
              <w:jc w:val="center"/>
              <w:rPr>
                <w:color w:val="000000"/>
                <w:kern w:val="0"/>
                <w:sz w:val="22"/>
                <w:szCs w:val="22"/>
              </w:rPr>
            </w:pPr>
            <w:r>
              <w:rPr>
                <w:color w:val="000000"/>
                <w:kern w:val="0"/>
                <w:sz w:val="22"/>
                <w:szCs w:val="22"/>
              </w:rPr>
              <w:t>项目立项　</w:t>
            </w:r>
          </w:p>
        </w:tc>
        <w:tc>
          <w:tcPr>
            <w:tcW w:w="873" w:type="dxa"/>
            <w:shd w:val="clear" w:color="auto" w:fill="FFFFFF"/>
            <w:vAlign w:val="center"/>
          </w:tcPr>
          <w:p w14:paraId="30AD48B7">
            <w:pPr>
              <w:widowControl/>
              <w:spacing w:line="0" w:lineRule="atLeast"/>
              <w:jc w:val="center"/>
              <w:rPr>
                <w:color w:val="000000"/>
                <w:kern w:val="0"/>
                <w:sz w:val="22"/>
                <w:szCs w:val="22"/>
              </w:rPr>
            </w:pPr>
            <w:r>
              <w:rPr>
                <w:color w:val="000000"/>
                <w:kern w:val="0"/>
                <w:sz w:val="22"/>
                <w:szCs w:val="22"/>
              </w:rPr>
              <w:t>立项依据</w:t>
            </w:r>
          </w:p>
          <w:p w14:paraId="13158026">
            <w:pPr>
              <w:widowControl/>
              <w:spacing w:line="0" w:lineRule="atLeast"/>
              <w:jc w:val="center"/>
              <w:rPr>
                <w:color w:val="000000"/>
                <w:kern w:val="0"/>
                <w:sz w:val="22"/>
                <w:szCs w:val="22"/>
              </w:rPr>
            </w:pPr>
            <w:r>
              <w:rPr>
                <w:color w:val="000000"/>
                <w:kern w:val="0"/>
                <w:sz w:val="22"/>
                <w:szCs w:val="22"/>
              </w:rPr>
              <w:t>充分性</w:t>
            </w:r>
          </w:p>
        </w:tc>
        <w:tc>
          <w:tcPr>
            <w:tcW w:w="2353" w:type="dxa"/>
            <w:shd w:val="clear" w:color="auto" w:fill="FFFFFF"/>
            <w:vAlign w:val="center"/>
          </w:tcPr>
          <w:p w14:paraId="5A70152A">
            <w:pPr>
              <w:widowControl/>
              <w:spacing w:line="0" w:lineRule="atLeast"/>
              <w:rPr>
                <w:color w:val="000000"/>
                <w:kern w:val="0"/>
                <w:sz w:val="22"/>
                <w:szCs w:val="22"/>
              </w:rPr>
            </w:pPr>
            <w:r>
              <w:rPr>
                <w:color w:val="000000"/>
                <w:kern w:val="0"/>
                <w:sz w:val="22"/>
                <w:szCs w:val="22"/>
              </w:rPr>
              <w:t>项目立项是否符合法律法规、相关政策、发展规划以及部门职责，用以反映和考核项目立项依据情况。</w:t>
            </w:r>
          </w:p>
        </w:tc>
        <w:tc>
          <w:tcPr>
            <w:tcW w:w="5198" w:type="dxa"/>
            <w:shd w:val="clear" w:color="auto" w:fill="FFFFFF"/>
            <w:vAlign w:val="center"/>
          </w:tcPr>
          <w:p w14:paraId="3247D7DF">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①项目立项是否符合国家法律法规、国民经济发展规划和相关政策；</w:t>
            </w:r>
            <w:r>
              <w:rPr>
                <w:color w:val="000000"/>
                <w:kern w:val="0"/>
                <w:sz w:val="22"/>
                <w:szCs w:val="22"/>
              </w:rPr>
              <w:br w:type="textWrapping"/>
            </w:r>
            <w:r>
              <w:rPr>
                <w:color w:val="000000"/>
                <w:kern w:val="0"/>
                <w:sz w:val="22"/>
                <w:szCs w:val="22"/>
              </w:rPr>
              <w:t>②项目立项是否符合行业发展规划和政策要求；</w:t>
            </w:r>
            <w:r>
              <w:rPr>
                <w:color w:val="000000"/>
                <w:kern w:val="0"/>
                <w:sz w:val="22"/>
                <w:szCs w:val="22"/>
              </w:rPr>
              <w:br w:type="textWrapping"/>
            </w:r>
            <w:r>
              <w:rPr>
                <w:color w:val="000000"/>
                <w:kern w:val="0"/>
                <w:sz w:val="22"/>
                <w:szCs w:val="22"/>
              </w:rPr>
              <w:t>③项目立项是否与部门职责范围相符，属于部门履职所需；</w:t>
            </w:r>
            <w:r>
              <w:rPr>
                <w:color w:val="000000"/>
                <w:kern w:val="0"/>
                <w:sz w:val="22"/>
                <w:szCs w:val="22"/>
              </w:rPr>
              <w:br w:type="textWrapping"/>
            </w:r>
            <w:r>
              <w:rPr>
                <w:color w:val="000000"/>
                <w:kern w:val="0"/>
                <w:sz w:val="22"/>
                <w:szCs w:val="22"/>
              </w:rPr>
              <w:t>④项目是否属于公共财政支持范围，是否符合中央、地方事权支出责任划分原则；</w:t>
            </w:r>
            <w:r>
              <w:rPr>
                <w:color w:val="000000"/>
                <w:kern w:val="0"/>
                <w:sz w:val="22"/>
                <w:szCs w:val="22"/>
              </w:rPr>
              <w:br w:type="textWrapping"/>
            </w:r>
            <w:r>
              <w:rPr>
                <w:color w:val="000000"/>
                <w:kern w:val="0"/>
                <w:sz w:val="22"/>
                <w:szCs w:val="22"/>
              </w:rPr>
              <w:t>⑤项目是否与相关部门同类项目或部门内部相关项目重复。</w:t>
            </w:r>
          </w:p>
        </w:tc>
        <w:tc>
          <w:tcPr>
            <w:tcW w:w="1300" w:type="dxa"/>
            <w:shd w:val="clear" w:color="auto" w:fill="FFFFFF"/>
            <w:vAlign w:val="center"/>
          </w:tcPr>
          <w:p w14:paraId="664E03B5">
            <w:pPr>
              <w:widowControl/>
              <w:spacing w:line="0" w:lineRule="atLeast"/>
              <w:jc w:val="center"/>
              <w:rPr>
                <w:b/>
                <w:bCs/>
                <w:color w:val="000000"/>
                <w:kern w:val="0"/>
                <w:sz w:val="22"/>
                <w:szCs w:val="22"/>
              </w:rPr>
            </w:pPr>
            <w:r>
              <w:rPr>
                <w:b/>
                <w:bCs/>
                <w:color w:val="000000"/>
                <w:kern w:val="0"/>
                <w:sz w:val="22"/>
                <w:szCs w:val="22"/>
              </w:rPr>
              <w:t>3</w:t>
            </w:r>
          </w:p>
        </w:tc>
        <w:tc>
          <w:tcPr>
            <w:tcW w:w="1363" w:type="dxa"/>
            <w:shd w:val="clear" w:color="auto" w:fill="FFFFFF"/>
            <w:vAlign w:val="center"/>
          </w:tcPr>
          <w:p w14:paraId="50059F07">
            <w:pPr>
              <w:widowControl/>
              <w:spacing w:line="0" w:lineRule="atLeast"/>
              <w:jc w:val="center"/>
              <w:rPr>
                <w:rFonts w:hint="eastAsia" w:eastAsia="宋体"/>
                <w:b/>
                <w:bCs/>
                <w:color w:val="000000"/>
                <w:kern w:val="0"/>
                <w:sz w:val="22"/>
                <w:szCs w:val="22"/>
                <w:lang w:eastAsia="zh-CN"/>
              </w:rPr>
            </w:pPr>
            <w:r>
              <w:rPr>
                <w:rFonts w:hint="eastAsia"/>
                <w:b/>
                <w:bCs/>
                <w:color w:val="000000"/>
                <w:kern w:val="0"/>
                <w:sz w:val="22"/>
                <w:szCs w:val="22"/>
                <w:highlight w:val="none"/>
                <w:lang w:val="en-US" w:eastAsia="zh-CN"/>
              </w:rPr>
              <w:t>3</w:t>
            </w:r>
          </w:p>
        </w:tc>
      </w:tr>
      <w:tr w14:paraId="2433C45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832" w:type="dxa"/>
            <w:vMerge w:val="continue"/>
            <w:shd w:val="clear" w:color="auto" w:fill="FFFFFF"/>
            <w:vAlign w:val="center"/>
          </w:tcPr>
          <w:p w14:paraId="6DC65A23">
            <w:pPr>
              <w:spacing w:line="0" w:lineRule="atLeast"/>
              <w:jc w:val="center"/>
              <w:rPr>
                <w:color w:val="000000"/>
                <w:kern w:val="0"/>
                <w:sz w:val="22"/>
                <w:szCs w:val="22"/>
              </w:rPr>
            </w:pPr>
          </w:p>
        </w:tc>
        <w:tc>
          <w:tcPr>
            <w:tcW w:w="764" w:type="dxa"/>
            <w:vMerge w:val="continue"/>
            <w:shd w:val="clear" w:color="auto" w:fill="FFFFFF"/>
            <w:vAlign w:val="center"/>
          </w:tcPr>
          <w:p w14:paraId="042ECEA5">
            <w:pPr>
              <w:widowControl/>
              <w:spacing w:line="0" w:lineRule="atLeast"/>
              <w:jc w:val="center"/>
              <w:rPr>
                <w:color w:val="000000"/>
                <w:kern w:val="0"/>
                <w:sz w:val="22"/>
                <w:szCs w:val="22"/>
              </w:rPr>
            </w:pPr>
          </w:p>
        </w:tc>
        <w:tc>
          <w:tcPr>
            <w:tcW w:w="873" w:type="dxa"/>
            <w:shd w:val="clear" w:color="auto" w:fill="FFFFFF"/>
            <w:vAlign w:val="center"/>
          </w:tcPr>
          <w:p w14:paraId="3E5D8C81">
            <w:pPr>
              <w:widowControl/>
              <w:spacing w:line="0" w:lineRule="atLeast"/>
              <w:jc w:val="center"/>
              <w:rPr>
                <w:color w:val="000000"/>
                <w:kern w:val="0"/>
                <w:sz w:val="22"/>
                <w:szCs w:val="22"/>
              </w:rPr>
            </w:pPr>
            <w:r>
              <w:rPr>
                <w:color w:val="000000"/>
                <w:kern w:val="0"/>
                <w:sz w:val="22"/>
                <w:szCs w:val="22"/>
              </w:rPr>
              <w:t>立项程序</w:t>
            </w:r>
          </w:p>
          <w:p w14:paraId="02B70DF7">
            <w:pPr>
              <w:widowControl/>
              <w:spacing w:line="0" w:lineRule="atLeast"/>
              <w:jc w:val="center"/>
              <w:rPr>
                <w:color w:val="000000"/>
                <w:kern w:val="0"/>
                <w:sz w:val="22"/>
                <w:szCs w:val="22"/>
              </w:rPr>
            </w:pPr>
            <w:r>
              <w:rPr>
                <w:color w:val="000000"/>
                <w:kern w:val="0"/>
                <w:sz w:val="22"/>
                <w:szCs w:val="22"/>
              </w:rPr>
              <w:t>规范性</w:t>
            </w:r>
          </w:p>
        </w:tc>
        <w:tc>
          <w:tcPr>
            <w:tcW w:w="2353" w:type="dxa"/>
            <w:shd w:val="clear" w:color="auto" w:fill="FFFFFF"/>
            <w:vAlign w:val="center"/>
          </w:tcPr>
          <w:p w14:paraId="0E20826E">
            <w:pPr>
              <w:widowControl/>
              <w:spacing w:line="0" w:lineRule="atLeast"/>
              <w:rPr>
                <w:color w:val="000000"/>
                <w:kern w:val="0"/>
                <w:sz w:val="22"/>
                <w:szCs w:val="22"/>
              </w:rPr>
            </w:pPr>
            <w:r>
              <w:rPr>
                <w:color w:val="000000"/>
                <w:kern w:val="0"/>
                <w:sz w:val="22"/>
                <w:szCs w:val="22"/>
              </w:rPr>
              <w:t>项目申请、设立过程是否符合相关要求，用以反映和考核项目立项的规范情况。</w:t>
            </w:r>
          </w:p>
        </w:tc>
        <w:tc>
          <w:tcPr>
            <w:tcW w:w="5198" w:type="dxa"/>
            <w:shd w:val="clear" w:color="auto" w:fill="FFFFFF"/>
            <w:vAlign w:val="center"/>
          </w:tcPr>
          <w:p w14:paraId="042E7799">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①项目是否按照规定的程序申请设立；</w:t>
            </w:r>
            <w:r>
              <w:rPr>
                <w:color w:val="000000"/>
                <w:kern w:val="0"/>
                <w:sz w:val="22"/>
                <w:szCs w:val="22"/>
              </w:rPr>
              <w:br w:type="textWrapping"/>
            </w:r>
            <w:r>
              <w:rPr>
                <w:color w:val="000000"/>
                <w:kern w:val="0"/>
                <w:sz w:val="22"/>
                <w:szCs w:val="22"/>
              </w:rPr>
              <w:t>②审批文件、材料是否符合相关要求；</w:t>
            </w:r>
            <w:r>
              <w:rPr>
                <w:color w:val="000000"/>
                <w:kern w:val="0"/>
                <w:sz w:val="22"/>
                <w:szCs w:val="22"/>
              </w:rPr>
              <w:br w:type="textWrapping"/>
            </w:r>
            <w:r>
              <w:rPr>
                <w:color w:val="000000"/>
                <w:kern w:val="0"/>
                <w:sz w:val="22"/>
                <w:szCs w:val="22"/>
              </w:rPr>
              <w:t>③事前是否已经过必要的可行性研究、专家论证、风险评估、绩效评估、集体决策。</w:t>
            </w:r>
          </w:p>
        </w:tc>
        <w:tc>
          <w:tcPr>
            <w:tcW w:w="1300" w:type="dxa"/>
            <w:shd w:val="clear" w:color="auto" w:fill="FFFFFF"/>
            <w:vAlign w:val="center"/>
          </w:tcPr>
          <w:p w14:paraId="40AF8ADC">
            <w:pPr>
              <w:widowControl/>
              <w:spacing w:line="0" w:lineRule="atLeast"/>
              <w:jc w:val="center"/>
              <w:rPr>
                <w:b/>
                <w:bCs/>
                <w:color w:val="000000"/>
                <w:kern w:val="0"/>
                <w:sz w:val="22"/>
                <w:szCs w:val="22"/>
              </w:rPr>
            </w:pPr>
            <w:r>
              <w:rPr>
                <w:b/>
                <w:bCs/>
                <w:color w:val="000000"/>
                <w:kern w:val="0"/>
                <w:sz w:val="22"/>
                <w:szCs w:val="22"/>
              </w:rPr>
              <w:t>3</w:t>
            </w:r>
          </w:p>
        </w:tc>
        <w:tc>
          <w:tcPr>
            <w:tcW w:w="1363" w:type="dxa"/>
            <w:shd w:val="clear" w:color="auto" w:fill="FFFFFF"/>
            <w:vAlign w:val="center"/>
          </w:tcPr>
          <w:p w14:paraId="0BE12E09">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3</w:t>
            </w:r>
          </w:p>
        </w:tc>
      </w:tr>
      <w:tr w14:paraId="3F45B23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832" w:type="dxa"/>
            <w:vMerge w:val="continue"/>
            <w:shd w:val="clear" w:color="auto" w:fill="FFFFFF"/>
            <w:vAlign w:val="center"/>
          </w:tcPr>
          <w:p w14:paraId="54E796E8">
            <w:pPr>
              <w:spacing w:line="0" w:lineRule="atLeast"/>
              <w:jc w:val="center"/>
              <w:rPr>
                <w:color w:val="000000"/>
                <w:kern w:val="0"/>
                <w:sz w:val="22"/>
                <w:szCs w:val="22"/>
              </w:rPr>
            </w:pPr>
          </w:p>
        </w:tc>
        <w:tc>
          <w:tcPr>
            <w:tcW w:w="764" w:type="dxa"/>
            <w:vMerge w:val="restart"/>
            <w:shd w:val="clear" w:color="auto" w:fill="FFFFFF"/>
            <w:vAlign w:val="center"/>
          </w:tcPr>
          <w:p w14:paraId="551929FC">
            <w:pPr>
              <w:widowControl/>
              <w:spacing w:line="0" w:lineRule="atLeast"/>
              <w:jc w:val="center"/>
              <w:rPr>
                <w:color w:val="000000"/>
                <w:kern w:val="0"/>
                <w:sz w:val="22"/>
                <w:szCs w:val="22"/>
              </w:rPr>
            </w:pPr>
            <w:r>
              <w:rPr>
                <w:color w:val="000000"/>
                <w:kern w:val="0"/>
                <w:sz w:val="22"/>
                <w:szCs w:val="22"/>
              </w:rPr>
              <w:t>绩效目标　</w:t>
            </w:r>
          </w:p>
        </w:tc>
        <w:tc>
          <w:tcPr>
            <w:tcW w:w="873" w:type="dxa"/>
            <w:shd w:val="clear" w:color="auto" w:fill="FFFFFF"/>
            <w:vAlign w:val="center"/>
          </w:tcPr>
          <w:p w14:paraId="1AC21E74">
            <w:pPr>
              <w:widowControl/>
              <w:spacing w:line="0" w:lineRule="atLeast"/>
              <w:jc w:val="center"/>
              <w:rPr>
                <w:color w:val="000000"/>
                <w:kern w:val="0"/>
                <w:sz w:val="22"/>
                <w:szCs w:val="22"/>
              </w:rPr>
            </w:pPr>
            <w:r>
              <w:rPr>
                <w:color w:val="000000"/>
                <w:kern w:val="0"/>
                <w:sz w:val="22"/>
                <w:szCs w:val="22"/>
              </w:rPr>
              <w:t>绩效目标</w:t>
            </w:r>
          </w:p>
          <w:p w14:paraId="5770D5AC">
            <w:pPr>
              <w:widowControl/>
              <w:spacing w:line="0" w:lineRule="atLeast"/>
              <w:jc w:val="center"/>
              <w:rPr>
                <w:color w:val="000000"/>
                <w:kern w:val="0"/>
                <w:sz w:val="22"/>
                <w:szCs w:val="22"/>
              </w:rPr>
            </w:pPr>
            <w:r>
              <w:rPr>
                <w:color w:val="000000"/>
                <w:kern w:val="0"/>
                <w:sz w:val="22"/>
                <w:szCs w:val="22"/>
              </w:rPr>
              <w:t>合理性</w:t>
            </w:r>
          </w:p>
        </w:tc>
        <w:tc>
          <w:tcPr>
            <w:tcW w:w="2353" w:type="dxa"/>
            <w:shd w:val="clear" w:color="000000" w:fill="FFFFFF"/>
            <w:vAlign w:val="center"/>
          </w:tcPr>
          <w:p w14:paraId="6CAA2E8A">
            <w:pPr>
              <w:widowControl/>
              <w:spacing w:line="0" w:lineRule="atLeast"/>
              <w:rPr>
                <w:color w:val="000000"/>
                <w:kern w:val="0"/>
                <w:sz w:val="22"/>
                <w:szCs w:val="22"/>
              </w:rPr>
            </w:pPr>
            <w:r>
              <w:rPr>
                <w:color w:val="000000"/>
                <w:kern w:val="0"/>
                <w:sz w:val="22"/>
                <w:szCs w:val="22"/>
              </w:rPr>
              <w:t>项目所设定的绩效目标是否依据充分，是否符合客观实际，用以反映和考核项目绩效目标与项目实施的相符情况。</w:t>
            </w:r>
          </w:p>
        </w:tc>
        <w:tc>
          <w:tcPr>
            <w:tcW w:w="5198" w:type="dxa"/>
            <w:shd w:val="clear" w:color="000000" w:fill="FFFFFF"/>
            <w:vAlign w:val="center"/>
          </w:tcPr>
          <w:p w14:paraId="70D1983F">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（如未设定预算绩效目标，也可考核其他工作任务目标）</w:t>
            </w:r>
            <w:r>
              <w:rPr>
                <w:color w:val="000000"/>
                <w:kern w:val="0"/>
                <w:sz w:val="22"/>
                <w:szCs w:val="22"/>
              </w:rPr>
              <w:br w:type="textWrapping"/>
            </w:r>
            <w:r>
              <w:rPr>
                <w:color w:val="000000"/>
                <w:kern w:val="0"/>
                <w:sz w:val="22"/>
                <w:szCs w:val="22"/>
              </w:rPr>
              <w:t>①项目是否有绩效目标；</w:t>
            </w:r>
            <w:r>
              <w:rPr>
                <w:color w:val="000000"/>
                <w:kern w:val="0"/>
                <w:sz w:val="22"/>
                <w:szCs w:val="22"/>
              </w:rPr>
              <w:br w:type="textWrapping"/>
            </w:r>
            <w:r>
              <w:rPr>
                <w:color w:val="000000"/>
                <w:kern w:val="0"/>
                <w:sz w:val="22"/>
                <w:szCs w:val="22"/>
              </w:rPr>
              <w:t>②项目绩效目标与实际工作内容是否具有相关性；</w:t>
            </w:r>
            <w:r>
              <w:rPr>
                <w:color w:val="000000"/>
                <w:kern w:val="0"/>
                <w:sz w:val="22"/>
                <w:szCs w:val="22"/>
              </w:rPr>
              <w:br w:type="textWrapping"/>
            </w:r>
            <w:r>
              <w:rPr>
                <w:color w:val="000000"/>
                <w:kern w:val="0"/>
                <w:sz w:val="22"/>
                <w:szCs w:val="22"/>
              </w:rPr>
              <w:t>③项目预期产出效益和效果是否符合正常的业绩水平；</w:t>
            </w:r>
          </w:p>
          <w:p w14:paraId="25697989">
            <w:pPr>
              <w:widowControl/>
              <w:spacing w:line="0" w:lineRule="atLeast"/>
              <w:jc w:val="left"/>
              <w:rPr>
                <w:color w:val="000000"/>
                <w:kern w:val="0"/>
                <w:sz w:val="22"/>
                <w:szCs w:val="22"/>
              </w:rPr>
            </w:pPr>
            <w:r>
              <w:rPr>
                <w:color w:val="000000"/>
                <w:kern w:val="0"/>
                <w:sz w:val="22"/>
                <w:szCs w:val="22"/>
              </w:rPr>
              <w:t>④是否与预算确定的项目投资额或资金量相匹配。</w:t>
            </w:r>
          </w:p>
        </w:tc>
        <w:tc>
          <w:tcPr>
            <w:tcW w:w="1300" w:type="dxa"/>
            <w:shd w:val="clear" w:color="000000" w:fill="FFFFFF"/>
            <w:vAlign w:val="center"/>
          </w:tcPr>
          <w:p w14:paraId="1DDBE557">
            <w:pPr>
              <w:widowControl/>
              <w:spacing w:line="0" w:lineRule="atLeast"/>
              <w:jc w:val="center"/>
              <w:rPr>
                <w:b/>
                <w:bCs/>
                <w:color w:val="000000"/>
                <w:kern w:val="0"/>
                <w:sz w:val="22"/>
                <w:szCs w:val="22"/>
              </w:rPr>
            </w:pPr>
            <w:r>
              <w:rPr>
                <w:b/>
                <w:bCs/>
                <w:color w:val="000000"/>
                <w:kern w:val="0"/>
                <w:sz w:val="22"/>
                <w:szCs w:val="22"/>
              </w:rPr>
              <w:t>3</w:t>
            </w:r>
          </w:p>
        </w:tc>
        <w:tc>
          <w:tcPr>
            <w:tcW w:w="1363" w:type="dxa"/>
            <w:shd w:val="clear" w:color="000000" w:fill="FFFFFF"/>
            <w:vAlign w:val="center"/>
          </w:tcPr>
          <w:p w14:paraId="0D7A28C9">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3</w:t>
            </w:r>
          </w:p>
        </w:tc>
      </w:tr>
      <w:tr w14:paraId="55C85A9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832" w:type="dxa"/>
            <w:vMerge w:val="continue"/>
            <w:shd w:val="clear" w:color="auto" w:fill="FFFFFF"/>
            <w:vAlign w:val="center"/>
          </w:tcPr>
          <w:p w14:paraId="56319181">
            <w:pPr>
              <w:widowControl/>
              <w:spacing w:line="0" w:lineRule="atLeast"/>
              <w:jc w:val="center"/>
              <w:rPr>
                <w:color w:val="000000"/>
                <w:kern w:val="0"/>
                <w:sz w:val="22"/>
                <w:szCs w:val="22"/>
              </w:rPr>
            </w:pPr>
          </w:p>
        </w:tc>
        <w:tc>
          <w:tcPr>
            <w:tcW w:w="764" w:type="dxa"/>
            <w:vMerge w:val="continue"/>
            <w:shd w:val="clear" w:color="auto" w:fill="FFFFFF"/>
            <w:vAlign w:val="center"/>
          </w:tcPr>
          <w:p w14:paraId="522156B8">
            <w:pPr>
              <w:widowControl/>
              <w:spacing w:line="0" w:lineRule="atLeast"/>
              <w:jc w:val="center"/>
              <w:rPr>
                <w:color w:val="000000"/>
                <w:kern w:val="0"/>
                <w:sz w:val="22"/>
                <w:szCs w:val="22"/>
              </w:rPr>
            </w:pPr>
          </w:p>
        </w:tc>
        <w:tc>
          <w:tcPr>
            <w:tcW w:w="873" w:type="dxa"/>
            <w:shd w:val="clear" w:color="auto" w:fill="FFFFFF"/>
            <w:vAlign w:val="center"/>
          </w:tcPr>
          <w:p w14:paraId="7DE1D4F4">
            <w:pPr>
              <w:widowControl/>
              <w:spacing w:line="0" w:lineRule="atLeast"/>
              <w:jc w:val="center"/>
              <w:rPr>
                <w:color w:val="000000"/>
                <w:kern w:val="0"/>
                <w:sz w:val="22"/>
                <w:szCs w:val="22"/>
              </w:rPr>
            </w:pPr>
            <w:r>
              <w:rPr>
                <w:color w:val="000000"/>
                <w:kern w:val="0"/>
                <w:sz w:val="22"/>
                <w:szCs w:val="22"/>
              </w:rPr>
              <w:t>绩效指标</w:t>
            </w:r>
          </w:p>
          <w:p w14:paraId="0CF01B25">
            <w:pPr>
              <w:widowControl/>
              <w:spacing w:line="0" w:lineRule="atLeast"/>
              <w:jc w:val="center"/>
              <w:rPr>
                <w:color w:val="000000"/>
                <w:kern w:val="0"/>
                <w:sz w:val="22"/>
                <w:szCs w:val="22"/>
              </w:rPr>
            </w:pPr>
            <w:r>
              <w:rPr>
                <w:color w:val="000000"/>
                <w:kern w:val="0"/>
                <w:sz w:val="22"/>
                <w:szCs w:val="22"/>
              </w:rPr>
              <w:t>明确性</w:t>
            </w:r>
          </w:p>
        </w:tc>
        <w:tc>
          <w:tcPr>
            <w:tcW w:w="2353" w:type="dxa"/>
            <w:shd w:val="clear" w:color="000000" w:fill="FFFFFF"/>
            <w:vAlign w:val="center"/>
          </w:tcPr>
          <w:p w14:paraId="054265F4">
            <w:pPr>
              <w:widowControl/>
              <w:spacing w:line="0" w:lineRule="atLeast"/>
              <w:rPr>
                <w:color w:val="000000"/>
                <w:kern w:val="0"/>
                <w:sz w:val="22"/>
                <w:szCs w:val="22"/>
              </w:rPr>
            </w:pPr>
            <w:r>
              <w:rPr>
                <w:color w:val="000000"/>
                <w:kern w:val="0"/>
                <w:sz w:val="22"/>
                <w:szCs w:val="22"/>
              </w:rPr>
              <w:t>依据绩效目标设定的绩效指标是否清晰、细化、可衡量等，用以反映和考核项目绩效目标的明细化情况。</w:t>
            </w:r>
          </w:p>
        </w:tc>
        <w:tc>
          <w:tcPr>
            <w:tcW w:w="5198" w:type="dxa"/>
            <w:shd w:val="clear" w:color="000000" w:fill="FFFFFF"/>
            <w:vAlign w:val="center"/>
          </w:tcPr>
          <w:p w14:paraId="7EBBA2BF">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①是否将项目绩效目标细化分解为具体的绩效指标；</w:t>
            </w:r>
            <w:r>
              <w:rPr>
                <w:color w:val="000000"/>
                <w:kern w:val="0"/>
                <w:sz w:val="22"/>
                <w:szCs w:val="22"/>
              </w:rPr>
              <w:br w:type="textWrapping"/>
            </w:r>
            <w:r>
              <w:rPr>
                <w:color w:val="000000"/>
                <w:kern w:val="0"/>
                <w:sz w:val="22"/>
                <w:szCs w:val="22"/>
              </w:rPr>
              <w:t>②是否通过清晰、可衡量的指标值予以体现；</w:t>
            </w:r>
            <w:r>
              <w:rPr>
                <w:color w:val="000000"/>
                <w:kern w:val="0"/>
                <w:sz w:val="22"/>
                <w:szCs w:val="22"/>
              </w:rPr>
              <w:br w:type="textWrapping"/>
            </w:r>
            <w:r>
              <w:rPr>
                <w:color w:val="000000"/>
                <w:kern w:val="0"/>
                <w:sz w:val="22"/>
                <w:szCs w:val="22"/>
              </w:rPr>
              <w:t>③是否与项目目标任务数或计划数相对应。</w:t>
            </w:r>
            <w:r>
              <w:rPr>
                <w:color w:val="000000"/>
                <w:kern w:val="0"/>
                <w:sz w:val="22"/>
                <w:szCs w:val="22"/>
              </w:rPr>
              <w:br w:type="textWrapping"/>
            </w:r>
          </w:p>
        </w:tc>
        <w:tc>
          <w:tcPr>
            <w:tcW w:w="1300" w:type="dxa"/>
            <w:shd w:val="clear" w:color="000000" w:fill="FFFFFF"/>
            <w:vAlign w:val="center"/>
          </w:tcPr>
          <w:p w14:paraId="0F81976A">
            <w:pPr>
              <w:widowControl/>
              <w:spacing w:line="0" w:lineRule="atLeast"/>
              <w:jc w:val="center"/>
              <w:rPr>
                <w:b/>
                <w:bCs/>
                <w:color w:val="000000"/>
                <w:kern w:val="0"/>
                <w:sz w:val="22"/>
                <w:szCs w:val="22"/>
              </w:rPr>
            </w:pPr>
            <w:r>
              <w:rPr>
                <w:b/>
                <w:bCs/>
                <w:color w:val="000000"/>
                <w:kern w:val="0"/>
                <w:sz w:val="22"/>
                <w:szCs w:val="22"/>
              </w:rPr>
              <w:t>3</w:t>
            </w:r>
          </w:p>
        </w:tc>
        <w:tc>
          <w:tcPr>
            <w:tcW w:w="1363" w:type="dxa"/>
            <w:shd w:val="clear" w:color="000000" w:fill="FFFFFF"/>
            <w:vAlign w:val="center"/>
          </w:tcPr>
          <w:p w14:paraId="26F6F21D">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3</w:t>
            </w:r>
          </w:p>
        </w:tc>
      </w:tr>
      <w:tr w14:paraId="60D879A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832" w:type="dxa"/>
            <w:vMerge w:val="continue"/>
            <w:shd w:val="clear" w:color="auto" w:fill="FFFFFF"/>
            <w:vAlign w:val="center"/>
          </w:tcPr>
          <w:p w14:paraId="4600D096">
            <w:pPr>
              <w:spacing w:line="0" w:lineRule="atLeast"/>
              <w:jc w:val="center"/>
              <w:rPr>
                <w:color w:val="000000"/>
                <w:kern w:val="0"/>
                <w:sz w:val="22"/>
                <w:szCs w:val="22"/>
              </w:rPr>
            </w:pPr>
          </w:p>
        </w:tc>
        <w:tc>
          <w:tcPr>
            <w:tcW w:w="764" w:type="dxa"/>
            <w:vMerge w:val="restart"/>
            <w:shd w:val="clear" w:color="auto" w:fill="FFFFFF"/>
            <w:vAlign w:val="center"/>
          </w:tcPr>
          <w:p w14:paraId="6942CFFE">
            <w:pPr>
              <w:widowControl/>
              <w:spacing w:line="0" w:lineRule="atLeast"/>
              <w:jc w:val="center"/>
              <w:rPr>
                <w:color w:val="000000"/>
                <w:kern w:val="0"/>
                <w:sz w:val="22"/>
                <w:szCs w:val="22"/>
              </w:rPr>
            </w:pPr>
            <w:r>
              <w:rPr>
                <w:color w:val="000000"/>
                <w:kern w:val="0"/>
                <w:sz w:val="22"/>
                <w:szCs w:val="22"/>
              </w:rPr>
              <w:t>资金投入</w:t>
            </w:r>
          </w:p>
          <w:p w14:paraId="49F8D93E">
            <w:pPr>
              <w:spacing w:line="0" w:lineRule="atLeast"/>
              <w:jc w:val="center"/>
              <w:rPr>
                <w:color w:val="000000"/>
                <w:kern w:val="0"/>
                <w:sz w:val="22"/>
                <w:szCs w:val="22"/>
              </w:rPr>
            </w:pPr>
            <w:r>
              <w:rPr>
                <w:color w:val="000000"/>
                <w:kern w:val="0"/>
                <w:sz w:val="22"/>
                <w:szCs w:val="22"/>
              </w:rPr>
              <w:t>　</w:t>
            </w:r>
          </w:p>
        </w:tc>
        <w:tc>
          <w:tcPr>
            <w:tcW w:w="873" w:type="dxa"/>
            <w:shd w:val="clear" w:color="auto" w:fill="FFFFFF"/>
            <w:vAlign w:val="center"/>
          </w:tcPr>
          <w:p w14:paraId="3391C454">
            <w:pPr>
              <w:widowControl/>
              <w:spacing w:line="0" w:lineRule="atLeast"/>
              <w:jc w:val="center"/>
              <w:rPr>
                <w:color w:val="000000"/>
                <w:kern w:val="0"/>
                <w:sz w:val="22"/>
                <w:szCs w:val="22"/>
              </w:rPr>
            </w:pPr>
            <w:r>
              <w:rPr>
                <w:color w:val="000000"/>
                <w:kern w:val="0"/>
                <w:sz w:val="22"/>
                <w:szCs w:val="22"/>
              </w:rPr>
              <w:t>预算编制</w:t>
            </w:r>
          </w:p>
          <w:p w14:paraId="74001962">
            <w:pPr>
              <w:widowControl/>
              <w:spacing w:line="0" w:lineRule="atLeast"/>
              <w:jc w:val="center"/>
              <w:rPr>
                <w:color w:val="000000"/>
                <w:kern w:val="0"/>
                <w:sz w:val="22"/>
                <w:szCs w:val="22"/>
              </w:rPr>
            </w:pPr>
            <w:r>
              <w:rPr>
                <w:color w:val="000000"/>
                <w:kern w:val="0"/>
                <w:sz w:val="22"/>
                <w:szCs w:val="22"/>
              </w:rPr>
              <w:t>科学性</w:t>
            </w:r>
          </w:p>
        </w:tc>
        <w:tc>
          <w:tcPr>
            <w:tcW w:w="2353" w:type="dxa"/>
            <w:shd w:val="clear" w:color="auto" w:fill="FFFFFF"/>
            <w:vAlign w:val="center"/>
          </w:tcPr>
          <w:p w14:paraId="56D71678">
            <w:pPr>
              <w:widowControl/>
              <w:spacing w:line="0" w:lineRule="atLeast"/>
              <w:rPr>
                <w:color w:val="000000"/>
                <w:kern w:val="0"/>
                <w:sz w:val="22"/>
                <w:szCs w:val="22"/>
              </w:rPr>
            </w:pPr>
            <w:r>
              <w:rPr>
                <w:color w:val="000000"/>
                <w:kern w:val="0"/>
                <w:sz w:val="22"/>
                <w:szCs w:val="22"/>
              </w:rPr>
              <w:t>项目预算编制是否经过科学论证、有明确标准，资金额度与年度目标是否相适应，用以反映和考核项目预算编制的科学性、合理性情况。</w:t>
            </w:r>
          </w:p>
        </w:tc>
        <w:tc>
          <w:tcPr>
            <w:tcW w:w="5198" w:type="dxa"/>
            <w:shd w:val="clear" w:color="auto" w:fill="FFFFFF"/>
            <w:vAlign w:val="center"/>
          </w:tcPr>
          <w:p w14:paraId="165EF36E">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①预算编制是否经过科学论证；</w:t>
            </w:r>
            <w:r>
              <w:rPr>
                <w:color w:val="000000"/>
                <w:kern w:val="0"/>
                <w:sz w:val="22"/>
                <w:szCs w:val="22"/>
              </w:rPr>
              <w:br w:type="textWrapping"/>
            </w:r>
            <w:r>
              <w:rPr>
                <w:color w:val="000000"/>
                <w:kern w:val="0"/>
                <w:sz w:val="22"/>
                <w:szCs w:val="22"/>
              </w:rPr>
              <w:t>②预算内容与项目内容是否匹配；</w:t>
            </w:r>
            <w:r>
              <w:rPr>
                <w:color w:val="000000"/>
                <w:kern w:val="0"/>
                <w:sz w:val="22"/>
                <w:szCs w:val="22"/>
              </w:rPr>
              <w:br w:type="textWrapping"/>
            </w:r>
            <w:r>
              <w:rPr>
                <w:color w:val="000000"/>
                <w:kern w:val="0"/>
                <w:sz w:val="22"/>
                <w:szCs w:val="22"/>
              </w:rPr>
              <w:t>③预算额度测算依据是否充分，是否按照标准编制；</w:t>
            </w:r>
            <w:r>
              <w:rPr>
                <w:color w:val="000000"/>
                <w:kern w:val="0"/>
                <w:sz w:val="22"/>
                <w:szCs w:val="22"/>
              </w:rPr>
              <w:br w:type="textWrapping"/>
            </w:r>
            <w:r>
              <w:rPr>
                <w:color w:val="000000"/>
                <w:kern w:val="0"/>
                <w:sz w:val="22"/>
                <w:szCs w:val="22"/>
              </w:rPr>
              <w:t>④预算确定的项目投资额或资金量是否与工作任务相匹配。</w:t>
            </w:r>
          </w:p>
        </w:tc>
        <w:tc>
          <w:tcPr>
            <w:tcW w:w="1300" w:type="dxa"/>
            <w:shd w:val="clear" w:color="auto" w:fill="FFFFFF"/>
            <w:vAlign w:val="center"/>
          </w:tcPr>
          <w:p w14:paraId="027DDA9B">
            <w:pPr>
              <w:widowControl/>
              <w:spacing w:line="0" w:lineRule="atLeast"/>
              <w:jc w:val="center"/>
              <w:rPr>
                <w:b/>
                <w:bCs/>
                <w:color w:val="000000"/>
                <w:kern w:val="0"/>
                <w:sz w:val="22"/>
                <w:szCs w:val="22"/>
              </w:rPr>
            </w:pPr>
            <w:r>
              <w:rPr>
                <w:b/>
                <w:bCs/>
                <w:color w:val="000000"/>
                <w:kern w:val="0"/>
                <w:sz w:val="22"/>
                <w:szCs w:val="22"/>
              </w:rPr>
              <w:t>4</w:t>
            </w:r>
          </w:p>
        </w:tc>
        <w:tc>
          <w:tcPr>
            <w:tcW w:w="1363" w:type="dxa"/>
            <w:shd w:val="clear" w:color="auto" w:fill="FFFFFF"/>
            <w:vAlign w:val="center"/>
          </w:tcPr>
          <w:p w14:paraId="57D6E17F">
            <w:pPr>
              <w:widowControl/>
              <w:spacing w:line="0" w:lineRule="atLeast"/>
              <w:jc w:val="center"/>
              <w:rPr>
                <w:rFonts w:hint="default" w:eastAsia="宋体"/>
                <w:b/>
                <w:bCs/>
                <w:color w:val="000000"/>
                <w:kern w:val="0"/>
                <w:sz w:val="22"/>
                <w:szCs w:val="22"/>
                <w:lang w:val="en-US" w:eastAsia="zh-CN"/>
              </w:rPr>
            </w:pPr>
            <w:r>
              <w:rPr>
                <w:rFonts w:hint="eastAsia"/>
                <w:b/>
                <w:bCs/>
                <w:color w:val="000000"/>
                <w:kern w:val="0"/>
                <w:sz w:val="22"/>
                <w:szCs w:val="22"/>
                <w:lang w:val="en-US" w:eastAsia="zh-CN"/>
              </w:rPr>
              <w:t>4</w:t>
            </w:r>
          </w:p>
        </w:tc>
      </w:tr>
      <w:tr w14:paraId="205CE64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832" w:type="dxa"/>
            <w:vMerge w:val="continue"/>
            <w:shd w:val="clear" w:color="auto" w:fill="FFFFFF"/>
            <w:vAlign w:val="center"/>
          </w:tcPr>
          <w:p w14:paraId="0AF40732">
            <w:pPr>
              <w:widowControl/>
              <w:spacing w:line="0" w:lineRule="atLeast"/>
              <w:jc w:val="center"/>
              <w:rPr>
                <w:color w:val="000000"/>
                <w:kern w:val="0"/>
                <w:sz w:val="22"/>
                <w:szCs w:val="22"/>
              </w:rPr>
            </w:pPr>
          </w:p>
        </w:tc>
        <w:tc>
          <w:tcPr>
            <w:tcW w:w="764" w:type="dxa"/>
            <w:vMerge w:val="continue"/>
            <w:shd w:val="clear" w:color="auto" w:fill="FFFFFF"/>
            <w:vAlign w:val="center"/>
          </w:tcPr>
          <w:p w14:paraId="360A1F1E">
            <w:pPr>
              <w:widowControl/>
              <w:spacing w:line="0" w:lineRule="atLeast"/>
              <w:jc w:val="center"/>
              <w:rPr>
                <w:color w:val="000000"/>
                <w:kern w:val="0"/>
                <w:sz w:val="22"/>
                <w:szCs w:val="22"/>
              </w:rPr>
            </w:pPr>
          </w:p>
        </w:tc>
        <w:tc>
          <w:tcPr>
            <w:tcW w:w="873" w:type="dxa"/>
            <w:shd w:val="clear" w:color="auto" w:fill="FFFFFF"/>
            <w:vAlign w:val="center"/>
          </w:tcPr>
          <w:p w14:paraId="65EB3368">
            <w:pPr>
              <w:widowControl/>
              <w:spacing w:line="0" w:lineRule="atLeast"/>
              <w:jc w:val="center"/>
              <w:rPr>
                <w:color w:val="000000"/>
                <w:kern w:val="0"/>
                <w:sz w:val="22"/>
                <w:szCs w:val="22"/>
              </w:rPr>
            </w:pPr>
            <w:r>
              <w:rPr>
                <w:color w:val="000000"/>
                <w:kern w:val="0"/>
                <w:sz w:val="22"/>
                <w:szCs w:val="22"/>
              </w:rPr>
              <w:t>资金分配</w:t>
            </w:r>
          </w:p>
          <w:p w14:paraId="1AF39151">
            <w:pPr>
              <w:widowControl/>
              <w:spacing w:line="0" w:lineRule="atLeast"/>
              <w:jc w:val="center"/>
              <w:rPr>
                <w:color w:val="000000"/>
                <w:kern w:val="0"/>
                <w:sz w:val="22"/>
                <w:szCs w:val="22"/>
              </w:rPr>
            </w:pPr>
            <w:r>
              <w:rPr>
                <w:color w:val="000000"/>
                <w:kern w:val="0"/>
                <w:sz w:val="22"/>
                <w:szCs w:val="22"/>
              </w:rPr>
              <w:t>合理性</w:t>
            </w:r>
          </w:p>
        </w:tc>
        <w:tc>
          <w:tcPr>
            <w:tcW w:w="2353" w:type="dxa"/>
            <w:shd w:val="clear" w:color="auto" w:fill="FFFFFF"/>
            <w:vAlign w:val="center"/>
          </w:tcPr>
          <w:p w14:paraId="6FA6369C">
            <w:pPr>
              <w:widowControl/>
              <w:spacing w:line="0" w:lineRule="atLeast"/>
              <w:rPr>
                <w:color w:val="000000"/>
                <w:kern w:val="0"/>
                <w:sz w:val="22"/>
                <w:szCs w:val="22"/>
              </w:rPr>
            </w:pPr>
            <w:r>
              <w:rPr>
                <w:color w:val="000000"/>
                <w:kern w:val="0"/>
                <w:sz w:val="22"/>
                <w:szCs w:val="22"/>
              </w:rPr>
              <w:t>项目预算资金分配是否有测算依据，与补助单位或地方实际是否相适应，用以反映和考核项目预算资金分配的科学性、合理性情况。</w:t>
            </w:r>
          </w:p>
        </w:tc>
        <w:tc>
          <w:tcPr>
            <w:tcW w:w="5198" w:type="dxa"/>
            <w:shd w:val="clear" w:color="auto" w:fill="FFFFFF"/>
            <w:vAlign w:val="center"/>
          </w:tcPr>
          <w:p w14:paraId="24DC49A3">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①预算资金分配依据是否充分；</w:t>
            </w:r>
            <w:r>
              <w:rPr>
                <w:color w:val="000000"/>
                <w:kern w:val="0"/>
                <w:sz w:val="22"/>
                <w:szCs w:val="22"/>
              </w:rPr>
              <w:br w:type="textWrapping"/>
            </w:r>
            <w:r>
              <w:rPr>
                <w:color w:val="000000"/>
                <w:kern w:val="0"/>
                <w:sz w:val="22"/>
                <w:szCs w:val="22"/>
              </w:rPr>
              <w:t>②资金分配额度是否合理，与项目单位或地方实际是否相适应。</w:t>
            </w:r>
          </w:p>
        </w:tc>
        <w:tc>
          <w:tcPr>
            <w:tcW w:w="1300" w:type="dxa"/>
            <w:shd w:val="clear" w:color="auto" w:fill="FFFFFF"/>
            <w:vAlign w:val="center"/>
          </w:tcPr>
          <w:p w14:paraId="78985ED2">
            <w:pPr>
              <w:widowControl/>
              <w:spacing w:line="0" w:lineRule="atLeast"/>
              <w:jc w:val="center"/>
              <w:rPr>
                <w:b/>
                <w:bCs/>
                <w:color w:val="000000"/>
                <w:kern w:val="0"/>
                <w:sz w:val="22"/>
                <w:szCs w:val="22"/>
              </w:rPr>
            </w:pPr>
            <w:r>
              <w:rPr>
                <w:b/>
                <w:bCs/>
                <w:color w:val="000000"/>
                <w:kern w:val="0"/>
                <w:sz w:val="22"/>
                <w:szCs w:val="22"/>
              </w:rPr>
              <w:t>4</w:t>
            </w:r>
          </w:p>
        </w:tc>
        <w:tc>
          <w:tcPr>
            <w:tcW w:w="1363" w:type="dxa"/>
            <w:shd w:val="clear" w:color="auto" w:fill="FFFFFF"/>
            <w:vAlign w:val="center"/>
          </w:tcPr>
          <w:p w14:paraId="712464DB">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14:paraId="1057484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832" w:type="dxa"/>
            <w:vMerge w:val="restart"/>
            <w:shd w:val="clear" w:color="auto" w:fill="FFFFFF"/>
            <w:vAlign w:val="center"/>
          </w:tcPr>
          <w:p w14:paraId="4B737BBD">
            <w:pPr>
              <w:spacing w:line="0" w:lineRule="atLeast"/>
              <w:jc w:val="center"/>
              <w:rPr>
                <w:color w:val="000000"/>
                <w:kern w:val="0"/>
                <w:sz w:val="22"/>
                <w:szCs w:val="22"/>
              </w:rPr>
            </w:pPr>
          </w:p>
          <w:p w14:paraId="2CAA7A60">
            <w:pPr>
              <w:spacing w:line="0" w:lineRule="atLeast"/>
              <w:jc w:val="center"/>
              <w:rPr>
                <w:color w:val="000000"/>
                <w:kern w:val="0"/>
                <w:sz w:val="22"/>
                <w:szCs w:val="22"/>
              </w:rPr>
            </w:pPr>
          </w:p>
          <w:p w14:paraId="0E9422E3">
            <w:pPr>
              <w:spacing w:line="0" w:lineRule="atLeast"/>
              <w:jc w:val="center"/>
              <w:rPr>
                <w:color w:val="000000"/>
                <w:kern w:val="0"/>
                <w:sz w:val="22"/>
                <w:szCs w:val="22"/>
              </w:rPr>
            </w:pPr>
          </w:p>
          <w:p w14:paraId="0A4D3342">
            <w:pPr>
              <w:spacing w:line="0" w:lineRule="atLeast"/>
              <w:jc w:val="center"/>
              <w:rPr>
                <w:color w:val="000000"/>
                <w:kern w:val="0"/>
                <w:sz w:val="22"/>
                <w:szCs w:val="22"/>
              </w:rPr>
            </w:pPr>
          </w:p>
          <w:p w14:paraId="4CDAB6AC">
            <w:pPr>
              <w:spacing w:line="0" w:lineRule="atLeast"/>
              <w:jc w:val="center"/>
              <w:rPr>
                <w:color w:val="000000"/>
                <w:kern w:val="0"/>
                <w:sz w:val="22"/>
                <w:szCs w:val="22"/>
              </w:rPr>
            </w:pPr>
          </w:p>
          <w:p w14:paraId="4167425E">
            <w:pPr>
              <w:spacing w:line="0" w:lineRule="atLeast"/>
              <w:jc w:val="center"/>
              <w:rPr>
                <w:color w:val="000000"/>
                <w:kern w:val="0"/>
                <w:sz w:val="22"/>
                <w:szCs w:val="22"/>
              </w:rPr>
            </w:pPr>
          </w:p>
          <w:p w14:paraId="00894E43">
            <w:pPr>
              <w:spacing w:line="0" w:lineRule="atLeast"/>
              <w:jc w:val="center"/>
              <w:rPr>
                <w:color w:val="000000"/>
                <w:kern w:val="0"/>
                <w:sz w:val="22"/>
                <w:szCs w:val="22"/>
              </w:rPr>
            </w:pPr>
          </w:p>
          <w:p w14:paraId="5872857E">
            <w:pPr>
              <w:spacing w:line="0" w:lineRule="atLeast"/>
              <w:jc w:val="center"/>
              <w:rPr>
                <w:color w:val="000000"/>
                <w:kern w:val="0"/>
                <w:sz w:val="22"/>
                <w:szCs w:val="22"/>
              </w:rPr>
            </w:pPr>
          </w:p>
          <w:p w14:paraId="00FCC59B">
            <w:pPr>
              <w:spacing w:line="0" w:lineRule="atLeast"/>
              <w:jc w:val="center"/>
              <w:rPr>
                <w:color w:val="000000"/>
                <w:kern w:val="0"/>
                <w:sz w:val="22"/>
                <w:szCs w:val="22"/>
              </w:rPr>
            </w:pPr>
          </w:p>
          <w:p w14:paraId="0F19E201">
            <w:pPr>
              <w:spacing w:line="0" w:lineRule="atLeast"/>
              <w:jc w:val="center"/>
              <w:rPr>
                <w:color w:val="000000"/>
                <w:kern w:val="0"/>
                <w:sz w:val="22"/>
                <w:szCs w:val="22"/>
              </w:rPr>
            </w:pPr>
          </w:p>
          <w:p w14:paraId="52546185">
            <w:pPr>
              <w:spacing w:line="0" w:lineRule="atLeast"/>
              <w:jc w:val="center"/>
              <w:rPr>
                <w:color w:val="000000"/>
                <w:kern w:val="0"/>
                <w:sz w:val="22"/>
                <w:szCs w:val="22"/>
              </w:rPr>
            </w:pPr>
          </w:p>
          <w:p w14:paraId="21067A8F">
            <w:pPr>
              <w:spacing w:line="0" w:lineRule="atLeast"/>
              <w:jc w:val="center"/>
              <w:rPr>
                <w:color w:val="000000"/>
                <w:kern w:val="0"/>
                <w:sz w:val="22"/>
                <w:szCs w:val="22"/>
              </w:rPr>
            </w:pPr>
          </w:p>
          <w:p w14:paraId="0ED08767">
            <w:pPr>
              <w:spacing w:line="0" w:lineRule="atLeast"/>
              <w:jc w:val="center"/>
              <w:rPr>
                <w:color w:val="000000"/>
                <w:kern w:val="0"/>
                <w:sz w:val="22"/>
                <w:szCs w:val="22"/>
              </w:rPr>
            </w:pPr>
          </w:p>
          <w:p w14:paraId="7994A6FA">
            <w:pPr>
              <w:spacing w:line="0" w:lineRule="atLeast"/>
              <w:jc w:val="center"/>
              <w:rPr>
                <w:color w:val="000000"/>
                <w:kern w:val="0"/>
                <w:sz w:val="22"/>
                <w:szCs w:val="22"/>
              </w:rPr>
            </w:pPr>
          </w:p>
          <w:p w14:paraId="3B7774D4">
            <w:pPr>
              <w:spacing w:line="0" w:lineRule="atLeast"/>
              <w:jc w:val="center"/>
              <w:rPr>
                <w:color w:val="000000"/>
                <w:kern w:val="0"/>
                <w:sz w:val="22"/>
                <w:szCs w:val="22"/>
              </w:rPr>
            </w:pPr>
          </w:p>
          <w:p w14:paraId="11518BE7">
            <w:pPr>
              <w:spacing w:line="0" w:lineRule="atLeast"/>
              <w:jc w:val="center"/>
              <w:rPr>
                <w:color w:val="000000"/>
                <w:kern w:val="0"/>
                <w:sz w:val="22"/>
                <w:szCs w:val="22"/>
              </w:rPr>
            </w:pPr>
            <w:r>
              <w:rPr>
                <w:color w:val="000000"/>
                <w:kern w:val="0"/>
                <w:sz w:val="22"/>
                <w:szCs w:val="22"/>
              </w:rPr>
              <w:t>过程</w:t>
            </w:r>
          </w:p>
          <w:p w14:paraId="44CCFD89">
            <w:pPr>
              <w:widowControl/>
              <w:spacing w:line="0" w:lineRule="atLeast"/>
              <w:jc w:val="center"/>
              <w:rPr>
                <w:color w:val="000000"/>
                <w:kern w:val="0"/>
                <w:sz w:val="22"/>
                <w:szCs w:val="22"/>
              </w:rPr>
            </w:pPr>
            <w:r>
              <w:rPr>
                <w:color w:val="000000"/>
                <w:kern w:val="0"/>
                <w:sz w:val="22"/>
                <w:szCs w:val="22"/>
              </w:rPr>
              <w:t>　　</w:t>
            </w:r>
          </w:p>
        </w:tc>
        <w:tc>
          <w:tcPr>
            <w:tcW w:w="764" w:type="dxa"/>
            <w:vMerge w:val="restart"/>
            <w:shd w:val="clear" w:color="auto" w:fill="FFFFFF"/>
            <w:vAlign w:val="center"/>
          </w:tcPr>
          <w:p w14:paraId="7DD9EE83">
            <w:pPr>
              <w:widowControl/>
              <w:spacing w:line="0" w:lineRule="atLeast"/>
              <w:jc w:val="center"/>
              <w:rPr>
                <w:color w:val="000000"/>
                <w:kern w:val="0"/>
                <w:sz w:val="22"/>
                <w:szCs w:val="22"/>
              </w:rPr>
            </w:pPr>
            <w:r>
              <w:rPr>
                <w:color w:val="000000"/>
                <w:kern w:val="0"/>
                <w:sz w:val="22"/>
                <w:szCs w:val="22"/>
              </w:rPr>
              <w:t>资金管理</w:t>
            </w:r>
          </w:p>
        </w:tc>
        <w:tc>
          <w:tcPr>
            <w:tcW w:w="873" w:type="dxa"/>
            <w:shd w:val="clear" w:color="auto" w:fill="FFFFFF"/>
            <w:vAlign w:val="center"/>
          </w:tcPr>
          <w:p w14:paraId="084FC52E">
            <w:pPr>
              <w:widowControl/>
              <w:spacing w:line="0" w:lineRule="atLeast"/>
              <w:jc w:val="center"/>
              <w:rPr>
                <w:color w:val="000000"/>
                <w:kern w:val="0"/>
                <w:sz w:val="22"/>
                <w:szCs w:val="22"/>
              </w:rPr>
            </w:pPr>
            <w:r>
              <w:rPr>
                <w:color w:val="000000"/>
                <w:kern w:val="0"/>
                <w:sz w:val="22"/>
                <w:szCs w:val="22"/>
              </w:rPr>
              <w:t>资金到位率</w:t>
            </w:r>
          </w:p>
        </w:tc>
        <w:tc>
          <w:tcPr>
            <w:tcW w:w="2353" w:type="dxa"/>
            <w:shd w:val="clear" w:color="000000" w:fill="FFFFFF"/>
            <w:vAlign w:val="center"/>
          </w:tcPr>
          <w:p w14:paraId="2268CDB7">
            <w:pPr>
              <w:widowControl/>
              <w:spacing w:line="0" w:lineRule="atLeast"/>
              <w:rPr>
                <w:color w:val="000000"/>
                <w:kern w:val="0"/>
                <w:sz w:val="22"/>
                <w:szCs w:val="22"/>
              </w:rPr>
            </w:pPr>
            <w:r>
              <w:rPr>
                <w:color w:val="000000"/>
                <w:kern w:val="0"/>
                <w:sz w:val="22"/>
                <w:szCs w:val="22"/>
              </w:rPr>
              <w:t>实际到位资金与预算资金的比率，用以反映和考核资金落实情况对项目实施的总体保障程度。</w:t>
            </w:r>
          </w:p>
        </w:tc>
        <w:tc>
          <w:tcPr>
            <w:tcW w:w="5198" w:type="dxa"/>
            <w:shd w:val="clear" w:color="000000" w:fill="FFFFFF"/>
            <w:vAlign w:val="center"/>
          </w:tcPr>
          <w:p w14:paraId="6C440EEB">
            <w:pPr>
              <w:widowControl/>
              <w:spacing w:line="0" w:lineRule="atLeast"/>
              <w:rPr>
                <w:color w:val="000000"/>
                <w:kern w:val="0"/>
                <w:sz w:val="22"/>
                <w:szCs w:val="22"/>
              </w:rPr>
            </w:pPr>
            <w:r>
              <w:rPr>
                <w:color w:val="000000"/>
                <w:kern w:val="0"/>
                <w:sz w:val="22"/>
                <w:szCs w:val="22"/>
              </w:rPr>
              <w:t>资金到位率=（实际到位资金/预算资金）×100%。</w:t>
            </w:r>
          </w:p>
          <w:p w14:paraId="170E7877">
            <w:pPr>
              <w:widowControl/>
              <w:spacing w:line="0" w:lineRule="atLeast"/>
              <w:rPr>
                <w:color w:val="000000"/>
                <w:kern w:val="0"/>
                <w:sz w:val="22"/>
                <w:szCs w:val="22"/>
              </w:rPr>
            </w:pPr>
            <w:r>
              <w:rPr>
                <w:color w:val="000000"/>
                <w:kern w:val="0"/>
                <w:sz w:val="22"/>
                <w:szCs w:val="22"/>
              </w:rPr>
              <w:t>实际到位资金：一定时期（本年度或项目期）内落实到具体项目的资金。</w:t>
            </w:r>
          </w:p>
          <w:p w14:paraId="652CD2AD">
            <w:pPr>
              <w:widowControl/>
              <w:spacing w:line="0" w:lineRule="atLeast"/>
              <w:rPr>
                <w:color w:val="000000"/>
                <w:kern w:val="0"/>
                <w:sz w:val="22"/>
                <w:szCs w:val="22"/>
              </w:rPr>
            </w:pPr>
            <w:r>
              <w:rPr>
                <w:color w:val="000000"/>
                <w:kern w:val="0"/>
                <w:sz w:val="22"/>
                <w:szCs w:val="22"/>
              </w:rPr>
              <w:t>预算资金：一定时期（本年度或项目期）内预算安排到具体项目的资金。</w:t>
            </w:r>
          </w:p>
        </w:tc>
        <w:tc>
          <w:tcPr>
            <w:tcW w:w="1300" w:type="dxa"/>
            <w:shd w:val="clear" w:color="000000" w:fill="FFFFFF"/>
            <w:vAlign w:val="center"/>
          </w:tcPr>
          <w:p w14:paraId="249C8F76">
            <w:pPr>
              <w:widowControl/>
              <w:spacing w:line="0" w:lineRule="atLeast"/>
              <w:jc w:val="center"/>
              <w:rPr>
                <w:b/>
                <w:bCs/>
                <w:color w:val="000000"/>
                <w:kern w:val="0"/>
                <w:sz w:val="22"/>
                <w:szCs w:val="22"/>
              </w:rPr>
            </w:pPr>
            <w:r>
              <w:rPr>
                <w:b/>
                <w:bCs/>
                <w:color w:val="000000"/>
                <w:kern w:val="0"/>
                <w:sz w:val="22"/>
                <w:szCs w:val="22"/>
              </w:rPr>
              <w:t>4</w:t>
            </w:r>
          </w:p>
        </w:tc>
        <w:tc>
          <w:tcPr>
            <w:tcW w:w="1363" w:type="dxa"/>
            <w:shd w:val="clear" w:color="000000" w:fill="FFFFFF"/>
            <w:vAlign w:val="center"/>
          </w:tcPr>
          <w:p w14:paraId="51219492">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14:paraId="392AECF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832" w:type="dxa"/>
            <w:vMerge w:val="continue"/>
            <w:shd w:val="clear" w:color="auto" w:fill="FFFFFF"/>
            <w:vAlign w:val="center"/>
          </w:tcPr>
          <w:p w14:paraId="341BF203">
            <w:pPr>
              <w:spacing w:line="0" w:lineRule="atLeast"/>
              <w:jc w:val="center"/>
              <w:rPr>
                <w:color w:val="000000"/>
                <w:kern w:val="0"/>
                <w:sz w:val="22"/>
                <w:szCs w:val="22"/>
              </w:rPr>
            </w:pPr>
          </w:p>
        </w:tc>
        <w:tc>
          <w:tcPr>
            <w:tcW w:w="764" w:type="dxa"/>
            <w:vMerge w:val="continue"/>
            <w:shd w:val="clear" w:color="auto" w:fill="FFFFFF"/>
            <w:vAlign w:val="center"/>
          </w:tcPr>
          <w:p w14:paraId="1BEDD8AD">
            <w:pPr>
              <w:spacing w:line="0" w:lineRule="atLeast"/>
              <w:jc w:val="center"/>
              <w:rPr>
                <w:color w:val="000000"/>
                <w:kern w:val="0"/>
                <w:sz w:val="22"/>
                <w:szCs w:val="22"/>
              </w:rPr>
            </w:pPr>
          </w:p>
        </w:tc>
        <w:tc>
          <w:tcPr>
            <w:tcW w:w="873" w:type="dxa"/>
            <w:shd w:val="clear" w:color="auto" w:fill="FFFFFF"/>
            <w:vAlign w:val="center"/>
          </w:tcPr>
          <w:p w14:paraId="2F33403C">
            <w:pPr>
              <w:widowControl/>
              <w:spacing w:line="0" w:lineRule="atLeast"/>
              <w:jc w:val="center"/>
              <w:rPr>
                <w:color w:val="000000"/>
                <w:kern w:val="0"/>
                <w:sz w:val="22"/>
                <w:szCs w:val="22"/>
              </w:rPr>
            </w:pPr>
            <w:r>
              <w:rPr>
                <w:color w:val="000000"/>
                <w:kern w:val="0"/>
                <w:sz w:val="22"/>
                <w:szCs w:val="22"/>
              </w:rPr>
              <w:t>预算执行率</w:t>
            </w:r>
          </w:p>
        </w:tc>
        <w:tc>
          <w:tcPr>
            <w:tcW w:w="2353" w:type="dxa"/>
            <w:shd w:val="clear" w:color="auto" w:fill="FFFFFF"/>
            <w:vAlign w:val="center"/>
          </w:tcPr>
          <w:p w14:paraId="2CEEE95F">
            <w:pPr>
              <w:widowControl/>
              <w:spacing w:line="0" w:lineRule="atLeast"/>
              <w:rPr>
                <w:color w:val="000000"/>
                <w:kern w:val="0"/>
                <w:sz w:val="22"/>
                <w:szCs w:val="22"/>
              </w:rPr>
            </w:pPr>
            <w:r>
              <w:rPr>
                <w:color w:val="000000"/>
                <w:kern w:val="0"/>
                <w:sz w:val="22"/>
                <w:szCs w:val="22"/>
              </w:rPr>
              <w:t>项目预算资金是否按照计划执行，用以反映或考核项目预算执行情况。</w:t>
            </w:r>
          </w:p>
        </w:tc>
        <w:tc>
          <w:tcPr>
            <w:tcW w:w="5198" w:type="dxa"/>
            <w:shd w:val="clear" w:color="auto" w:fill="FFFFFF"/>
            <w:vAlign w:val="center"/>
          </w:tcPr>
          <w:p w14:paraId="784ED114">
            <w:pPr>
              <w:widowControl/>
              <w:spacing w:line="0" w:lineRule="atLeast"/>
              <w:rPr>
                <w:color w:val="000000"/>
                <w:kern w:val="0"/>
                <w:sz w:val="22"/>
                <w:szCs w:val="22"/>
              </w:rPr>
            </w:pPr>
            <w:r>
              <w:rPr>
                <w:color w:val="000000"/>
                <w:kern w:val="0"/>
                <w:sz w:val="22"/>
                <w:szCs w:val="22"/>
              </w:rPr>
              <w:t>预算执行率=（实际支出资金/实际到位资金）×100%。</w:t>
            </w:r>
            <w:r>
              <w:rPr>
                <w:color w:val="000000"/>
                <w:kern w:val="0"/>
                <w:sz w:val="22"/>
                <w:szCs w:val="22"/>
              </w:rPr>
              <w:br w:type="textWrapping"/>
            </w:r>
            <w:r>
              <w:rPr>
                <w:color w:val="000000"/>
                <w:kern w:val="0"/>
                <w:sz w:val="22"/>
                <w:szCs w:val="22"/>
              </w:rPr>
              <w:t>实际支出资金：一定时期（本年度或项目期）内项目实际拨付的资金。</w:t>
            </w:r>
          </w:p>
        </w:tc>
        <w:tc>
          <w:tcPr>
            <w:tcW w:w="1300" w:type="dxa"/>
            <w:shd w:val="clear" w:color="auto" w:fill="FFFFFF"/>
            <w:vAlign w:val="center"/>
          </w:tcPr>
          <w:p w14:paraId="60353D3C">
            <w:pPr>
              <w:widowControl/>
              <w:spacing w:line="0" w:lineRule="atLeast"/>
              <w:jc w:val="center"/>
              <w:rPr>
                <w:b/>
                <w:bCs/>
                <w:color w:val="000000"/>
                <w:kern w:val="0"/>
                <w:sz w:val="22"/>
                <w:szCs w:val="22"/>
              </w:rPr>
            </w:pPr>
            <w:r>
              <w:rPr>
                <w:b/>
                <w:bCs/>
                <w:color w:val="000000"/>
                <w:kern w:val="0"/>
                <w:sz w:val="22"/>
                <w:szCs w:val="22"/>
              </w:rPr>
              <w:t>4</w:t>
            </w:r>
          </w:p>
        </w:tc>
        <w:tc>
          <w:tcPr>
            <w:tcW w:w="1363" w:type="dxa"/>
            <w:shd w:val="clear" w:color="auto" w:fill="FFFFFF"/>
            <w:vAlign w:val="center"/>
          </w:tcPr>
          <w:p w14:paraId="13E9E3AD">
            <w:pPr>
              <w:widowControl/>
              <w:spacing w:line="0" w:lineRule="atLeast"/>
              <w:jc w:val="center"/>
              <w:rPr>
                <w:b/>
                <w:bCs/>
                <w:color w:val="000000"/>
                <w:kern w:val="0"/>
                <w:sz w:val="22"/>
                <w:szCs w:val="22"/>
              </w:rPr>
            </w:pPr>
            <w:r>
              <w:rPr>
                <w:rFonts w:hint="eastAsia"/>
                <w:b/>
                <w:bCs/>
                <w:color w:val="000000"/>
                <w:kern w:val="0"/>
                <w:sz w:val="22"/>
                <w:szCs w:val="22"/>
              </w:rPr>
              <w:t>3.644</w:t>
            </w:r>
          </w:p>
        </w:tc>
      </w:tr>
      <w:tr w14:paraId="13A15F9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832" w:type="dxa"/>
            <w:vMerge w:val="continue"/>
            <w:shd w:val="clear" w:color="auto" w:fill="FFFFFF"/>
            <w:vAlign w:val="center"/>
          </w:tcPr>
          <w:p w14:paraId="6976B443">
            <w:pPr>
              <w:spacing w:line="0" w:lineRule="atLeast"/>
              <w:jc w:val="center"/>
              <w:rPr>
                <w:color w:val="000000"/>
                <w:kern w:val="0"/>
                <w:sz w:val="22"/>
                <w:szCs w:val="22"/>
              </w:rPr>
            </w:pPr>
          </w:p>
        </w:tc>
        <w:tc>
          <w:tcPr>
            <w:tcW w:w="764" w:type="dxa"/>
            <w:shd w:val="clear" w:color="auto" w:fill="FFFFFF"/>
            <w:vAlign w:val="center"/>
          </w:tcPr>
          <w:p w14:paraId="7B200819">
            <w:pPr>
              <w:widowControl/>
              <w:spacing w:line="0" w:lineRule="atLeast"/>
              <w:jc w:val="center"/>
              <w:rPr>
                <w:color w:val="000000"/>
                <w:kern w:val="0"/>
                <w:sz w:val="22"/>
                <w:szCs w:val="22"/>
              </w:rPr>
            </w:pPr>
            <w:r>
              <w:rPr>
                <w:color w:val="000000"/>
                <w:kern w:val="0"/>
                <w:sz w:val="22"/>
                <w:szCs w:val="22"/>
              </w:rPr>
              <w:t>资金管理</w:t>
            </w:r>
          </w:p>
        </w:tc>
        <w:tc>
          <w:tcPr>
            <w:tcW w:w="873" w:type="dxa"/>
            <w:shd w:val="clear" w:color="auto" w:fill="FFFFFF"/>
            <w:vAlign w:val="center"/>
          </w:tcPr>
          <w:p w14:paraId="2ECB852F">
            <w:pPr>
              <w:widowControl/>
              <w:spacing w:line="0" w:lineRule="atLeast"/>
              <w:jc w:val="center"/>
              <w:rPr>
                <w:color w:val="000000"/>
                <w:kern w:val="0"/>
                <w:sz w:val="22"/>
                <w:szCs w:val="22"/>
              </w:rPr>
            </w:pPr>
            <w:r>
              <w:rPr>
                <w:color w:val="000000"/>
                <w:kern w:val="0"/>
                <w:sz w:val="22"/>
                <w:szCs w:val="22"/>
              </w:rPr>
              <w:t>资金使用</w:t>
            </w:r>
          </w:p>
          <w:p w14:paraId="362508E5">
            <w:pPr>
              <w:widowControl/>
              <w:spacing w:line="0" w:lineRule="atLeast"/>
              <w:jc w:val="center"/>
              <w:rPr>
                <w:color w:val="000000"/>
                <w:kern w:val="0"/>
                <w:sz w:val="22"/>
                <w:szCs w:val="22"/>
              </w:rPr>
            </w:pPr>
            <w:r>
              <w:rPr>
                <w:color w:val="000000"/>
                <w:kern w:val="0"/>
                <w:sz w:val="22"/>
                <w:szCs w:val="22"/>
              </w:rPr>
              <w:t>合规性</w:t>
            </w:r>
          </w:p>
        </w:tc>
        <w:tc>
          <w:tcPr>
            <w:tcW w:w="2353" w:type="dxa"/>
            <w:shd w:val="clear" w:color="000000" w:fill="FFFFFF"/>
            <w:vAlign w:val="center"/>
          </w:tcPr>
          <w:p w14:paraId="3A58967C">
            <w:pPr>
              <w:widowControl/>
              <w:spacing w:line="0" w:lineRule="atLeast"/>
              <w:rPr>
                <w:color w:val="000000"/>
                <w:kern w:val="0"/>
                <w:sz w:val="22"/>
                <w:szCs w:val="22"/>
              </w:rPr>
            </w:pPr>
            <w:r>
              <w:rPr>
                <w:color w:val="000000"/>
                <w:kern w:val="0"/>
                <w:sz w:val="22"/>
                <w:szCs w:val="22"/>
              </w:rPr>
              <w:t>项目资金使用是否符合相关的财务管理制度规定，用以反映和考核项目资金的规范运行情况。</w:t>
            </w:r>
          </w:p>
        </w:tc>
        <w:tc>
          <w:tcPr>
            <w:tcW w:w="5198" w:type="dxa"/>
            <w:shd w:val="clear" w:color="000000" w:fill="FFFFFF"/>
            <w:vAlign w:val="center"/>
          </w:tcPr>
          <w:p w14:paraId="6B056058">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①是否符合国家财经法规和财务管理制度以及有关专项资金管理办法的规定；</w:t>
            </w:r>
            <w:r>
              <w:rPr>
                <w:color w:val="000000"/>
                <w:kern w:val="0"/>
                <w:sz w:val="22"/>
                <w:szCs w:val="22"/>
              </w:rPr>
              <w:br w:type="textWrapping"/>
            </w:r>
            <w:r>
              <w:rPr>
                <w:color w:val="000000"/>
                <w:kern w:val="0"/>
                <w:sz w:val="22"/>
                <w:szCs w:val="22"/>
              </w:rPr>
              <w:t>②资金的拨付是否有完整的审批程序和手续；</w:t>
            </w:r>
            <w:r>
              <w:rPr>
                <w:color w:val="000000"/>
                <w:kern w:val="0"/>
                <w:sz w:val="22"/>
                <w:szCs w:val="22"/>
              </w:rPr>
              <w:br w:type="textWrapping"/>
            </w:r>
            <w:r>
              <w:rPr>
                <w:color w:val="000000"/>
                <w:kern w:val="0"/>
                <w:sz w:val="22"/>
                <w:szCs w:val="22"/>
              </w:rPr>
              <w:t>③是否符合项目预算批复或合同规定的用途；</w:t>
            </w:r>
            <w:r>
              <w:rPr>
                <w:color w:val="000000"/>
                <w:kern w:val="0"/>
                <w:sz w:val="22"/>
                <w:szCs w:val="22"/>
              </w:rPr>
              <w:br w:type="textWrapping"/>
            </w:r>
            <w:r>
              <w:rPr>
                <w:color w:val="000000"/>
                <w:kern w:val="0"/>
                <w:sz w:val="22"/>
                <w:szCs w:val="22"/>
              </w:rPr>
              <w:t>④是否存在截留、挤占、挪用、虚列支出等情况。</w:t>
            </w:r>
          </w:p>
        </w:tc>
        <w:tc>
          <w:tcPr>
            <w:tcW w:w="1300" w:type="dxa"/>
            <w:shd w:val="clear" w:color="000000" w:fill="FFFFFF"/>
            <w:vAlign w:val="center"/>
          </w:tcPr>
          <w:p w14:paraId="0853D0C4">
            <w:pPr>
              <w:widowControl/>
              <w:spacing w:line="0" w:lineRule="atLeast"/>
              <w:jc w:val="center"/>
              <w:rPr>
                <w:b/>
                <w:bCs/>
                <w:color w:val="000000"/>
                <w:kern w:val="0"/>
                <w:sz w:val="22"/>
                <w:szCs w:val="22"/>
              </w:rPr>
            </w:pPr>
            <w:r>
              <w:rPr>
                <w:b/>
                <w:bCs/>
                <w:color w:val="000000"/>
                <w:kern w:val="0"/>
                <w:sz w:val="22"/>
                <w:szCs w:val="22"/>
              </w:rPr>
              <w:t>4</w:t>
            </w:r>
          </w:p>
        </w:tc>
        <w:tc>
          <w:tcPr>
            <w:tcW w:w="1363" w:type="dxa"/>
            <w:shd w:val="clear" w:color="000000" w:fill="FFFFFF"/>
            <w:vAlign w:val="center"/>
          </w:tcPr>
          <w:p w14:paraId="4381EFDD">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14:paraId="53E072C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832" w:type="dxa"/>
            <w:vMerge w:val="continue"/>
            <w:shd w:val="clear" w:color="auto" w:fill="FFFFFF"/>
            <w:vAlign w:val="center"/>
          </w:tcPr>
          <w:p w14:paraId="6A9FDBA5">
            <w:pPr>
              <w:spacing w:line="0" w:lineRule="atLeast"/>
              <w:jc w:val="center"/>
              <w:rPr>
                <w:color w:val="000000"/>
                <w:kern w:val="0"/>
                <w:sz w:val="22"/>
                <w:szCs w:val="22"/>
              </w:rPr>
            </w:pPr>
          </w:p>
        </w:tc>
        <w:tc>
          <w:tcPr>
            <w:tcW w:w="764" w:type="dxa"/>
            <w:vMerge w:val="restart"/>
            <w:shd w:val="clear" w:color="auto" w:fill="FFFFFF"/>
            <w:vAlign w:val="center"/>
          </w:tcPr>
          <w:p w14:paraId="2004FEB7">
            <w:pPr>
              <w:widowControl/>
              <w:spacing w:line="0" w:lineRule="atLeast"/>
              <w:jc w:val="center"/>
              <w:rPr>
                <w:color w:val="000000"/>
                <w:kern w:val="0"/>
                <w:sz w:val="22"/>
                <w:szCs w:val="22"/>
              </w:rPr>
            </w:pPr>
            <w:r>
              <w:rPr>
                <w:color w:val="000000"/>
                <w:kern w:val="0"/>
                <w:sz w:val="22"/>
                <w:szCs w:val="22"/>
              </w:rPr>
              <w:t>组织实施</w:t>
            </w:r>
          </w:p>
          <w:p w14:paraId="729BA64C">
            <w:pPr>
              <w:spacing w:line="0" w:lineRule="atLeast"/>
              <w:jc w:val="center"/>
              <w:rPr>
                <w:color w:val="000000"/>
                <w:kern w:val="0"/>
                <w:sz w:val="22"/>
                <w:szCs w:val="22"/>
              </w:rPr>
            </w:pPr>
            <w:r>
              <w:rPr>
                <w:color w:val="000000"/>
                <w:kern w:val="0"/>
                <w:sz w:val="22"/>
                <w:szCs w:val="22"/>
              </w:rPr>
              <w:t>　</w:t>
            </w:r>
          </w:p>
        </w:tc>
        <w:tc>
          <w:tcPr>
            <w:tcW w:w="873" w:type="dxa"/>
            <w:shd w:val="clear" w:color="auto" w:fill="FFFFFF"/>
            <w:vAlign w:val="center"/>
          </w:tcPr>
          <w:p w14:paraId="019AAEB5">
            <w:pPr>
              <w:widowControl/>
              <w:spacing w:line="0" w:lineRule="atLeast"/>
              <w:jc w:val="center"/>
              <w:rPr>
                <w:color w:val="000000"/>
                <w:kern w:val="0"/>
                <w:sz w:val="22"/>
                <w:szCs w:val="22"/>
              </w:rPr>
            </w:pPr>
            <w:r>
              <w:rPr>
                <w:color w:val="000000"/>
                <w:kern w:val="0"/>
                <w:sz w:val="22"/>
                <w:szCs w:val="22"/>
              </w:rPr>
              <w:t>管理制度</w:t>
            </w:r>
          </w:p>
          <w:p w14:paraId="45F1146F">
            <w:pPr>
              <w:widowControl/>
              <w:spacing w:line="0" w:lineRule="atLeast"/>
              <w:jc w:val="center"/>
              <w:rPr>
                <w:color w:val="000000"/>
                <w:kern w:val="0"/>
                <w:sz w:val="22"/>
                <w:szCs w:val="22"/>
              </w:rPr>
            </w:pPr>
            <w:r>
              <w:rPr>
                <w:color w:val="000000"/>
                <w:kern w:val="0"/>
                <w:sz w:val="22"/>
                <w:szCs w:val="22"/>
              </w:rPr>
              <w:t>健全性</w:t>
            </w:r>
          </w:p>
        </w:tc>
        <w:tc>
          <w:tcPr>
            <w:tcW w:w="2353" w:type="dxa"/>
            <w:shd w:val="clear" w:color="000000" w:fill="FFFFFF"/>
            <w:vAlign w:val="center"/>
          </w:tcPr>
          <w:p w14:paraId="244702B3">
            <w:pPr>
              <w:widowControl/>
              <w:spacing w:line="0" w:lineRule="atLeast"/>
              <w:rPr>
                <w:color w:val="000000"/>
                <w:kern w:val="0"/>
                <w:sz w:val="22"/>
                <w:szCs w:val="22"/>
              </w:rPr>
            </w:pPr>
            <w:r>
              <w:rPr>
                <w:color w:val="000000"/>
                <w:kern w:val="0"/>
                <w:sz w:val="22"/>
                <w:szCs w:val="22"/>
              </w:rPr>
              <w:t>项目实施单位的财务和业务管理制度是否健全，用以反映和考核财务和业务管理制度对项目顺利实施的保障情况。</w:t>
            </w:r>
          </w:p>
        </w:tc>
        <w:tc>
          <w:tcPr>
            <w:tcW w:w="5198" w:type="dxa"/>
            <w:shd w:val="clear" w:color="000000" w:fill="FFFFFF"/>
            <w:vAlign w:val="center"/>
          </w:tcPr>
          <w:p w14:paraId="4B391EC1">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①是否已制定或具有相应的财务和业务管理制度；</w:t>
            </w:r>
            <w:r>
              <w:rPr>
                <w:color w:val="000000"/>
                <w:kern w:val="0"/>
                <w:sz w:val="22"/>
                <w:szCs w:val="22"/>
              </w:rPr>
              <w:br w:type="textWrapping"/>
            </w:r>
            <w:r>
              <w:rPr>
                <w:color w:val="000000"/>
                <w:kern w:val="0"/>
                <w:sz w:val="22"/>
                <w:szCs w:val="22"/>
              </w:rPr>
              <w:t>②财务和业务管理制度是否合法、合规、完整。</w:t>
            </w:r>
          </w:p>
        </w:tc>
        <w:tc>
          <w:tcPr>
            <w:tcW w:w="1300" w:type="dxa"/>
            <w:shd w:val="clear" w:color="000000" w:fill="FFFFFF"/>
            <w:vAlign w:val="center"/>
          </w:tcPr>
          <w:p w14:paraId="6F12F944">
            <w:pPr>
              <w:widowControl/>
              <w:spacing w:line="0" w:lineRule="atLeast"/>
              <w:jc w:val="center"/>
              <w:rPr>
                <w:b/>
                <w:bCs/>
                <w:color w:val="000000"/>
                <w:kern w:val="0"/>
                <w:sz w:val="22"/>
                <w:szCs w:val="22"/>
              </w:rPr>
            </w:pPr>
            <w:r>
              <w:rPr>
                <w:b/>
                <w:bCs/>
                <w:color w:val="000000"/>
                <w:kern w:val="0"/>
                <w:sz w:val="22"/>
                <w:szCs w:val="22"/>
              </w:rPr>
              <w:t>4</w:t>
            </w:r>
          </w:p>
        </w:tc>
        <w:tc>
          <w:tcPr>
            <w:tcW w:w="1363" w:type="dxa"/>
            <w:shd w:val="clear" w:color="000000" w:fill="FFFFFF"/>
            <w:vAlign w:val="center"/>
          </w:tcPr>
          <w:p w14:paraId="257AB16E">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14:paraId="3311AF4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832" w:type="dxa"/>
            <w:vMerge w:val="continue"/>
            <w:shd w:val="clear" w:color="auto" w:fill="FFFFFF"/>
            <w:vAlign w:val="center"/>
          </w:tcPr>
          <w:p w14:paraId="660CD03B">
            <w:pPr>
              <w:widowControl/>
              <w:spacing w:line="0" w:lineRule="atLeast"/>
              <w:jc w:val="center"/>
              <w:rPr>
                <w:color w:val="000000"/>
                <w:kern w:val="0"/>
                <w:sz w:val="22"/>
                <w:szCs w:val="22"/>
              </w:rPr>
            </w:pPr>
          </w:p>
        </w:tc>
        <w:tc>
          <w:tcPr>
            <w:tcW w:w="764" w:type="dxa"/>
            <w:vMerge w:val="continue"/>
            <w:shd w:val="clear" w:color="auto" w:fill="FFFFFF"/>
            <w:vAlign w:val="center"/>
          </w:tcPr>
          <w:p w14:paraId="51715CB1">
            <w:pPr>
              <w:widowControl/>
              <w:spacing w:line="0" w:lineRule="atLeast"/>
              <w:jc w:val="center"/>
              <w:rPr>
                <w:color w:val="000000"/>
                <w:kern w:val="0"/>
                <w:sz w:val="22"/>
                <w:szCs w:val="22"/>
              </w:rPr>
            </w:pPr>
          </w:p>
        </w:tc>
        <w:tc>
          <w:tcPr>
            <w:tcW w:w="873" w:type="dxa"/>
            <w:shd w:val="clear" w:color="auto" w:fill="FFFFFF"/>
            <w:vAlign w:val="center"/>
          </w:tcPr>
          <w:p w14:paraId="15FC7BB5">
            <w:pPr>
              <w:widowControl/>
              <w:spacing w:line="0" w:lineRule="atLeast"/>
              <w:jc w:val="center"/>
              <w:rPr>
                <w:color w:val="000000"/>
                <w:kern w:val="0"/>
                <w:sz w:val="22"/>
                <w:szCs w:val="22"/>
              </w:rPr>
            </w:pPr>
            <w:r>
              <w:rPr>
                <w:color w:val="000000"/>
                <w:kern w:val="0"/>
                <w:sz w:val="22"/>
                <w:szCs w:val="22"/>
              </w:rPr>
              <w:t>制度执行</w:t>
            </w:r>
          </w:p>
          <w:p w14:paraId="389E7459">
            <w:pPr>
              <w:widowControl/>
              <w:spacing w:line="0" w:lineRule="atLeast"/>
              <w:jc w:val="center"/>
              <w:rPr>
                <w:color w:val="000000"/>
                <w:kern w:val="0"/>
                <w:sz w:val="22"/>
                <w:szCs w:val="22"/>
              </w:rPr>
            </w:pPr>
            <w:r>
              <w:rPr>
                <w:color w:val="000000"/>
                <w:kern w:val="0"/>
                <w:sz w:val="22"/>
                <w:szCs w:val="22"/>
              </w:rPr>
              <w:t>有效性</w:t>
            </w:r>
          </w:p>
        </w:tc>
        <w:tc>
          <w:tcPr>
            <w:tcW w:w="2353" w:type="dxa"/>
            <w:shd w:val="clear" w:color="000000" w:fill="FFFFFF"/>
            <w:vAlign w:val="center"/>
          </w:tcPr>
          <w:p w14:paraId="52150D7B">
            <w:pPr>
              <w:widowControl/>
              <w:spacing w:line="0" w:lineRule="atLeast"/>
              <w:rPr>
                <w:color w:val="000000"/>
                <w:kern w:val="0"/>
                <w:sz w:val="22"/>
                <w:szCs w:val="22"/>
              </w:rPr>
            </w:pPr>
            <w:r>
              <w:rPr>
                <w:color w:val="000000"/>
                <w:kern w:val="0"/>
                <w:sz w:val="22"/>
                <w:szCs w:val="22"/>
              </w:rPr>
              <w:t>项目实施是否符合相关管理规定，用以反映和考核相关管理制度的有效执行情况。</w:t>
            </w:r>
          </w:p>
        </w:tc>
        <w:tc>
          <w:tcPr>
            <w:tcW w:w="5198" w:type="dxa"/>
            <w:shd w:val="clear" w:color="000000" w:fill="FFFFFF"/>
            <w:vAlign w:val="center"/>
          </w:tcPr>
          <w:p w14:paraId="24689095">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①是否遵守相关法律法规和相关管理规定；</w:t>
            </w:r>
            <w:r>
              <w:rPr>
                <w:color w:val="000000"/>
                <w:kern w:val="0"/>
                <w:sz w:val="22"/>
                <w:szCs w:val="22"/>
              </w:rPr>
              <w:br w:type="textWrapping"/>
            </w:r>
            <w:r>
              <w:rPr>
                <w:color w:val="000000"/>
                <w:kern w:val="0"/>
                <w:sz w:val="22"/>
                <w:szCs w:val="22"/>
              </w:rPr>
              <w:t>②项目调整及支出调整手续是否完备；</w:t>
            </w:r>
            <w:r>
              <w:rPr>
                <w:color w:val="000000"/>
                <w:kern w:val="0"/>
                <w:sz w:val="22"/>
                <w:szCs w:val="22"/>
              </w:rPr>
              <w:br w:type="textWrapping"/>
            </w:r>
            <w:r>
              <w:rPr>
                <w:color w:val="000000"/>
                <w:kern w:val="0"/>
                <w:sz w:val="22"/>
                <w:szCs w:val="22"/>
              </w:rPr>
              <w:t>③项目合同书、验收报告、技术鉴定等资料是否齐全并及时归档；</w:t>
            </w:r>
            <w:r>
              <w:rPr>
                <w:color w:val="000000"/>
                <w:kern w:val="0"/>
                <w:sz w:val="22"/>
                <w:szCs w:val="22"/>
              </w:rPr>
              <w:br w:type="textWrapping"/>
            </w:r>
            <w:r>
              <w:rPr>
                <w:color w:val="000000"/>
                <w:kern w:val="0"/>
                <w:sz w:val="22"/>
                <w:szCs w:val="22"/>
              </w:rPr>
              <w:t>④项目实施的人员条件、场地设备、信息支撑等是否落实到位。</w:t>
            </w:r>
          </w:p>
        </w:tc>
        <w:tc>
          <w:tcPr>
            <w:tcW w:w="1300" w:type="dxa"/>
            <w:shd w:val="clear" w:color="000000" w:fill="FFFFFF"/>
            <w:vAlign w:val="center"/>
          </w:tcPr>
          <w:p w14:paraId="6BAAF626">
            <w:pPr>
              <w:widowControl/>
              <w:spacing w:line="0" w:lineRule="atLeast"/>
              <w:jc w:val="center"/>
              <w:rPr>
                <w:b/>
                <w:bCs/>
                <w:color w:val="000000"/>
                <w:kern w:val="0"/>
                <w:sz w:val="22"/>
                <w:szCs w:val="22"/>
              </w:rPr>
            </w:pPr>
            <w:r>
              <w:rPr>
                <w:b/>
                <w:bCs/>
                <w:color w:val="000000"/>
                <w:kern w:val="0"/>
                <w:sz w:val="22"/>
                <w:szCs w:val="22"/>
              </w:rPr>
              <w:t>4</w:t>
            </w:r>
          </w:p>
        </w:tc>
        <w:tc>
          <w:tcPr>
            <w:tcW w:w="1363" w:type="dxa"/>
            <w:shd w:val="clear" w:color="000000" w:fill="FFFFFF"/>
            <w:vAlign w:val="center"/>
          </w:tcPr>
          <w:p w14:paraId="5EC40AC4">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14:paraId="0F40F47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832" w:type="dxa"/>
            <w:vMerge w:val="restart"/>
            <w:shd w:val="clear" w:color="auto" w:fill="FFFFFF"/>
            <w:vAlign w:val="center"/>
          </w:tcPr>
          <w:p w14:paraId="12E1A62F">
            <w:pPr>
              <w:widowControl/>
              <w:spacing w:line="0" w:lineRule="atLeast"/>
              <w:jc w:val="center"/>
              <w:rPr>
                <w:color w:val="000000"/>
                <w:kern w:val="0"/>
                <w:sz w:val="22"/>
                <w:szCs w:val="22"/>
              </w:rPr>
            </w:pPr>
            <w:r>
              <w:rPr>
                <w:color w:val="000000"/>
                <w:kern w:val="0"/>
                <w:sz w:val="22"/>
                <w:szCs w:val="22"/>
              </w:rPr>
              <w:t>产出</w:t>
            </w:r>
          </w:p>
        </w:tc>
        <w:tc>
          <w:tcPr>
            <w:tcW w:w="764" w:type="dxa"/>
            <w:shd w:val="clear" w:color="auto" w:fill="FFFFFF"/>
            <w:vAlign w:val="center"/>
          </w:tcPr>
          <w:p w14:paraId="36ECF99E">
            <w:pPr>
              <w:widowControl/>
              <w:spacing w:line="0" w:lineRule="atLeast"/>
              <w:jc w:val="center"/>
              <w:rPr>
                <w:color w:val="000000"/>
                <w:kern w:val="0"/>
                <w:sz w:val="22"/>
                <w:szCs w:val="22"/>
              </w:rPr>
            </w:pPr>
            <w:r>
              <w:rPr>
                <w:color w:val="000000"/>
                <w:kern w:val="0"/>
                <w:sz w:val="22"/>
                <w:szCs w:val="22"/>
              </w:rPr>
              <w:t>产出数量</w:t>
            </w:r>
          </w:p>
        </w:tc>
        <w:tc>
          <w:tcPr>
            <w:tcW w:w="873" w:type="dxa"/>
            <w:shd w:val="clear" w:color="auto" w:fill="FFFFFF"/>
            <w:vAlign w:val="center"/>
          </w:tcPr>
          <w:p w14:paraId="0D69CCAE">
            <w:pPr>
              <w:widowControl/>
              <w:spacing w:line="0" w:lineRule="atLeast"/>
              <w:jc w:val="center"/>
              <w:rPr>
                <w:color w:val="000000"/>
                <w:kern w:val="0"/>
                <w:sz w:val="22"/>
                <w:szCs w:val="22"/>
              </w:rPr>
            </w:pPr>
            <w:r>
              <w:rPr>
                <w:color w:val="000000"/>
                <w:kern w:val="0"/>
                <w:sz w:val="22"/>
                <w:szCs w:val="22"/>
              </w:rPr>
              <w:t>实际完成率</w:t>
            </w:r>
          </w:p>
        </w:tc>
        <w:tc>
          <w:tcPr>
            <w:tcW w:w="2353" w:type="dxa"/>
            <w:shd w:val="clear" w:color="000000" w:fill="FFFFFF"/>
            <w:vAlign w:val="center"/>
          </w:tcPr>
          <w:p w14:paraId="574BC3F5">
            <w:pPr>
              <w:widowControl/>
              <w:spacing w:line="0" w:lineRule="atLeast"/>
              <w:rPr>
                <w:color w:val="000000"/>
                <w:kern w:val="0"/>
                <w:sz w:val="22"/>
                <w:szCs w:val="22"/>
              </w:rPr>
            </w:pPr>
            <w:r>
              <w:rPr>
                <w:color w:val="000000"/>
                <w:kern w:val="0"/>
                <w:sz w:val="22"/>
                <w:szCs w:val="22"/>
              </w:rPr>
              <w:t>项目实施的实际产出数与计划产出数的比率，用以反映和考核项目产出数量目标的实现程度。</w:t>
            </w:r>
          </w:p>
        </w:tc>
        <w:tc>
          <w:tcPr>
            <w:tcW w:w="5198" w:type="dxa"/>
            <w:shd w:val="clear" w:color="000000" w:fill="FFFFFF"/>
            <w:vAlign w:val="center"/>
          </w:tcPr>
          <w:p w14:paraId="0B2E0248">
            <w:pPr>
              <w:widowControl/>
              <w:spacing w:line="0" w:lineRule="atLeast"/>
              <w:rPr>
                <w:color w:val="000000"/>
                <w:kern w:val="0"/>
                <w:sz w:val="22"/>
                <w:szCs w:val="22"/>
              </w:rPr>
            </w:pPr>
            <w:r>
              <w:rPr>
                <w:color w:val="000000"/>
                <w:kern w:val="0"/>
                <w:sz w:val="22"/>
                <w:szCs w:val="22"/>
              </w:rPr>
              <w:t>实际完成率=（实际产出数/计划产出数）×100%。</w:t>
            </w:r>
            <w:r>
              <w:rPr>
                <w:color w:val="000000"/>
                <w:kern w:val="0"/>
                <w:sz w:val="22"/>
                <w:szCs w:val="22"/>
              </w:rPr>
              <w:br w:type="textWrapping"/>
            </w:r>
            <w:r>
              <w:rPr>
                <w:color w:val="000000"/>
                <w:kern w:val="0"/>
                <w:sz w:val="22"/>
                <w:szCs w:val="22"/>
              </w:rPr>
              <w:t>实际产出数：一定时期（本年度或项目期）内项目实际产出的产品或提供的服务数量。</w:t>
            </w:r>
            <w:r>
              <w:rPr>
                <w:color w:val="000000"/>
                <w:kern w:val="0"/>
                <w:sz w:val="22"/>
                <w:szCs w:val="22"/>
              </w:rPr>
              <w:br w:type="textWrapping"/>
            </w:r>
            <w:r>
              <w:rPr>
                <w:color w:val="000000"/>
                <w:kern w:val="0"/>
                <w:sz w:val="22"/>
                <w:szCs w:val="22"/>
              </w:rPr>
              <w:t>计划产出数：项目绩效目标确定的在一定时期（本年度或项目期）内计划产出的产品或提供的服务数量。</w:t>
            </w:r>
          </w:p>
        </w:tc>
        <w:tc>
          <w:tcPr>
            <w:tcW w:w="1300" w:type="dxa"/>
            <w:shd w:val="clear" w:color="000000" w:fill="FFFFFF"/>
            <w:vAlign w:val="center"/>
          </w:tcPr>
          <w:p w14:paraId="0C6B7531">
            <w:pPr>
              <w:widowControl/>
              <w:spacing w:line="0" w:lineRule="atLeast"/>
              <w:jc w:val="center"/>
              <w:rPr>
                <w:b/>
                <w:bCs/>
                <w:color w:val="000000"/>
                <w:kern w:val="0"/>
                <w:sz w:val="22"/>
                <w:szCs w:val="22"/>
              </w:rPr>
            </w:pPr>
            <w:r>
              <w:rPr>
                <w:b/>
                <w:bCs/>
                <w:color w:val="000000"/>
                <w:kern w:val="0"/>
                <w:sz w:val="22"/>
                <w:szCs w:val="22"/>
              </w:rPr>
              <w:t>10</w:t>
            </w:r>
          </w:p>
        </w:tc>
        <w:tc>
          <w:tcPr>
            <w:tcW w:w="1363" w:type="dxa"/>
            <w:shd w:val="clear" w:color="000000" w:fill="FFFFFF"/>
            <w:vAlign w:val="center"/>
          </w:tcPr>
          <w:p w14:paraId="6A18927B">
            <w:pPr>
              <w:widowControl/>
              <w:spacing w:line="0" w:lineRule="atLeast"/>
              <w:jc w:val="center"/>
              <w:rPr>
                <w:rFonts w:hint="default" w:eastAsia="宋体"/>
                <w:b/>
                <w:bCs/>
                <w:color w:val="000000"/>
                <w:kern w:val="0"/>
                <w:sz w:val="22"/>
                <w:szCs w:val="22"/>
                <w:highlight w:val="none"/>
                <w:lang w:val="en-US" w:eastAsia="zh-CN"/>
              </w:rPr>
            </w:pPr>
            <w:r>
              <w:rPr>
                <w:rFonts w:hint="eastAsia"/>
                <w:b/>
                <w:bCs/>
                <w:color w:val="000000"/>
                <w:kern w:val="0"/>
                <w:sz w:val="22"/>
                <w:szCs w:val="22"/>
                <w:highlight w:val="none"/>
                <w:lang w:val="en-US" w:eastAsia="zh-CN"/>
              </w:rPr>
              <w:t>8.75</w:t>
            </w:r>
          </w:p>
        </w:tc>
      </w:tr>
      <w:tr w14:paraId="5C61C3E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832" w:type="dxa"/>
            <w:vMerge w:val="continue"/>
            <w:shd w:val="clear" w:color="auto" w:fill="FFFFFF"/>
            <w:vAlign w:val="center"/>
          </w:tcPr>
          <w:p w14:paraId="3A8BC8E3">
            <w:pPr>
              <w:widowControl/>
              <w:spacing w:line="0" w:lineRule="atLeast"/>
              <w:jc w:val="center"/>
              <w:rPr>
                <w:color w:val="000000"/>
                <w:kern w:val="0"/>
                <w:sz w:val="22"/>
                <w:szCs w:val="22"/>
              </w:rPr>
            </w:pPr>
          </w:p>
        </w:tc>
        <w:tc>
          <w:tcPr>
            <w:tcW w:w="764" w:type="dxa"/>
            <w:shd w:val="clear" w:color="auto" w:fill="FFFFFF"/>
            <w:vAlign w:val="center"/>
          </w:tcPr>
          <w:p w14:paraId="7EFBFA2A">
            <w:pPr>
              <w:widowControl/>
              <w:spacing w:line="0" w:lineRule="atLeast"/>
              <w:jc w:val="center"/>
              <w:rPr>
                <w:color w:val="000000"/>
                <w:kern w:val="0"/>
                <w:sz w:val="22"/>
                <w:szCs w:val="22"/>
              </w:rPr>
            </w:pPr>
            <w:r>
              <w:rPr>
                <w:color w:val="000000"/>
                <w:kern w:val="0"/>
                <w:sz w:val="22"/>
                <w:szCs w:val="22"/>
              </w:rPr>
              <w:t>产出质量</w:t>
            </w:r>
          </w:p>
        </w:tc>
        <w:tc>
          <w:tcPr>
            <w:tcW w:w="873" w:type="dxa"/>
            <w:shd w:val="clear" w:color="auto" w:fill="FFFFFF"/>
            <w:vAlign w:val="center"/>
          </w:tcPr>
          <w:p w14:paraId="1C328449">
            <w:pPr>
              <w:widowControl/>
              <w:spacing w:line="0" w:lineRule="atLeast"/>
              <w:jc w:val="center"/>
              <w:rPr>
                <w:color w:val="000000"/>
                <w:kern w:val="0"/>
                <w:sz w:val="22"/>
                <w:szCs w:val="22"/>
              </w:rPr>
            </w:pPr>
            <w:r>
              <w:rPr>
                <w:color w:val="000000"/>
                <w:kern w:val="0"/>
                <w:sz w:val="22"/>
                <w:szCs w:val="22"/>
              </w:rPr>
              <w:t>质量达标率</w:t>
            </w:r>
          </w:p>
        </w:tc>
        <w:tc>
          <w:tcPr>
            <w:tcW w:w="2353" w:type="dxa"/>
            <w:shd w:val="clear" w:color="000000" w:fill="FFFFFF"/>
            <w:vAlign w:val="center"/>
          </w:tcPr>
          <w:p w14:paraId="2BDE71EA">
            <w:pPr>
              <w:widowControl/>
              <w:spacing w:line="0" w:lineRule="atLeast"/>
              <w:rPr>
                <w:color w:val="000000"/>
                <w:kern w:val="0"/>
                <w:sz w:val="22"/>
                <w:szCs w:val="22"/>
              </w:rPr>
            </w:pPr>
            <w:r>
              <w:rPr>
                <w:color w:val="000000"/>
                <w:kern w:val="0"/>
                <w:sz w:val="22"/>
                <w:szCs w:val="22"/>
              </w:rPr>
              <w:t>项目完成的质量达标产出数与实际产出数的比率，用以反映和考核项目产出质量目标的实现程度。</w:t>
            </w:r>
          </w:p>
        </w:tc>
        <w:tc>
          <w:tcPr>
            <w:tcW w:w="5198" w:type="dxa"/>
            <w:shd w:val="clear" w:color="000000" w:fill="FFFFFF"/>
            <w:vAlign w:val="center"/>
          </w:tcPr>
          <w:p w14:paraId="1AEED9B3">
            <w:pPr>
              <w:widowControl/>
              <w:spacing w:line="0" w:lineRule="atLeast"/>
              <w:rPr>
                <w:color w:val="000000"/>
                <w:kern w:val="0"/>
                <w:sz w:val="22"/>
                <w:szCs w:val="22"/>
              </w:rPr>
            </w:pPr>
            <w:r>
              <w:rPr>
                <w:color w:val="000000"/>
                <w:kern w:val="0"/>
                <w:sz w:val="22"/>
                <w:szCs w:val="22"/>
              </w:rPr>
              <w:t>质量达标率=（质量达标产出数/实际产出数）×100%。</w:t>
            </w:r>
          </w:p>
          <w:p w14:paraId="5BB9D573">
            <w:pPr>
              <w:widowControl/>
              <w:spacing w:line="0" w:lineRule="atLeast"/>
              <w:rPr>
                <w:color w:val="000000"/>
                <w:kern w:val="0"/>
                <w:sz w:val="22"/>
                <w:szCs w:val="22"/>
              </w:rPr>
            </w:pPr>
            <w:r>
              <w:rPr>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1300" w:type="dxa"/>
            <w:shd w:val="clear" w:color="000000" w:fill="FFFFFF"/>
            <w:vAlign w:val="center"/>
          </w:tcPr>
          <w:p w14:paraId="6932F649">
            <w:pPr>
              <w:widowControl/>
              <w:spacing w:line="0" w:lineRule="atLeast"/>
              <w:jc w:val="center"/>
              <w:rPr>
                <w:b/>
                <w:bCs/>
                <w:color w:val="000000"/>
                <w:kern w:val="0"/>
                <w:sz w:val="22"/>
                <w:szCs w:val="22"/>
              </w:rPr>
            </w:pPr>
            <w:r>
              <w:rPr>
                <w:b/>
                <w:bCs/>
                <w:color w:val="000000"/>
                <w:kern w:val="0"/>
                <w:sz w:val="22"/>
                <w:szCs w:val="22"/>
              </w:rPr>
              <w:t>10</w:t>
            </w:r>
          </w:p>
        </w:tc>
        <w:tc>
          <w:tcPr>
            <w:tcW w:w="1363" w:type="dxa"/>
            <w:shd w:val="clear" w:color="000000" w:fill="FFFFFF"/>
            <w:vAlign w:val="center"/>
          </w:tcPr>
          <w:p w14:paraId="382E9E1D">
            <w:pPr>
              <w:widowControl/>
              <w:spacing w:line="0" w:lineRule="atLeast"/>
              <w:jc w:val="center"/>
              <w:rPr>
                <w:rFonts w:hint="default" w:eastAsia="宋体"/>
                <w:b/>
                <w:bCs/>
                <w:color w:val="000000"/>
                <w:kern w:val="0"/>
                <w:sz w:val="22"/>
                <w:szCs w:val="22"/>
                <w:highlight w:val="none"/>
                <w:lang w:val="en-US" w:eastAsia="zh-CN"/>
              </w:rPr>
            </w:pPr>
            <w:r>
              <w:rPr>
                <w:rFonts w:hint="eastAsia"/>
                <w:b/>
                <w:bCs/>
                <w:color w:val="000000"/>
                <w:kern w:val="0"/>
                <w:sz w:val="22"/>
                <w:szCs w:val="22"/>
                <w:highlight w:val="none"/>
                <w:lang w:val="en-US" w:eastAsia="zh-CN"/>
              </w:rPr>
              <w:t>10</w:t>
            </w:r>
          </w:p>
        </w:tc>
      </w:tr>
      <w:tr w14:paraId="5D99E34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832" w:type="dxa"/>
            <w:vMerge w:val="continue"/>
            <w:shd w:val="clear" w:color="auto" w:fill="FFFFFF"/>
            <w:vAlign w:val="center"/>
          </w:tcPr>
          <w:p w14:paraId="414C61E6">
            <w:pPr>
              <w:spacing w:line="0" w:lineRule="atLeast"/>
              <w:jc w:val="center"/>
              <w:rPr>
                <w:color w:val="000000"/>
                <w:kern w:val="0"/>
                <w:sz w:val="22"/>
                <w:szCs w:val="22"/>
              </w:rPr>
            </w:pPr>
          </w:p>
        </w:tc>
        <w:tc>
          <w:tcPr>
            <w:tcW w:w="764" w:type="dxa"/>
            <w:shd w:val="clear" w:color="auto" w:fill="FFFFFF"/>
            <w:vAlign w:val="center"/>
          </w:tcPr>
          <w:p w14:paraId="5206EE81">
            <w:pPr>
              <w:spacing w:line="0" w:lineRule="atLeast"/>
              <w:jc w:val="center"/>
              <w:rPr>
                <w:color w:val="000000"/>
                <w:kern w:val="0"/>
                <w:sz w:val="22"/>
                <w:szCs w:val="22"/>
              </w:rPr>
            </w:pPr>
            <w:r>
              <w:rPr>
                <w:color w:val="000000"/>
                <w:kern w:val="0"/>
                <w:sz w:val="22"/>
                <w:szCs w:val="22"/>
              </w:rPr>
              <w:t>产出时效</w:t>
            </w:r>
          </w:p>
        </w:tc>
        <w:tc>
          <w:tcPr>
            <w:tcW w:w="873" w:type="dxa"/>
            <w:shd w:val="clear" w:color="auto" w:fill="FFFFFF"/>
            <w:vAlign w:val="center"/>
          </w:tcPr>
          <w:p w14:paraId="522312C5">
            <w:pPr>
              <w:widowControl/>
              <w:spacing w:line="0" w:lineRule="atLeast"/>
              <w:jc w:val="center"/>
              <w:rPr>
                <w:color w:val="000000"/>
                <w:kern w:val="0"/>
                <w:sz w:val="22"/>
                <w:szCs w:val="22"/>
              </w:rPr>
            </w:pPr>
            <w:r>
              <w:rPr>
                <w:color w:val="000000"/>
                <w:kern w:val="0"/>
                <w:sz w:val="22"/>
                <w:szCs w:val="22"/>
              </w:rPr>
              <w:t>完成及时性</w:t>
            </w:r>
          </w:p>
        </w:tc>
        <w:tc>
          <w:tcPr>
            <w:tcW w:w="2353" w:type="dxa"/>
            <w:shd w:val="clear" w:color="000000" w:fill="FFFFFF"/>
            <w:vAlign w:val="center"/>
          </w:tcPr>
          <w:p w14:paraId="5C05D447">
            <w:pPr>
              <w:widowControl/>
              <w:spacing w:line="0" w:lineRule="atLeast"/>
              <w:rPr>
                <w:color w:val="000000"/>
                <w:kern w:val="0"/>
                <w:sz w:val="22"/>
                <w:szCs w:val="22"/>
              </w:rPr>
            </w:pPr>
            <w:r>
              <w:rPr>
                <w:color w:val="000000"/>
                <w:kern w:val="0"/>
                <w:sz w:val="22"/>
                <w:szCs w:val="22"/>
              </w:rPr>
              <w:t>项目实际完成时间与计划完成时间的比较，用以反映和考核项目产出时效目标的实现程度。</w:t>
            </w:r>
          </w:p>
        </w:tc>
        <w:tc>
          <w:tcPr>
            <w:tcW w:w="5198" w:type="dxa"/>
            <w:shd w:val="clear" w:color="000000" w:fill="FFFFFF"/>
            <w:vAlign w:val="center"/>
          </w:tcPr>
          <w:p w14:paraId="07611F8D">
            <w:pPr>
              <w:widowControl/>
              <w:spacing w:line="0" w:lineRule="atLeast"/>
              <w:rPr>
                <w:color w:val="000000"/>
                <w:kern w:val="0"/>
                <w:sz w:val="22"/>
                <w:szCs w:val="22"/>
              </w:rPr>
            </w:pPr>
            <w:r>
              <w:rPr>
                <w:color w:val="000000"/>
                <w:kern w:val="0"/>
                <w:sz w:val="22"/>
                <w:szCs w:val="22"/>
              </w:rPr>
              <w:t>实际完成时间：项目实施单位完成该项目实际所耗用的时间。</w:t>
            </w:r>
            <w:r>
              <w:rPr>
                <w:color w:val="000000"/>
                <w:kern w:val="0"/>
                <w:sz w:val="22"/>
                <w:szCs w:val="22"/>
              </w:rPr>
              <w:br w:type="textWrapping"/>
            </w:r>
            <w:r>
              <w:rPr>
                <w:color w:val="000000"/>
                <w:kern w:val="0"/>
                <w:sz w:val="22"/>
                <w:szCs w:val="22"/>
              </w:rPr>
              <w:t>计划完成时间：按照项目实施计划或相关规定完成该项目所需的时间。</w:t>
            </w:r>
          </w:p>
        </w:tc>
        <w:tc>
          <w:tcPr>
            <w:tcW w:w="1300" w:type="dxa"/>
            <w:shd w:val="clear" w:color="000000" w:fill="FFFFFF"/>
            <w:vAlign w:val="center"/>
          </w:tcPr>
          <w:p w14:paraId="1C4A3510">
            <w:pPr>
              <w:widowControl/>
              <w:spacing w:line="0" w:lineRule="atLeast"/>
              <w:jc w:val="center"/>
              <w:rPr>
                <w:b/>
                <w:bCs/>
                <w:color w:val="000000"/>
                <w:kern w:val="0"/>
                <w:sz w:val="22"/>
                <w:szCs w:val="22"/>
              </w:rPr>
            </w:pPr>
            <w:r>
              <w:rPr>
                <w:b/>
                <w:bCs/>
                <w:color w:val="000000"/>
                <w:kern w:val="0"/>
                <w:sz w:val="22"/>
                <w:szCs w:val="22"/>
              </w:rPr>
              <w:t>10</w:t>
            </w:r>
          </w:p>
        </w:tc>
        <w:tc>
          <w:tcPr>
            <w:tcW w:w="1363" w:type="dxa"/>
            <w:shd w:val="clear" w:color="000000" w:fill="FFFFFF"/>
            <w:vAlign w:val="center"/>
          </w:tcPr>
          <w:p w14:paraId="4CF416FC">
            <w:pPr>
              <w:widowControl/>
              <w:spacing w:line="0" w:lineRule="atLeast"/>
              <w:jc w:val="center"/>
              <w:rPr>
                <w:rFonts w:hint="default" w:eastAsia="宋体"/>
                <w:b/>
                <w:bCs/>
                <w:color w:val="000000"/>
                <w:kern w:val="0"/>
                <w:sz w:val="22"/>
                <w:szCs w:val="22"/>
                <w:highlight w:val="none"/>
                <w:lang w:val="en-US" w:eastAsia="zh-CN"/>
              </w:rPr>
            </w:pPr>
            <w:r>
              <w:rPr>
                <w:rFonts w:hint="eastAsia"/>
                <w:b/>
                <w:bCs/>
                <w:color w:val="000000"/>
                <w:kern w:val="0"/>
                <w:sz w:val="22"/>
                <w:szCs w:val="22"/>
                <w:highlight w:val="none"/>
                <w:lang w:val="en-US" w:eastAsia="zh-CN"/>
              </w:rPr>
              <w:t>10</w:t>
            </w:r>
          </w:p>
        </w:tc>
      </w:tr>
      <w:tr w14:paraId="188A1F9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832" w:type="dxa"/>
            <w:vMerge w:val="continue"/>
            <w:shd w:val="clear" w:color="auto" w:fill="FFFFFF"/>
            <w:vAlign w:val="center"/>
          </w:tcPr>
          <w:p w14:paraId="59900F75">
            <w:pPr>
              <w:widowControl/>
              <w:spacing w:line="0" w:lineRule="atLeast"/>
              <w:jc w:val="center"/>
              <w:rPr>
                <w:color w:val="000000"/>
                <w:kern w:val="0"/>
                <w:sz w:val="22"/>
                <w:szCs w:val="22"/>
              </w:rPr>
            </w:pPr>
          </w:p>
        </w:tc>
        <w:tc>
          <w:tcPr>
            <w:tcW w:w="764" w:type="dxa"/>
            <w:shd w:val="clear" w:color="auto" w:fill="FFFFFF"/>
            <w:vAlign w:val="center"/>
          </w:tcPr>
          <w:p w14:paraId="2FF2B69A">
            <w:pPr>
              <w:widowControl/>
              <w:spacing w:line="0" w:lineRule="atLeast"/>
              <w:jc w:val="center"/>
              <w:rPr>
                <w:color w:val="000000"/>
                <w:kern w:val="0"/>
                <w:sz w:val="22"/>
                <w:szCs w:val="22"/>
              </w:rPr>
            </w:pPr>
            <w:r>
              <w:rPr>
                <w:color w:val="000000"/>
                <w:kern w:val="0"/>
                <w:sz w:val="22"/>
                <w:szCs w:val="22"/>
              </w:rPr>
              <w:t>产出成本</w:t>
            </w:r>
          </w:p>
        </w:tc>
        <w:tc>
          <w:tcPr>
            <w:tcW w:w="873" w:type="dxa"/>
            <w:shd w:val="clear" w:color="auto" w:fill="FFFFFF"/>
            <w:vAlign w:val="center"/>
          </w:tcPr>
          <w:p w14:paraId="1FECD8F5">
            <w:pPr>
              <w:widowControl/>
              <w:spacing w:line="0" w:lineRule="atLeast"/>
              <w:jc w:val="center"/>
              <w:rPr>
                <w:color w:val="000000"/>
                <w:kern w:val="0"/>
                <w:sz w:val="22"/>
                <w:szCs w:val="22"/>
              </w:rPr>
            </w:pPr>
            <w:r>
              <w:rPr>
                <w:color w:val="000000"/>
                <w:kern w:val="0"/>
                <w:sz w:val="22"/>
                <w:szCs w:val="22"/>
              </w:rPr>
              <w:t>成本节约率</w:t>
            </w:r>
          </w:p>
        </w:tc>
        <w:tc>
          <w:tcPr>
            <w:tcW w:w="2353" w:type="dxa"/>
            <w:shd w:val="clear" w:color="000000" w:fill="FFFFFF"/>
            <w:vAlign w:val="center"/>
          </w:tcPr>
          <w:p w14:paraId="1C31A479">
            <w:pPr>
              <w:widowControl/>
              <w:spacing w:line="0" w:lineRule="atLeast"/>
              <w:rPr>
                <w:color w:val="000000"/>
                <w:kern w:val="0"/>
                <w:sz w:val="22"/>
                <w:szCs w:val="22"/>
              </w:rPr>
            </w:pPr>
            <w:r>
              <w:rPr>
                <w:color w:val="000000"/>
                <w:kern w:val="0"/>
                <w:sz w:val="22"/>
                <w:szCs w:val="22"/>
              </w:rPr>
              <w:t>完成项目计划工作目标的实际节约成本与计划成本的比率，用以反映和考核项目的成本节约程度。</w:t>
            </w:r>
          </w:p>
        </w:tc>
        <w:tc>
          <w:tcPr>
            <w:tcW w:w="5198" w:type="dxa"/>
            <w:shd w:val="clear" w:color="000000" w:fill="FFFFFF"/>
            <w:vAlign w:val="center"/>
          </w:tcPr>
          <w:p w14:paraId="038AECEE">
            <w:pPr>
              <w:widowControl/>
              <w:spacing w:line="0" w:lineRule="atLeast"/>
              <w:rPr>
                <w:color w:val="000000"/>
                <w:kern w:val="0"/>
                <w:sz w:val="22"/>
                <w:szCs w:val="22"/>
              </w:rPr>
            </w:pPr>
            <w:r>
              <w:rPr>
                <w:color w:val="000000"/>
                <w:kern w:val="0"/>
                <w:sz w:val="22"/>
                <w:szCs w:val="22"/>
              </w:rPr>
              <w:br w:type="textWrapping"/>
            </w:r>
            <w:r>
              <w:rPr>
                <w:color w:val="000000"/>
                <w:kern w:val="0"/>
                <w:sz w:val="22"/>
                <w:szCs w:val="22"/>
              </w:rPr>
              <w:t>成本节约率=[（计划成本-实际成本）/计划成本]×100%。</w:t>
            </w:r>
            <w:r>
              <w:rPr>
                <w:color w:val="000000"/>
                <w:kern w:val="0"/>
                <w:sz w:val="22"/>
                <w:szCs w:val="22"/>
              </w:rPr>
              <w:br w:type="textWrapping"/>
            </w:r>
            <w:r>
              <w:rPr>
                <w:color w:val="000000"/>
                <w:kern w:val="0"/>
                <w:sz w:val="22"/>
                <w:szCs w:val="22"/>
              </w:rPr>
              <w:t>实际成本：项目实施单位如期、保质、保量完成既定工作目标实际所耗费的支出。</w:t>
            </w:r>
            <w:r>
              <w:rPr>
                <w:color w:val="000000"/>
                <w:kern w:val="0"/>
                <w:sz w:val="22"/>
                <w:szCs w:val="22"/>
              </w:rPr>
              <w:br w:type="textWrapping"/>
            </w:r>
            <w:r>
              <w:rPr>
                <w:color w:val="000000"/>
                <w:kern w:val="0"/>
                <w:sz w:val="22"/>
                <w:szCs w:val="22"/>
              </w:rPr>
              <w:t>计划成本：项目实施单位为完成工作目标计划安排的支出，一般以项目预算为参考。</w:t>
            </w:r>
          </w:p>
        </w:tc>
        <w:tc>
          <w:tcPr>
            <w:tcW w:w="1300" w:type="dxa"/>
            <w:shd w:val="clear" w:color="000000" w:fill="FFFFFF"/>
            <w:vAlign w:val="center"/>
          </w:tcPr>
          <w:p w14:paraId="67041A3C">
            <w:pPr>
              <w:widowControl/>
              <w:spacing w:line="0" w:lineRule="atLeast"/>
              <w:jc w:val="center"/>
              <w:rPr>
                <w:b/>
                <w:bCs/>
                <w:color w:val="000000"/>
                <w:kern w:val="0"/>
                <w:sz w:val="22"/>
                <w:szCs w:val="22"/>
              </w:rPr>
            </w:pPr>
            <w:r>
              <w:rPr>
                <w:b/>
                <w:bCs/>
                <w:color w:val="000000"/>
                <w:kern w:val="0"/>
                <w:sz w:val="22"/>
                <w:szCs w:val="22"/>
              </w:rPr>
              <w:t>10</w:t>
            </w:r>
          </w:p>
        </w:tc>
        <w:tc>
          <w:tcPr>
            <w:tcW w:w="1363" w:type="dxa"/>
            <w:shd w:val="clear" w:color="000000" w:fill="FFFFFF"/>
            <w:vAlign w:val="center"/>
          </w:tcPr>
          <w:p w14:paraId="576961F9">
            <w:pPr>
              <w:widowControl/>
              <w:spacing w:line="0" w:lineRule="atLeast"/>
              <w:jc w:val="center"/>
              <w:rPr>
                <w:rFonts w:hint="default" w:eastAsia="宋体"/>
                <w:b/>
                <w:bCs/>
                <w:color w:val="000000"/>
                <w:kern w:val="0"/>
                <w:sz w:val="22"/>
                <w:szCs w:val="22"/>
                <w:highlight w:val="none"/>
                <w:lang w:val="en-US" w:eastAsia="zh-CN"/>
              </w:rPr>
            </w:pPr>
            <w:r>
              <w:rPr>
                <w:rFonts w:hint="eastAsia"/>
                <w:b/>
                <w:bCs/>
                <w:color w:val="000000"/>
                <w:kern w:val="0"/>
                <w:sz w:val="22"/>
                <w:szCs w:val="22"/>
                <w:highlight w:val="none"/>
                <w:lang w:val="en-US" w:eastAsia="zh-CN"/>
              </w:rPr>
              <w:t>10</w:t>
            </w:r>
          </w:p>
        </w:tc>
      </w:tr>
      <w:tr w14:paraId="1DB1288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832" w:type="dxa"/>
            <w:vMerge w:val="restart"/>
            <w:shd w:val="clear" w:color="auto" w:fill="FFFFFF"/>
            <w:vAlign w:val="center"/>
          </w:tcPr>
          <w:p w14:paraId="23648CCD">
            <w:pPr>
              <w:widowControl/>
              <w:spacing w:line="0" w:lineRule="atLeast"/>
              <w:jc w:val="center"/>
              <w:rPr>
                <w:color w:val="000000"/>
                <w:kern w:val="0"/>
                <w:sz w:val="22"/>
                <w:szCs w:val="22"/>
              </w:rPr>
            </w:pPr>
            <w:r>
              <w:rPr>
                <w:color w:val="000000"/>
                <w:kern w:val="0"/>
                <w:sz w:val="22"/>
                <w:szCs w:val="22"/>
              </w:rPr>
              <w:t>效益　</w:t>
            </w:r>
          </w:p>
        </w:tc>
        <w:tc>
          <w:tcPr>
            <w:tcW w:w="764" w:type="dxa"/>
            <w:vMerge w:val="restart"/>
            <w:shd w:val="clear" w:color="auto" w:fill="FFFFFF"/>
            <w:vAlign w:val="center"/>
          </w:tcPr>
          <w:p w14:paraId="04165FB2">
            <w:pPr>
              <w:widowControl/>
              <w:spacing w:line="0" w:lineRule="atLeast"/>
              <w:jc w:val="center"/>
              <w:rPr>
                <w:color w:val="000000"/>
                <w:kern w:val="0"/>
                <w:sz w:val="22"/>
                <w:szCs w:val="22"/>
              </w:rPr>
            </w:pPr>
            <w:r>
              <w:rPr>
                <w:color w:val="000000"/>
                <w:kern w:val="0"/>
                <w:sz w:val="22"/>
                <w:szCs w:val="22"/>
              </w:rPr>
              <w:t>项目效益　</w:t>
            </w:r>
          </w:p>
        </w:tc>
        <w:tc>
          <w:tcPr>
            <w:tcW w:w="873" w:type="dxa"/>
            <w:shd w:val="clear" w:color="auto" w:fill="FFFFFF"/>
            <w:vAlign w:val="center"/>
          </w:tcPr>
          <w:p w14:paraId="2858C3DB">
            <w:pPr>
              <w:widowControl/>
              <w:spacing w:line="0" w:lineRule="atLeast"/>
              <w:jc w:val="center"/>
              <w:rPr>
                <w:color w:val="000000"/>
                <w:kern w:val="0"/>
                <w:sz w:val="22"/>
                <w:szCs w:val="22"/>
              </w:rPr>
            </w:pPr>
            <w:r>
              <w:rPr>
                <w:color w:val="000000"/>
                <w:kern w:val="0"/>
                <w:sz w:val="22"/>
                <w:szCs w:val="22"/>
              </w:rPr>
              <w:t>实施效益</w:t>
            </w:r>
          </w:p>
        </w:tc>
        <w:tc>
          <w:tcPr>
            <w:tcW w:w="2353" w:type="dxa"/>
            <w:shd w:val="clear" w:color="auto" w:fill="FFFFFF"/>
            <w:vAlign w:val="center"/>
          </w:tcPr>
          <w:p w14:paraId="0EC367C0">
            <w:pPr>
              <w:widowControl/>
              <w:spacing w:line="0" w:lineRule="atLeast"/>
              <w:jc w:val="left"/>
              <w:rPr>
                <w:color w:val="000000"/>
                <w:kern w:val="0"/>
                <w:sz w:val="22"/>
                <w:szCs w:val="22"/>
              </w:rPr>
            </w:pPr>
            <w:r>
              <w:rPr>
                <w:color w:val="000000"/>
                <w:kern w:val="0"/>
                <w:sz w:val="22"/>
                <w:szCs w:val="22"/>
              </w:rPr>
              <w:t>项目实施所产生的效益。</w:t>
            </w:r>
          </w:p>
        </w:tc>
        <w:tc>
          <w:tcPr>
            <w:tcW w:w="5198" w:type="dxa"/>
            <w:shd w:val="clear" w:color="auto" w:fill="FFFFFF"/>
            <w:vAlign w:val="center"/>
          </w:tcPr>
          <w:p w14:paraId="0E672B67">
            <w:pPr>
              <w:widowControl/>
              <w:spacing w:line="0" w:lineRule="atLeast"/>
              <w:rPr>
                <w:color w:val="000000"/>
                <w:kern w:val="0"/>
                <w:sz w:val="22"/>
                <w:szCs w:val="22"/>
              </w:rPr>
            </w:pPr>
            <w:r>
              <w:rPr>
                <w:color w:val="000000"/>
                <w:kern w:val="0"/>
                <w:sz w:val="22"/>
                <w:szCs w:val="22"/>
              </w:rPr>
              <w:t>项目实施所产生的社会效益、经济效益、生态效益、可持续影响等。可根据项目实际情况有选择地设置和细化。</w:t>
            </w:r>
          </w:p>
        </w:tc>
        <w:tc>
          <w:tcPr>
            <w:tcW w:w="1300" w:type="dxa"/>
            <w:shd w:val="clear" w:color="auto" w:fill="FFFFFF"/>
            <w:vAlign w:val="center"/>
          </w:tcPr>
          <w:p w14:paraId="62C52F58">
            <w:pPr>
              <w:widowControl/>
              <w:spacing w:line="0" w:lineRule="atLeast"/>
              <w:jc w:val="center"/>
              <w:rPr>
                <w:b/>
                <w:bCs/>
                <w:color w:val="000000"/>
                <w:kern w:val="0"/>
                <w:sz w:val="22"/>
                <w:szCs w:val="22"/>
              </w:rPr>
            </w:pPr>
            <w:r>
              <w:rPr>
                <w:b/>
                <w:bCs/>
                <w:color w:val="000000"/>
                <w:kern w:val="0"/>
                <w:sz w:val="22"/>
                <w:szCs w:val="22"/>
              </w:rPr>
              <w:t>10</w:t>
            </w:r>
          </w:p>
        </w:tc>
        <w:tc>
          <w:tcPr>
            <w:tcW w:w="1363" w:type="dxa"/>
            <w:shd w:val="clear" w:color="auto" w:fill="FFFFFF"/>
            <w:vAlign w:val="center"/>
          </w:tcPr>
          <w:p w14:paraId="04DEC5BD">
            <w:pPr>
              <w:widowControl/>
              <w:spacing w:line="0" w:lineRule="atLeast"/>
              <w:jc w:val="center"/>
              <w:rPr>
                <w:rFonts w:hint="default" w:eastAsia="宋体"/>
                <w:b/>
                <w:bCs/>
                <w:color w:val="000000"/>
                <w:kern w:val="0"/>
                <w:sz w:val="22"/>
                <w:szCs w:val="22"/>
                <w:highlight w:val="none"/>
                <w:lang w:val="en-US" w:eastAsia="zh-CN"/>
              </w:rPr>
            </w:pPr>
            <w:r>
              <w:rPr>
                <w:rFonts w:hint="eastAsia"/>
                <w:b/>
                <w:bCs/>
                <w:color w:val="000000"/>
                <w:kern w:val="0"/>
                <w:sz w:val="22"/>
                <w:szCs w:val="22"/>
                <w:highlight w:val="none"/>
                <w:lang w:val="en-US" w:eastAsia="zh-CN"/>
              </w:rPr>
              <w:t>9.722</w:t>
            </w:r>
          </w:p>
        </w:tc>
      </w:tr>
      <w:tr w14:paraId="1F6FB4F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832" w:type="dxa"/>
            <w:vMerge w:val="continue"/>
            <w:shd w:val="clear" w:color="auto" w:fill="FFFFFF"/>
            <w:vAlign w:val="center"/>
          </w:tcPr>
          <w:p w14:paraId="2C6FEA6D">
            <w:pPr>
              <w:widowControl/>
              <w:spacing w:line="0" w:lineRule="atLeast"/>
              <w:jc w:val="center"/>
              <w:rPr>
                <w:color w:val="000000"/>
                <w:kern w:val="0"/>
                <w:sz w:val="22"/>
                <w:szCs w:val="22"/>
              </w:rPr>
            </w:pPr>
          </w:p>
        </w:tc>
        <w:tc>
          <w:tcPr>
            <w:tcW w:w="764" w:type="dxa"/>
            <w:vMerge w:val="continue"/>
            <w:shd w:val="clear" w:color="auto" w:fill="FFFFFF"/>
            <w:vAlign w:val="center"/>
          </w:tcPr>
          <w:p w14:paraId="5F6A5DD9">
            <w:pPr>
              <w:widowControl/>
              <w:spacing w:line="0" w:lineRule="atLeast"/>
              <w:jc w:val="center"/>
              <w:rPr>
                <w:color w:val="000000"/>
                <w:kern w:val="0"/>
                <w:sz w:val="22"/>
                <w:szCs w:val="22"/>
              </w:rPr>
            </w:pPr>
          </w:p>
        </w:tc>
        <w:tc>
          <w:tcPr>
            <w:tcW w:w="873" w:type="dxa"/>
            <w:shd w:val="clear" w:color="auto" w:fill="FFFFFF"/>
            <w:vAlign w:val="center"/>
          </w:tcPr>
          <w:p w14:paraId="6A5EFB7F">
            <w:pPr>
              <w:widowControl/>
              <w:spacing w:line="0" w:lineRule="atLeast"/>
              <w:jc w:val="center"/>
              <w:rPr>
                <w:color w:val="000000"/>
                <w:kern w:val="0"/>
                <w:sz w:val="22"/>
                <w:szCs w:val="22"/>
              </w:rPr>
            </w:pPr>
            <w:r>
              <w:rPr>
                <w:color w:val="000000"/>
                <w:kern w:val="0"/>
                <w:sz w:val="22"/>
                <w:szCs w:val="22"/>
              </w:rPr>
              <w:t>满意度</w:t>
            </w:r>
          </w:p>
        </w:tc>
        <w:tc>
          <w:tcPr>
            <w:tcW w:w="2353" w:type="dxa"/>
            <w:shd w:val="clear" w:color="000000" w:fill="FFFFFF"/>
            <w:vAlign w:val="center"/>
          </w:tcPr>
          <w:p w14:paraId="16D9B123">
            <w:pPr>
              <w:widowControl/>
              <w:spacing w:line="0" w:lineRule="atLeast"/>
              <w:rPr>
                <w:color w:val="000000"/>
                <w:kern w:val="0"/>
                <w:sz w:val="22"/>
                <w:szCs w:val="22"/>
              </w:rPr>
            </w:pPr>
            <w:r>
              <w:rPr>
                <w:color w:val="000000"/>
                <w:kern w:val="0"/>
                <w:sz w:val="22"/>
                <w:szCs w:val="22"/>
              </w:rPr>
              <w:t>社会公众或服务对象对项目实施效果的满意程度。</w:t>
            </w:r>
          </w:p>
        </w:tc>
        <w:tc>
          <w:tcPr>
            <w:tcW w:w="5198" w:type="dxa"/>
            <w:shd w:val="clear" w:color="000000" w:fill="FFFFFF"/>
            <w:vAlign w:val="center"/>
          </w:tcPr>
          <w:p w14:paraId="28CA9F24">
            <w:pPr>
              <w:widowControl/>
              <w:spacing w:line="0" w:lineRule="atLeast"/>
              <w:rPr>
                <w:color w:val="000000"/>
                <w:kern w:val="0"/>
                <w:sz w:val="22"/>
                <w:szCs w:val="22"/>
              </w:rPr>
            </w:pPr>
            <w:r>
              <w:rPr>
                <w:color w:val="000000"/>
                <w:kern w:val="0"/>
                <w:sz w:val="22"/>
                <w:szCs w:val="22"/>
              </w:rPr>
              <w:t>社会公众或服务对象是指因该项目实施而受到影响的部门（单位）、群体或个人。一般采取社会调查的方式。</w:t>
            </w:r>
          </w:p>
        </w:tc>
        <w:tc>
          <w:tcPr>
            <w:tcW w:w="1300" w:type="dxa"/>
            <w:shd w:val="clear" w:color="000000" w:fill="FFFFFF"/>
            <w:vAlign w:val="center"/>
          </w:tcPr>
          <w:p w14:paraId="52A14667">
            <w:pPr>
              <w:widowControl/>
              <w:spacing w:line="0" w:lineRule="atLeast"/>
              <w:jc w:val="center"/>
              <w:rPr>
                <w:b/>
                <w:bCs/>
                <w:color w:val="000000"/>
                <w:kern w:val="0"/>
                <w:sz w:val="22"/>
                <w:szCs w:val="22"/>
              </w:rPr>
            </w:pPr>
            <w:r>
              <w:rPr>
                <w:b/>
                <w:bCs/>
                <w:color w:val="000000"/>
                <w:kern w:val="0"/>
                <w:sz w:val="22"/>
                <w:szCs w:val="22"/>
              </w:rPr>
              <w:t>10</w:t>
            </w:r>
          </w:p>
        </w:tc>
        <w:tc>
          <w:tcPr>
            <w:tcW w:w="1363" w:type="dxa"/>
            <w:shd w:val="clear" w:color="000000" w:fill="FFFFFF"/>
            <w:vAlign w:val="center"/>
          </w:tcPr>
          <w:p w14:paraId="1F4F9707">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5</w:t>
            </w:r>
          </w:p>
        </w:tc>
      </w:tr>
    </w:tbl>
    <w:p w14:paraId="165FBB9D"/>
    <w:sectPr>
      <w:pgSz w:w="16838" w:h="11906" w:orient="landscape"/>
      <w:pgMar w:top="1800" w:right="1440" w:bottom="1558" w:left="144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Calibri Light">
    <w:panose1 w:val="020F0302020204030204"/>
    <w:charset w:val="00"/>
    <w:family w:val="swiss"/>
    <w:pitch w:val="default"/>
    <w:sig w:usb0="E4002EFF" w:usb1="C0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方正小标宋_GBK">
    <w:panose1 w:val="02000000000000000000"/>
    <w:charset w:val="86"/>
    <w:family w:val="script"/>
    <w:pitch w:val="default"/>
    <w:sig w:usb0="A00002BF" w:usb1="38CF7CFA" w:usb2="00082016" w:usb3="00000000" w:csb0="00040001" w:csb1="00000000"/>
  </w:font>
  <w:font w:name="仿宋">
    <w:panose1 w:val="02010609060101010101"/>
    <w:charset w:val="86"/>
    <w:family w:val="auto"/>
    <w:pitch w:val="default"/>
    <w:sig w:usb0="800002BF" w:usb1="38CF7CFA" w:usb2="00000016" w:usb3="00000000" w:csb0="00040001" w:csb1="00000000"/>
  </w:font>
  <w:font w:name="方正小标宋简体">
    <w:panose1 w:val="02000000000000000000"/>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2EF9BCF6">
        <w:pPr>
          <w:pStyle w:val="10"/>
          <w:jc w:val="center"/>
        </w:pPr>
        <w:r>
          <w:fldChar w:fldCharType="begin"/>
        </w:r>
        <w:r>
          <w:instrText xml:space="preserve">PAGE   \* MERGEFORMAT</w:instrText>
        </w:r>
        <w:r>
          <w:fldChar w:fldCharType="separate"/>
        </w:r>
        <w:r>
          <w:rPr>
            <w:lang w:val="zh-CN"/>
          </w:rPr>
          <w:t>13</w:t>
        </w:r>
        <w:r>
          <w:fldChar w:fldCharType="end"/>
        </w:r>
      </w:p>
    </w:sdtContent>
  </w:sdt>
  <w:p w14:paraId="13C99C62">
    <w:pPr>
      <w:pStyle w:val="1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640"/>
      </w:pPr>
      <w:r>
        <w:separator/>
      </w:r>
    </w:p>
  </w:footnote>
  <w:footnote w:type="continuationSeparator" w:id="1">
    <w:p>
      <w:pPr>
        <w:spacing w:line="240" w:lineRule="auto"/>
        <w:ind w:firstLine="64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83853AE"/>
    <w:multiLevelType w:val="singleLevel"/>
    <w:tmpl w:val="E83853AE"/>
    <w:lvl w:ilvl="0" w:tentative="0">
      <w:start w:val="2"/>
      <w:numFmt w:val="decimal"/>
      <w:suff w:val="nothing"/>
      <w:lvlText w:val="%1、"/>
      <w:lvlJc w:val="left"/>
    </w:lvl>
  </w:abstractNum>
  <w:abstractNum w:abstractNumId="1">
    <w:nsid w:val="FF9379A8"/>
    <w:multiLevelType w:val="singleLevel"/>
    <w:tmpl w:val="FF9379A8"/>
    <w:lvl w:ilvl="0" w:tentative="0">
      <w:start w:val="2"/>
      <w:numFmt w:val="chineseCounting"/>
      <w:suff w:val="nothing"/>
      <w:lvlText w:val="（%1）"/>
      <w:lvlJc w:val="left"/>
      <w:rPr>
        <w:rFonts w:hint="eastAsia"/>
      </w:rPr>
    </w:lvl>
  </w:abstractNum>
  <w:abstractNum w:abstractNumId="2">
    <w:nsid w:val="27813159"/>
    <w:multiLevelType w:val="singleLevel"/>
    <w:tmpl w:val="27813159"/>
    <w:lvl w:ilvl="0" w:tentative="0">
      <w:start w:val="3"/>
      <w:numFmt w:val="chineseCounting"/>
      <w:suff w:val="nothing"/>
      <w:lvlText w:val="（%1）"/>
      <w:lvlJc w:val="left"/>
      <w:rPr>
        <w:rFonts w:hint="eastAsia"/>
      </w:rPr>
    </w:lvl>
  </w:abstractNum>
  <w:abstractNum w:abstractNumId="3">
    <w:nsid w:val="38F0C646"/>
    <w:multiLevelType w:val="singleLevel"/>
    <w:tmpl w:val="38F0C646"/>
    <w:lvl w:ilvl="0" w:tentative="0">
      <w:start w:val="1"/>
      <w:numFmt w:val="decimal"/>
      <w:suff w:val="nothing"/>
      <w:lvlText w:val="%1、"/>
      <w:lvlJc w:val="left"/>
    </w:lvl>
  </w:abstractNum>
  <w:abstractNum w:abstractNumId="4">
    <w:nsid w:val="6FAA0AB1"/>
    <w:multiLevelType w:val="singleLevel"/>
    <w:tmpl w:val="6FAA0AB1"/>
    <w:lvl w:ilvl="0" w:tentative="0">
      <w:start w:val="2"/>
      <w:numFmt w:val="chineseCounting"/>
      <w:suff w:val="nothing"/>
      <w:lvlText w:val="（%1）"/>
      <w:lvlJc w:val="left"/>
      <w:rPr>
        <w:rFonts w:hint="eastAsia"/>
      </w:rPr>
    </w:lvl>
  </w:abstractNum>
  <w:num w:numId="1">
    <w:abstractNumId w:val="0"/>
  </w:num>
  <w:num w:numId="2">
    <w:abstractNumId w:val="2"/>
  </w:num>
  <w:num w:numId="3">
    <w:abstractNumId w:val="3"/>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VlNjA2ZTJkOWM0MmExM2M5MzU0YmM3YWZlN2I4ZWQifQ=="/>
  </w:docVars>
  <w:rsids>
    <w:rsidRoot w:val="FF6C4049"/>
    <w:rsid w:val="00133387"/>
    <w:rsid w:val="006F7242"/>
    <w:rsid w:val="007B168A"/>
    <w:rsid w:val="008B2CFE"/>
    <w:rsid w:val="00F26FF6"/>
    <w:rsid w:val="00FA7D96"/>
    <w:rsid w:val="07397B77"/>
    <w:rsid w:val="0F73799F"/>
    <w:rsid w:val="13471461"/>
    <w:rsid w:val="13B90F01"/>
    <w:rsid w:val="181066D2"/>
    <w:rsid w:val="1C671E73"/>
    <w:rsid w:val="1DB84DD4"/>
    <w:rsid w:val="2103118D"/>
    <w:rsid w:val="38CA40DD"/>
    <w:rsid w:val="395F2B56"/>
    <w:rsid w:val="3B7B56DB"/>
    <w:rsid w:val="3BECE841"/>
    <w:rsid w:val="3FD12AA3"/>
    <w:rsid w:val="3FF7797D"/>
    <w:rsid w:val="443302EA"/>
    <w:rsid w:val="44383DD0"/>
    <w:rsid w:val="468E3747"/>
    <w:rsid w:val="54B91063"/>
    <w:rsid w:val="5A254842"/>
    <w:rsid w:val="5BFF6039"/>
    <w:rsid w:val="5D76A616"/>
    <w:rsid w:val="5D7F20B9"/>
    <w:rsid w:val="5DAC7D0E"/>
    <w:rsid w:val="5F98B5AF"/>
    <w:rsid w:val="5FFE8511"/>
    <w:rsid w:val="5FFEACE2"/>
    <w:rsid w:val="619969CA"/>
    <w:rsid w:val="643EE26D"/>
    <w:rsid w:val="6724198F"/>
    <w:rsid w:val="6F5C41AC"/>
    <w:rsid w:val="6FAF6C78"/>
    <w:rsid w:val="7317C656"/>
    <w:rsid w:val="734ED73F"/>
    <w:rsid w:val="77FD8BE9"/>
    <w:rsid w:val="79A9BD3F"/>
    <w:rsid w:val="7BFFFDD0"/>
    <w:rsid w:val="7C336E5F"/>
    <w:rsid w:val="7D7A5F86"/>
    <w:rsid w:val="7F37BB4E"/>
    <w:rsid w:val="7FEF918E"/>
    <w:rsid w:val="7FF4FB6F"/>
    <w:rsid w:val="7FF7FF27"/>
    <w:rsid w:val="7FFDF714"/>
    <w:rsid w:val="AF3FCD8C"/>
    <w:rsid w:val="B9FA2A43"/>
    <w:rsid w:val="BF7BA1E4"/>
    <w:rsid w:val="BFDF04FA"/>
    <w:rsid w:val="BFE227EF"/>
    <w:rsid w:val="CF2A1ABD"/>
    <w:rsid w:val="DA7D3CD9"/>
    <w:rsid w:val="DBDC0ADA"/>
    <w:rsid w:val="DEDE2B06"/>
    <w:rsid w:val="EBFA31C2"/>
    <w:rsid w:val="F3F4A11B"/>
    <w:rsid w:val="F9FD7907"/>
    <w:rsid w:val="FAEF933D"/>
    <w:rsid w:val="FB3A4A6A"/>
    <w:rsid w:val="FF6C4049"/>
    <w:rsid w:val="FF78F63F"/>
    <w:rsid w:val="FF8D20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spacing w:line="560" w:lineRule="exact"/>
      <w:ind w:firstLine="1041" w:firstLineChars="200"/>
      <w:jc w:val="both"/>
    </w:pPr>
    <w:rPr>
      <w:rFonts w:ascii="Times New Roman" w:hAnsi="Times New Roman" w:eastAsia="仿宋_GB2312" w:cs="Times New Roman"/>
      <w:kern w:val="2"/>
      <w:sz w:val="32"/>
      <w:szCs w:val="24"/>
      <w:lang w:val="en-US" w:eastAsia="zh-CN" w:bidi="ar-SA"/>
    </w:rPr>
  </w:style>
  <w:style w:type="paragraph" w:styleId="3">
    <w:name w:val="heading 1"/>
    <w:basedOn w:val="1"/>
    <w:next w:val="1"/>
    <w:qFormat/>
    <w:uiPriority w:val="0"/>
    <w:pPr>
      <w:keepNext/>
      <w:keepLines/>
      <w:spacing w:beforeLines="0" w:beforeAutospacing="0" w:afterLines="0" w:afterAutospacing="0" w:line="560" w:lineRule="exact"/>
      <w:ind w:firstLine="1041" w:firstLineChars="200"/>
      <w:outlineLvl w:val="0"/>
    </w:pPr>
    <w:rPr>
      <w:rFonts w:ascii="Times New Roman" w:hAnsi="Times New Roman" w:eastAsia="黑体"/>
      <w:b/>
      <w:kern w:val="44"/>
      <w:sz w:val="32"/>
    </w:rPr>
  </w:style>
  <w:style w:type="paragraph" w:styleId="4">
    <w:name w:val="heading 2"/>
    <w:basedOn w:val="1"/>
    <w:next w:val="1"/>
    <w:unhideWhenUsed/>
    <w:qFormat/>
    <w:uiPriority w:val="0"/>
    <w:pPr>
      <w:keepNext/>
      <w:keepLines/>
      <w:spacing w:beforeLines="0" w:beforeAutospacing="0" w:afterLines="0" w:afterAutospacing="0" w:line="560" w:lineRule="exact"/>
      <w:ind w:firstLine="1041" w:firstLineChars="200"/>
      <w:outlineLvl w:val="1"/>
    </w:pPr>
    <w:rPr>
      <w:rFonts w:ascii="Arial" w:hAnsi="Arial" w:eastAsia="楷体_GB2312"/>
      <w:b/>
      <w:sz w:val="32"/>
    </w:rPr>
  </w:style>
  <w:style w:type="paragraph" w:styleId="5">
    <w:name w:val="heading 3"/>
    <w:basedOn w:val="1"/>
    <w:next w:val="1"/>
    <w:unhideWhenUsed/>
    <w:qFormat/>
    <w:uiPriority w:val="9"/>
    <w:pPr>
      <w:keepNext/>
      <w:widowControl/>
      <w:spacing w:line="560" w:lineRule="exact"/>
      <w:ind w:firstLine="1041" w:firstLineChars="200"/>
      <w:jc w:val="left"/>
      <w:outlineLvl w:val="2"/>
    </w:pPr>
    <w:rPr>
      <w:rFonts w:eastAsia="仿宋_GB2312" w:asciiTheme="majorAscii" w:hAnsiTheme="majorAscii"/>
      <w:b/>
      <w:bCs/>
      <w:kern w:val="0"/>
      <w:sz w:val="32"/>
      <w:szCs w:val="26"/>
    </w:rPr>
  </w:style>
  <w:style w:type="character" w:default="1" w:styleId="18">
    <w:name w:val="Default Paragraph Font"/>
    <w:autoRedefine/>
    <w:semiHidden/>
    <w:unhideWhenUsed/>
    <w:qFormat/>
    <w:uiPriority w:val="1"/>
  </w:style>
  <w:style w:type="table" w:default="1" w:styleId="17">
    <w:name w:val="Normal Table"/>
    <w:autoRedefine/>
    <w:semiHidden/>
    <w:unhideWhenUsed/>
    <w:qFormat/>
    <w:uiPriority w:val="99"/>
    <w:tblPr>
      <w:tblCellMar>
        <w:top w:w="0" w:type="dxa"/>
        <w:left w:w="108" w:type="dxa"/>
        <w:bottom w:w="0" w:type="dxa"/>
        <w:right w:w="108" w:type="dxa"/>
      </w:tblCellMar>
    </w:tblPr>
  </w:style>
  <w:style w:type="paragraph" w:styleId="2">
    <w:name w:val="Title"/>
    <w:basedOn w:val="1"/>
    <w:next w:val="1"/>
    <w:autoRedefine/>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6">
    <w:name w:val="annotation text"/>
    <w:basedOn w:val="1"/>
    <w:link w:val="25"/>
    <w:autoRedefine/>
    <w:qFormat/>
    <w:uiPriority w:val="0"/>
    <w:pPr>
      <w:jc w:val="left"/>
    </w:pPr>
  </w:style>
  <w:style w:type="paragraph" w:styleId="7">
    <w:name w:val="Body Text"/>
    <w:basedOn w:val="1"/>
    <w:autoRedefine/>
    <w:qFormat/>
    <w:uiPriority w:val="0"/>
    <w:pPr>
      <w:spacing w:after="120"/>
    </w:pPr>
  </w:style>
  <w:style w:type="paragraph" w:styleId="8">
    <w:name w:val="Body Text Indent"/>
    <w:basedOn w:val="1"/>
    <w:autoRedefine/>
    <w:qFormat/>
    <w:uiPriority w:val="0"/>
    <w:pPr>
      <w:spacing w:after="120"/>
      <w:ind w:left="420" w:leftChars="200"/>
    </w:pPr>
    <w:rPr>
      <w:rFonts w:ascii="Calibri" w:hAnsi="Calibri"/>
    </w:rPr>
  </w:style>
  <w:style w:type="paragraph" w:styleId="9">
    <w:name w:val="Balloon Text"/>
    <w:basedOn w:val="1"/>
    <w:link w:val="23"/>
    <w:autoRedefine/>
    <w:qFormat/>
    <w:uiPriority w:val="0"/>
    <w:rPr>
      <w:sz w:val="18"/>
      <w:szCs w:val="18"/>
    </w:rPr>
  </w:style>
  <w:style w:type="paragraph" w:styleId="10">
    <w:name w:val="footer"/>
    <w:basedOn w:val="1"/>
    <w:unhideWhenUsed/>
    <w:qFormat/>
    <w:uiPriority w:val="99"/>
    <w:pPr>
      <w:tabs>
        <w:tab w:val="center" w:pos="4153"/>
        <w:tab w:val="right" w:pos="8306"/>
      </w:tabs>
      <w:snapToGrid w:val="0"/>
      <w:jc w:val="left"/>
    </w:pPr>
    <w:rPr>
      <w:rFonts w:ascii="Calibri" w:hAnsi="Calibri"/>
      <w:sz w:val="18"/>
      <w:szCs w:val="18"/>
    </w:rPr>
  </w:style>
  <w:style w:type="paragraph" w:styleId="11">
    <w:name w:val="header"/>
    <w:basedOn w:val="1"/>
    <w:link w:val="24"/>
    <w:qFormat/>
    <w:uiPriority w:val="0"/>
    <w:pPr>
      <w:pBdr>
        <w:bottom w:val="single" w:color="auto" w:sz="6" w:space="1"/>
      </w:pBdr>
      <w:tabs>
        <w:tab w:val="center" w:pos="4153"/>
        <w:tab w:val="right" w:pos="8306"/>
      </w:tabs>
      <w:snapToGrid w:val="0"/>
      <w:jc w:val="center"/>
    </w:pPr>
    <w:rPr>
      <w:sz w:val="18"/>
      <w:szCs w:val="18"/>
    </w:rPr>
  </w:style>
  <w:style w:type="paragraph" w:styleId="12">
    <w:name w:val="toc 1"/>
    <w:basedOn w:val="1"/>
    <w:next w:val="1"/>
    <w:qFormat/>
    <w:uiPriority w:val="0"/>
  </w:style>
  <w:style w:type="paragraph" w:styleId="13">
    <w:name w:val="toc 2"/>
    <w:basedOn w:val="1"/>
    <w:next w:val="1"/>
    <w:qFormat/>
    <w:uiPriority w:val="0"/>
    <w:pPr>
      <w:ind w:left="420" w:leftChars="200"/>
    </w:pPr>
  </w:style>
  <w:style w:type="paragraph" w:styleId="14">
    <w:name w:val="annotation subject"/>
    <w:basedOn w:val="6"/>
    <w:next w:val="6"/>
    <w:link w:val="26"/>
    <w:autoRedefine/>
    <w:qFormat/>
    <w:uiPriority w:val="0"/>
    <w:rPr>
      <w:b/>
      <w:bCs/>
    </w:rPr>
  </w:style>
  <w:style w:type="paragraph" w:styleId="15">
    <w:name w:val="Body Text First Indent"/>
    <w:basedOn w:val="7"/>
    <w:qFormat/>
    <w:uiPriority w:val="0"/>
    <w:pPr>
      <w:spacing w:after="0"/>
      <w:ind w:firstLine="200" w:firstLineChars="200"/>
    </w:pPr>
  </w:style>
  <w:style w:type="paragraph" w:styleId="16">
    <w:name w:val="Body Text First Indent 2"/>
    <w:basedOn w:val="8"/>
    <w:autoRedefine/>
    <w:qFormat/>
    <w:uiPriority w:val="0"/>
    <w:pPr>
      <w:ind w:firstLine="420" w:firstLineChars="200"/>
    </w:pPr>
  </w:style>
  <w:style w:type="character" w:styleId="19">
    <w:name w:val="Strong"/>
    <w:basedOn w:val="18"/>
    <w:autoRedefine/>
    <w:qFormat/>
    <w:uiPriority w:val="0"/>
    <w:rPr>
      <w:b/>
      <w:bCs/>
    </w:rPr>
  </w:style>
  <w:style w:type="character" w:styleId="20">
    <w:name w:val="annotation reference"/>
    <w:basedOn w:val="18"/>
    <w:autoRedefine/>
    <w:qFormat/>
    <w:uiPriority w:val="0"/>
    <w:rPr>
      <w:sz w:val="21"/>
      <w:szCs w:val="21"/>
    </w:rPr>
  </w:style>
  <w:style w:type="character" w:customStyle="1" w:styleId="21">
    <w:name w:val="fontstyle01"/>
    <w:autoRedefine/>
    <w:qFormat/>
    <w:uiPriority w:val="0"/>
    <w:rPr>
      <w:rFonts w:ascii="仿宋_GB2312" w:hAnsi="仿宋_GB2312" w:eastAsia="仿宋_GB2312" w:cs="仿宋_GB2312"/>
      <w:color w:val="000000"/>
      <w:sz w:val="32"/>
      <w:szCs w:val="32"/>
    </w:rPr>
  </w:style>
  <w:style w:type="paragraph" w:customStyle="1" w:styleId="22">
    <w:name w:val="闻政-正文段落文字"/>
    <w:basedOn w:val="1"/>
    <w:autoRedefine/>
    <w:qFormat/>
    <w:uiPriority w:val="3"/>
    <w:pPr>
      <w:spacing w:line="500" w:lineRule="exact"/>
      <w:ind w:firstLine="200"/>
    </w:pPr>
    <w:rPr>
      <w:kern w:val="0"/>
      <w:szCs w:val="28"/>
    </w:rPr>
  </w:style>
  <w:style w:type="character" w:customStyle="1" w:styleId="23">
    <w:name w:val="批注框文本 字符"/>
    <w:basedOn w:val="18"/>
    <w:link w:val="9"/>
    <w:autoRedefine/>
    <w:qFormat/>
    <w:uiPriority w:val="0"/>
    <w:rPr>
      <w:rFonts w:ascii="Times New Roman" w:hAnsi="Times New Roman" w:eastAsia="宋体" w:cs="Times New Roman"/>
      <w:kern w:val="2"/>
      <w:sz w:val="18"/>
      <w:szCs w:val="18"/>
    </w:rPr>
  </w:style>
  <w:style w:type="character" w:customStyle="1" w:styleId="24">
    <w:name w:val="页眉 字符"/>
    <w:basedOn w:val="18"/>
    <w:link w:val="11"/>
    <w:autoRedefine/>
    <w:qFormat/>
    <w:uiPriority w:val="0"/>
    <w:rPr>
      <w:rFonts w:ascii="Times New Roman" w:hAnsi="Times New Roman" w:eastAsia="宋体" w:cs="Times New Roman"/>
      <w:kern w:val="2"/>
      <w:sz w:val="18"/>
      <w:szCs w:val="18"/>
    </w:rPr>
  </w:style>
  <w:style w:type="character" w:customStyle="1" w:styleId="25">
    <w:name w:val="批注文字 字符"/>
    <w:basedOn w:val="18"/>
    <w:link w:val="6"/>
    <w:autoRedefine/>
    <w:qFormat/>
    <w:uiPriority w:val="0"/>
    <w:rPr>
      <w:rFonts w:ascii="Times New Roman" w:hAnsi="Times New Roman" w:eastAsia="宋体" w:cs="Times New Roman"/>
      <w:kern w:val="2"/>
      <w:sz w:val="21"/>
      <w:szCs w:val="24"/>
    </w:rPr>
  </w:style>
  <w:style w:type="character" w:customStyle="1" w:styleId="26">
    <w:name w:val="批注主题 字符"/>
    <w:basedOn w:val="25"/>
    <w:link w:val="14"/>
    <w:autoRedefine/>
    <w:qFormat/>
    <w:uiPriority w:val="0"/>
    <w:rPr>
      <w:rFonts w:ascii="Times New Roman" w:hAnsi="Times New Roman" w:eastAsia="宋体" w:cs="Times New Roman"/>
      <w:b/>
      <w:bCs/>
      <w:kern w:val="2"/>
      <w:sz w:val="21"/>
      <w:szCs w:val="24"/>
    </w:rPr>
  </w:style>
  <w:style w:type="paragraph" w:customStyle="1" w:styleId="27">
    <w:name w:val="WPSOffice手动目录 1"/>
    <w:qFormat/>
    <w:uiPriority w:val="0"/>
    <w:pPr>
      <w:ind w:leftChars="0"/>
    </w:pPr>
    <w:rPr>
      <w:rFonts w:asciiTheme="minorHAnsi" w:hAnsiTheme="minorHAnsi" w:eastAsiaTheme="minorEastAsia" w:cstheme="minorBidi"/>
      <w:sz w:val="20"/>
      <w:szCs w:val="20"/>
    </w:rPr>
  </w:style>
  <w:style w:type="paragraph" w:customStyle="1" w:styleId="28">
    <w:name w:val="WPSOffice手动目录 2"/>
    <w:qFormat/>
    <w:uiPriority w:val="0"/>
    <w:pPr>
      <w:ind w:leftChars="200"/>
    </w:pPr>
    <w:rPr>
      <w:rFonts w:asciiTheme="minorHAnsi" w:hAnsiTheme="minorHAnsi" w:eastAsiaTheme="minorEastAsia" w:cstheme="minorBidi"/>
      <w:sz w:val="20"/>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29</Pages>
  <Words>10700</Words>
  <Characters>11304</Characters>
  <Lines>58</Lines>
  <Paragraphs>16</Paragraphs>
  <TotalTime>14</TotalTime>
  <ScaleCrop>false</ScaleCrop>
  <LinksUpToDate>false</LinksUpToDate>
  <CharactersWithSpaces>11407</CharactersWithSpaces>
  <Application>WPS Office_12.1.0.17140_F1E327BC-269C-435d-A152-05C5408002CA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2023-03-08T13:13:00Z</dcterms:created>
  <dc:creator>审核人</dc:creator>
  <cp:lastModifiedBy>梦乡</cp:lastModifiedBy>
  <dcterms:modified xsi:type="dcterms:W3CDTF">2024-07-17T16:03:47Z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2052-12.1.0.17140</vt:lpwstr>
  </property>
  <property fmtid="{D5CDD505-2E9C-101B-9397-08002B2CF9AE}" pid="3" name="ICV">
    <vt:lpwstr>2FF8C618BF5143F39876550945B69B75_13</vt:lpwstr>
  </property>
</Properties>
</file>