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14DCF7">
      <w:pPr>
        <w:spacing w:line="540" w:lineRule="exact"/>
        <w:jc w:val="center"/>
        <w:rPr>
          <w:rFonts w:eastAsia="华文中宋"/>
          <w:b/>
          <w:kern w:val="0"/>
          <w:sz w:val="52"/>
          <w:szCs w:val="52"/>
        </w:rPr>
      </w:pPr>
    </w:p>
    <w:p w14:paraId="0D03D7BC">
      <w:pPr>
        <w:spacing w:line="540" w:lineRule="exact"/>
        <w:rPr>
          <w:rFonts w:eastAsia="华文中宋"/>
          <w:b/>
          <w:kern w:val="0"/>
          <w:sz w:val="52"/>
          <w:szCs w:val="52"/>
        </w:rPr>
      </w:pPr>
    </w:p>
    <w:p w14:paraId="24C73EED">
      <w:pPr>
        <w:spacing w:line="540" w:lineRule="exact"/>
        <w:jc w:val="center"/>
        <w:rPr>
          <w:rFonts w:eastAsia="华文中宋"/>
          <w:b/>
          <w:kern w:val="0"/>
          <w:sz w:val="52"/>
          <w:szCs w:val="52"/>
        </w:rPr>
      </w:pPr>
    </w:p>
    <w:p w14:paraId="654C61D0">
      <w:pPr>
        <w:spacing w:line="540" w:lineRule="exact"/>
        <w:jc w:val="center"/>
        <w:rPr>
          <w:rFonts w:eastAsia="华文中宋"/>
          <w:b/>
          <w:kern w:val="0"/>
          <w:sz w:val="52"/>
          <w:szCs w:val="52"/>
        </w:rPr>
      </w:pPr>
    </w:p>
    <w:p w14:paraId="23F76705">
      <w:pPr>
        <w:spacing w:line="540" w:lineRule="exact"/>
        <w:jc w:val="center"/>
        <w:rPr>
          <w:rFonts w:hint="eastAsia" w:eastAsia="方正小标宋_GBK"/>
          <w:kern w:val="0"/>
          <w:sz w:val="48"/>
          <w:szCs w:val="48"/>
          <w:lang w:val="en-US" w:eastAsia="zh-CN"/>
        </w:rPr>
      </w:pPr>
      <w:r>
        <w:rPr>
          <w:rFonts w:hint="eastAsia" w:eastAsia="方正小标宋_GBK"/>
          <w:kern w:val="0"/>
          <w:sz w:val="48"/>
          <w:szCs w:val="48"/>
          <w:lang w:val="en-US" w:eastAsia="zh-CN"/>
        </w:rPr>
        <w:t>“双随机、一公开”业务费</w:t>
      </w:r>
    </w:p>
    <w:p w14:paraId="00B36780">
      <w:pPr>
        <w:spacing w:line="540" w:lineRule="exact"/>
        <w:jc w:val="center"/>
        <w:rPr>
          <w:rFonts w:eastAsia="方正小标宋_GBK"/>
          <w:kern w:val="0"/>
          <w:sz w:val="48"/>
          <w:szCs w:val="48"/>
        </w:rPr>
      </w:pPr>
      <w:r>
        <w:rPr>
          <w:rFonts w:eastAsia="方正小标宋_GBK"/>
          <w:kern w:val="0"/>
          <w:sz w:val="48"/>
          <w:szCs w:val="48"/>
        </w:rPr>
        <w:t>资金项目支出绩效评价报告</w:t>
      </w:r>
    </w:p>
    <w:p w14:paraId="4B561749">
      <w:pPr>
        <w:spacing w:line="540" w:lineRule="exact"/>
        <w:jc w:val="center"/>
        <w:rPr>
          <w:rFonts w:eastAsia="华文中宋"/>
          <w:b/>
          <w:kern w:val="0"/>
          <w:sz w:val="52"/>
          <w:szCs w:val="52"/>
        </w:rPr>
      </w:pPr>
    </w:p>
    <w:p w14:paraId="04E0BC2C">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3</w:t>
      </w:r>
      <w:r>
        <w:rPr>
          <w:rFonts w:eastAsia="仿宋_GB2312"/>
          <w:kern w:val="0"/>
          <w:sz w:val="36"/>
          <w:szCs w:val="36"/>
        </w:rPr>
        <w:t>年度）</w:t>
      </w:r>
    </w:p>
    <w:p w14:paraId="0F8C3DAF">
      <w:pPr>
        <w:spacing w:line="540" w:lineRule="exact"/>
        <w:jc w:val="center"/>
        <w:rPr>
          <w:rFonts w:eastAsia="仿宋_GB2312"/>
          <w:kern w:val="0"/>
          <w:sz w:val="30"/>
          <w:szCs w:val="30"/>
        </w:rPr>
      </w:pPr>
    </w:p>
    <w:p w14:paraId="785230BE">
      <w:pPr>
        <w:spacing w:line="540" w:lineRule="exact"/>
        <w:jc w:val="center"/>
        <w:rPr>
          <w:rFonts w:eastAsia="仿宋_GB2312"/>
          <w:kern w:val="0"/>
          <w:sz w:val="30"/>
          <w:szCs w:val="30"/>
        </w:rPr>
      </w:pPr>
    </w:p>
    <w:p w14:paraId="778DA19A">
      <w:pPr>
        <w:pStyle w:val="11"/>
        <w:jc w:val="both"/>
      </w:pPr>
    </w:p>
    <w:p w14:paraId="66AF1741">
      <w:pPr>
        <w:spacing w:line="540" w:lineRule="exact"/>
        <w:jc w:val="center"/>
        <w:rPr>
          <w:rFonts w:eastAsia="仿宋_GB2312"/>
          <w:kern w:val="0"/>
          <w:sz w:val="30"/>
          <w:szCs w:val="30"/>
        </w:rPr>
      </w:pPr>
    </w:p>
    <w:p w14:paraId="3E4288FB">
      <w:pPr>
        <w:spacing w:line="540" w:lineRule="exact"/>
        <w:rPr>
          <w:rFonts w:eastAsia="仿宋_GB2312"/>
          <w:kern w:val="0"/>
          <w:sz w:val="30"/>
          <w:szCs w:val="30"/>
        </w:rPr>
      </w:pPr>
    </w:p>
    <w:p w14:paraId="1B11AB3D">
      <w:pPr>
        <w:spacing w:line="700" w:lineRule="exact"/>
        <w:ind w:firstLine="1440" w:firstLineChars="400"/>
        <w:jc w:val="left"/>
        <w:rPr>
          <w:rFonts w:hint="eastAsia" w:eastAsia="仿宋_GB2312"/>
          <w:kern w:val="0"/>
          <w:sz w:val="36"/>
          <w:szCs w:val="36"/>
        </w:rPr>
      </w:pPr>
      <w:r>
        <w:rPr>
          <w:rFonts w:eastAsia="仿宋_GB2312"/>
          <w:kern w:val="0"/>
          <w:sz w:val="36"/>
          <w:szCs w:val="36"/>
        </w:rPr>
        <w:t>项目名称：</w:t>
      </w:r>
      <w:r>
        <w:rPr>
          <w:rFonts w:hint="eastAsia" w:eastAsia="仿宋_GB2312"/>
          <w:kern w:val="0"/>
          <w:sz w:val="36"/>
          <w:szCs w:val="36"/>
          <w:lang w:eastAsia="zh-CN"/>
        </w:rPr>
        <w:t>“</w:t>
      </w:r>
      <w:r>
        <w:rPr>
          <w:rFonts w:hint="eastAsia" w:eastAsia="仿宋_GB2312"/>
          <w:kern w:val="0"/>
          <w:sz w:val="36"/>
          <w:szCs w:val="36"/>
        </w:rPr>
        <w:t>双随机</w:t>
      </w:r>
      <w:r>
        <w:rPr>
          <w:rFonts w:hint="eastAsia" w:eastAsia="仿宋_GB2312"/>
          <w:kern w:val="0"/>
          <w:sz w:val="36"/>
          <w:szCs w:val="36"/>
          <w:lang w:eastAsia="zh-CN"/>
        </w:rPr>
        <w:t>、</w:t>
      </w:r>
      <w:r>
        <w:rPr>
          <w:rFonts w:hint="eastAsia" w:eastAsia="仿宋_GB2312"/>
          <w:kern w:val="0"/>
          <w:sz w:val="36"/>
          <w:szCs w:val="36"/>
        </w:rPr>
        <w:t>一公开</w:t>
      </w:r>
      <w:r>
        <w:rPr>
          <w:rFonts w:hint="eastAsia" w:eastAsia="仿宋_GB2312"/>
          <w:kern w:val="0"/>
          <w:sz w:val="36"/>
          <w:szCs w:val="36"/>
          <w:lang w:eastAsia="zh-CN"/>
        </w:rPr>
        <w:t>”</w:t>
      </w:r>
      <w:r>
        <w:rPr>
          <w:rFonts w:hint="eastAsia" w:eastAsia="仿宋_GB2312"/>
          <w:kern w:val="0"/>
          <w:sz w:val="36"/>
          <w:szCs w:val="36"/>
        </w:rPr>
        <w:t>业务费</w:t>
      </w:r>
    </w:p>
    <w:p w14:paraId="0F5091C0">
      <w:pPr>
        <w:spacing w:line="700" w:lineRule="exact"/>
        <w:ind w:firstLine="1440" w:firstLineChars="400"/>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新疆维吾尔自治区专业建设工程质量安全监督站</w:t>
      </w:r>
    </w:p>
    <w:p w14:paraId="3E1C8A74">
      <w:pPr>
        <w:spacing w:line="700" w:lineRule="exact"/>
        <w:ind w:firstLine="1440" w:firstLineChars="400"/>
        <w:jc w:val="left"/>
        <w:rPr>
          <w:rFonts w:hint="eastAsia" w:eastAsia="仿宋_GB2312"/>
          <w:kern w:val="0"/>
          <w:sz w:val="36"/>
          <w:szCs w:val="36"/>
        </w:rPr>
      </w:pPr>
      <w:r>
        <w:rPr>
          <w:rFonts w:eastAsia="仿宋_GB2312"/>
          <w:kern w:val="0"/>
          <w:sz w:val="36"/>
          <w:szCs w:val="36"/>
        </w:rPr>
        <w:t>主管部门（公章）：</w:t>
      </w:r>
      <w:r>
        <w:rPr>
          <w:rFonts w:hint="eastAsia" w:eastAsia="仿宋_GB2312"/>
          <w:kern w:val="0"/>
          <w:sz w:val="36"/>
          <w:szCs w:val="36"/>
        </w:rPr>
        <w:t>新疆维吾尔自治区工业和信息化厅</w:t>
      </w:r>
    </w:p>
    <w:p w14:paraId="3EB37E6E">
      <w:pPr>
        <w:spacing w:line="700" w:lineRule="exact"/>
        <w:ind w:firstLine="1440" w:firstLineChars="400"/>
        <w:jc w:val="left"/>
        <w:rPr>
          <w:rFonts w:hint="eastAsia" w:eastAsia="仿宋_GB2312"/>
          <w:kern w:val="0"/>
          <w:sz w:val="36"/>
          <w:szCs w:val="36"/>
          <w:lang w:val="en-US" w:eastAsia="zh-CN"/>
        </w:rPr>
      </w:pPr>
      <w:r>
        <w:rPr>
          <w:rFonts w:eastAsia="仿宋_GB2312"/>
          <w:kern w:val="0"/>
          <w:sz w:val="36"/>
          <w:szCs w:val="36"/>
        </w:rPr>
        <w:t>项目负责人（签章）：</w:t>
      </w:r>
      <w:r>
        <w:rPr>
          <w:rFonts w:hint="eastAsia" w:eastAsia="仿宋_GB2312"/>
          <w:kern w:val="0"/>
          <w:sz w:val="36"/>
          <w:szCs w:val="36"/>
          <w:lang w:val="en-US" w:eastAsia="zh-CN"/>
        </w:rPr>
        <w:t>翟岭</w:t>
      </w:r>
    </w:p>
    <w:p w14:paraId="1D925419">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2024</w:t>
      </w:r>
      <w:r>
        <w:rPr>
          <w:rFonts w:eastAsia="仿宋_GB2312"/>
          <w:kern w:val="0"/>
          <w:sz w:val="36"/>
          <w:szCs w:val="36"/>
        </w:rPr>
        <w:t>年</w:t>
      </w:r>
      <w:r>
        <w:rPr>
          <w:rFonts w:hint="eastAsia" w:eastAsia="仿宋_GB2312"/>
          <w:kern w:val="0"/>
          <w:sz w:val="36"/>
          <w:szCs w:val="36"/>
          <w:lang w:val="en-US" w:eastAsia="zh-CN"/>
        </w:rPr>
        <w:t>4</w:t>
      </w:r>
      <w:r>
        <w:rPr>
          <w:rFonts w:eastAsia="仿宋_GB2312"/>
          <w:kern w:val="0"/>
          <w:sz w:val="36"/>
          <w:szCs w:val="36"/>
        </w:rPr>
        <w:t>月</w:t>
      </w:r>
      <w:r>
        <w:rPr>
          <w:rFonts w:hint="eastAsia" w:eastAsia="仿宋_GB2312"/>
          <w:kern w:val="0"/>
          <w:sz w:val="36"/>
          <w:szCs w:val="36"/>
          <w:lang w:val="en-US" w:eastAsia="zh-CN"/>
        </w:rPr>
        <w:t>15</w:t>
      </w:r>
      <w:r>
        <w:rPr>
          <w:rFonts w:eastAsia="仿宋_GB2312"/>
          <w:kern w:val="0"/>
          <w:sz w:val="36"/>
          <w:szCs w:val="36"/>
        </w:rPr>
        <w:t>日</w:t>
      </w:r>
    </w:p>
    <w:p w14:paraId="20A8CFEF">
      <w:pPr>
        <w:spacing w:line="540" w:lineRule="exact"/>
        <w:jc w:val="center"/>
        <w:rPr>
          <w:rFonts w:eastAsia="仿宋_GB2312"/>
          <w:kern w:val="0"/>
          <w:sz w:val="30"/>
          <w:szCs w:val="30"/>
        </w:rPr>
      </w:pPr>
    </w:p>
    <w:p w14:paraId="3DC32D58">
      <w:pPr>
        <w:spacing w:line="540" w:lineRule="exact"/>
        <w:rPr>
          <w:rStyle w:val="16"/>
          <w:rFonts w:eastAsia="黑体"/>
          <w:b w:val="0"/>
          <w:spacing w:val="-4"/>
          <w:sz w:val="32"/>
          <w:szCs w:val="32"/>
        </w:rPr>
      </w:pPr>
    </w:p>
    <w:p w14:paraId="38D84E6A">
      <w:pPr>
        <w:spacing w:line="540" w:lineRule="exact"/>
        <w:rPr>
          <w:rStyle w:val="16"/>
          <w:rFonts w:eastAsia="黑体"/>
          <w:b w:val="0"/>
          <w:spacing w:val="-4"/>
          <w:sz w:val="32"/>
          <w:szCs w:val="32"/>
        </w:rPr>
      </w:pPr>
    </w:p>
    <w:p w14:paraId="0E7C87C5">
      <w:pPr>
        <w:spacing w:line="560" w:lineRule="exact"/>
        <w:ind w:firstLine="640" w:firstLineChars="200"/>
        <w:rPr>
          <w:rFonts w:eastAsia="黑体"/>
          <w:bCs/>
          <w:sz w:val="32"/>
          <w:szCs w:val="32"/>
        </w:rPr>
        <w:sectPr>
          <w:footerReference r:id="rId3" w:type="default"/>
          <w:pgSz w:w="11906" w:h="16838"/>
          <w:pgMar w:top="1440" w:right="1558" w:bottom="1440" w:left="1800" w:header="851" w:footer="992" w:gutter="0"/>
          <w:cols w:space="425" w:num="1"/>
          <w:docGrid w:type="lines" w:linePitch="312" w:charSpace="0"/>
        </w:sectPr>
      </w:pPr>
    </w:p>
    <w:p w14:paraId="394E3177">
      <w:pPr>
        <w:spacing w:line="560" w:lineRule="exact"/>
        <w:ind w:firstLine="640" w:firstLineChars="200"/>
        <w:rPr>
          <w:rFonts w:eastAsia="黑体"/>
          <w:bCs/>
          <w:sz w:val="32"/>
          <w:szCs w:val="32"/>
        </w:rPr>
      </w:pPr>
      <w:r>
        <w:rPr>
          <w:rFonts w:eastAsia="黑体"/>
          <w:bCs/>
          <w:sz w:val="32"/>
          <w:szCs w:val="32"/>
        </w:rPr>
        <w:t>一、基本情况</w:t>
      </w:r>
    </w:p>
    <w:p w14:paraId="60649E85">
      <w:pPr>
        <w:spacing w:line="560" w:lineRule="exact"/>
        <w:ind w:firstLine="643" w:firstLineChars="200"/>
        <w:rPr>
          <w:rFonts w:eastAsia="楷体_GB2312"/>
          <w:b/>
          <w:bCs/>
          <w:sz w:val="32"/>
          <w:szCs w:val="32"/>
        </w:rPr>
      </w:pPr>
      <w:r>
        <w:rPr>
          <w:rFonts w:eastAsia="楷体_GB2312"/>
          <w:b/>
          <w:bCs/>
          <w:sz w:val="32"/>
          <w:szCs w:val="32"/>
        </w:rPr>
        <w:t>（一）项目概况</w:t>
      </w:r>
    </w:p>
    <w:p w14:paraId="01302A6B">
      <w:pPr>
        <w:spacing w:line="560" w:lineRule="exact"/>
        <w:ind w:firstLine="643" w:firstLineChars="200"/>
        <w:rPr>
          <w:rFonts w:eastAsia="仿宋_GB2312"/>
          <w:b/>
          <w:bCs/>
          <w:sz w:val="32"/>
          <w:szCs w:val="32"/>
        </w:rPr>
      </w:pPr>
      <w:r>
        <w:rPr>
          <w:rFonts w:eastAsia="仿宋_GB2312"/>
          <w:b/>
          <w:bCs/>
          <w:sz w:val="32"/>
          <w:szCs w:val="32"/>
        </w:rPr>
        <w:t>1、项目背景</w:t>
      </w:r>
    </w:p>
    <w:p w14:paraId="634D01F9">
      <w:pPr>
        <w:keepNext w:val="0"/>
        <w:keepLines w:val="0"/>
        <w:pageBreakBefore w:val="0"/>
        <w:kinsoku/>
        <w:wordWrap/>
        <w:overflowPunct/>
        <w:topLinePunct w:val="0"/>
        <w:autoSpaceDE/>
        <w:autoSpaceDN/>
        <w:bidi w:val="0"/>
        <w:adjustRightInd/>
        <w:snapToGrid/>
        <w:spacing w:line="560" w:lineRule="exact"/>
        <w:ind w:firstLine="640"/>
        <w:textAlignment w:val="auto"/>
        <w:rPr>
          <w:rStyle w:val="16"/>
          <w:rFonts w:hint="eastAsia" w:ascii="仿宋" w:hAnsi="仿宋" w:eastAsia="仿宋"/>
          <w:b w:val="0"/>
          <w:color w:val="auto"/>
          <w:spacing w:val="-4"/>
          <w:sz w:val="32"/>
          <w:szCs w:val="32"/>
          <w:shd w:val="clear" w:color="auto" w:fill="FFFFFF"/>
          <w:lang w:eastAsia="zh-CN"/>
        </w:rPr>
      </w:pPr>
      <w:r>
        <w:rPr>
          <w:rStyle w:val="16"/>
          <w:rFonts w:hint="eastAsia" w:ascii="仿宋" w:hAnsi="仿宋" w:eastAsia="仿宋" w:cs="仿宋"/>
          <w:b w:val="0"/>
          <w:bCs w:val="0"/>
          <w:color w:val="auto"/>
          <w:spacing w:val="-4"/>
          <w:sz w:val="32"/>
          <w:szCs w:val="32"/>
          <w:lang w:val="en-US" w:eastAsia="zh-CN"/>
        </w:rPr>
        <w:t>自治区专业建设工程质量安全监督站是根据《</w:t>
      </w:r>
      <w:r>
        <w:rPr>
          <w:rStyle w:val="16"/>
          <w:rFonts w:hint="eastAsia" w:ascii="仿宋" w:hAnsi="仿宋" w:eastAsia="仿宋"/>
          <w:b w:val="0"/>
          <w:color w:val="auto"/>
          <w:spacing w:val="-4"/>
          <w:sz w:val="32"/>
          <w:szCs w:val="32"/>
          <w:shd w:val="clear" w:color="auto" w:fill="FFFFFF"/>
          <w:lang w:val="en-US" w:eastAsia="zh-CN"/>
        </w:rPr>
        <w:t>关于印发</w:t>
      </w:r>
      <w:r>
        <w:rPr>
          <w:rStyle w:val="16"/>
          <w:rFonts w:hint="eastAsia" w:ascii="仿宋" w:hAnsi="仿宋" w:eastAsia="仿宋" w:cs="仿宋"/>
          <w:b w:val="0"/>
          <w:color w:val="auto"/>
          <w:spacing w:val="-4"/>
          <w:sz w:val="32"/>
          <w:szCs w:val="32"/>
          <w:shd w:val="clear" w:color="auto" w:fill="FFFFFF"/>
          <w:lang w:val="en-US" w:eastAsia="zh-CN"/>
        </w:rPr>
        <w:t>&lt;</w:t>
      </w:r>
      <w:r>
        <w:rPr>
          <w:rStyle w:val="16"/>
          <w:rFonts w:hint="eastAsia" w:ascii="仿宋" w:hAnsi="仿宋" w:eastAsia="仿宋"/>
          <w:b w:val="0"/>
          <w:color w:val="auto"/>
          <w:spacing w:val="-4"/>
          <w:sz w:val="32"/>
          <w:szCs w:val="32"/>
          <w:shd w:val="clear" w:color="auto" w:fill="FFFFFF"/>
          <w:lang w:val="en-US" w:eastAsia="zh-CN"/>
        </w:rPr>
        <w:t>新疆维吾尔自治区经济和信息化委员会(新疆维吾尔自治区国防科学技术工业办公室)所属事业单位分类改革方案</w:t>
      </w:r>
      <w:r>
        <w:rPr>
          <w:rStyle w:val="16"/>
          <w:rFonts w:hint="eastAsia" w:ascii="仿宋" w:hAnsi="仿宋" w:eastAsia="仿宋" w:cs="仿宋"/>
          <w:b w:val="0"/>
          <w:color w:val="auto"/>
          <w:spacing w:val="-4"/>
          <w:sz w:val="32"/>
          <w:szCs w:val="32"/>
          <w:shd w:val="clear" w:color="auto" w:fill="FFFFFF"/>
          <w:lang w:val="en-US" w:eastAsia="zh-CN"/>
        </w:rPr>
        <w:t>&gt;</w:t>
      </w:r>
      <w:r>
        <w:rPr>
          <w:rStyle w:val="16"/>
          <w:rFonts w:hint="eastAsia" w:ascii="仿宋" w:hAnsi="仿宋" w:eastAsia="仿宋"/>
          <w:b w:val="0"/>
          <w:color w:val="auto"/>
          <w:spacing w:val="-4"/>
          <w:sz w:val="32"/>
          <w:szCs w:val="32"/>
          <w:shd w:val="clear" w:color="auto" w:fill="FFFFFF"/>
          <w:lang w:val="en-US" w:eastAsia="zh-CN"/>
        </w:rPr>
        <w:t>的通知</w:t>
      </w:r>
      <w:r>
        <w:rPr>
          <w:rStyle w:val="16"/>
          <w:rFonts w:hint="eastAsia" w:ascii="仿宋" w:hAnsi="仿宋" w:eastAsia="仿宋" w:cs="仿宋"/>
          <w:b w:val="0"/>
          <w:bCs w:val="0"/>
          <w:color w:val="auto"/>
          <w:spacing w:val="-4"/>
          <w:sz w:val="32"/>
          <w:szCs w:val="32"/>
          <w:lang w:val="en-US" w:eastAsia="zh-CN"/>
        </w:rPr>
        <w:t>》（新事改办[2014]11号）文件明确本单位</w:t>
      </w:r>
      <w:r>
        <w:rPr>
          <w:rStyle w:val="16"/>
          <w:rFonts w:hint="eastAsia" w:ascii="仿宋" w:hAnsi="仿宋" w:eastAsia="仿宋"/>
          <w:b w:val="0"/>
          <w:color w:val="auto"/>
          <w:spacing w:val="-4"/>
          <w:sz w:val="32"/>
          <w:szCs w:val="32"/>
          <w:shd w:val="clear" w:color="auto" w:fill="FFFFFF"/>
          <w:lang w:eastAsia="zh-CN"/>
        </w:rPr>
        <w:t>主要职责任务：根据国家、自治区有关规定，承担自治区有色、</w:t>
      </w:r>
      <w:r>
        <w:rPr>
          <w:rStyle w:val="16"/>
          <w:rFonts w:hint="eastAsia" w:ascii="仿宋" w:hAnsi="仿宋" w:eastAsia="仿宋"/>
          <w:b w:val="0"/>
          <w:color w:val="auto"/>
          <w:spacing w:val="-4"/>
          <w:sz w:val="32"/>
          <w:szCs w:val="32"/>
          <w:shd w:val="clear" w:color="auto" w:fill="FFFFFF"/>
          <w:lang w:val="en-US" w:eastAsia="zh-CN"/>
        </w:rPr>
        <w:t>化工</w:t>
      </w:r>
      <w:r>
        <w:rPr>
          <w:rStyle w:val="16"/>
          <w:rFonts w:hint="eastAsia" w:ascii="仿宋" w:hAnsi="仿宋" w:eastAsia="仿宋"/>
          <w:b w:val="0"/>
          <w:color w:val="auto"/>
          <w:spacing w:val="-4"/>
          <w:sz w:val="32"/>
          <w:szCs w:val="32"/>
          <w:shd w:val="clear" w:color="auto" w:fill="FFFFFF"/>
          <w:lang w:eastAsia="zh-CN"/>
        </w:rPr>
        <w:t>等专业建设工程质量安全监督等工作。</w:t>
      </w:r>
      <w:r>
        <w:rPr>
          <w:rStyle w:val="16"/>
          <w:rFonts w:hint="eastAsia" w:ascii="仿宋" w:hAnsi="仿宋" w:eastAsia="仿宋"/>
          <w:b w:val="0"/>
          <w:color w:val="auto"/>
          <w:spacing w:val="-4"/>
          <w:sz w:val="32"/>
          <w:szCs w:val="32"/>
          <w:shd w:val="clear" w:color="auto" w:fill="FFFFFF"/>
          <w:lang w:val="en-US" w:eastAsia="zh-CN"/>
        </w:rPr>
        <w:t>单位属性为</w:t>
      </w:r>
      <w:r>
        <w:rPr>
          <w:rStyle w:val="16"/>
          <w:rFonts w:hint="eastAsia" w:ascii="仿宋" w:hAnsi="仿宋" w:eastAsia="仿宋"/>
          <w:b w:val="0"/>
          <w:color w:val="auto"/>
          <w:spacing w:val="-4"/>
          <w:sz w:val="32"/>
          <w:szCs w:val="32"/>
          <w:shd w:val="clear" w:color="auto" w:fill="FFFFFF"/>
          <w:lang w:eastAsia="zh-CN"/>
        </w:rPr>
        <w:t>公益一类，机构规格相当县(处)级，核定事业编制18名，领导职数3名，专业技术人员比例75%以上，经费实行全额预算管理。</w:t>
      </w:r>
    </w:p>
    <w:p w14:paraId="3C17353B">
      <w:pPr>
        <w:keepNext w:val="0"/>
        <w:keepLines w:val="0"/>
        <w:pageBreakBefore w:val="0"/>
        <w:kinsoku/>
        <w:wordWrap/>
        <w:overflowPunct/>
        <w:topLinePunct w:val="0"/>
        <w:autoSpaceDE/>
        <w:autoSpaceDN/>
        <w:bidi w:val="0"/>
        <w:adjustRightInd/>
        <w:snapToGrid/>
        <w:spacing w:line="560" w:lineRule="exact"/>
        <w:ind w:firstLine="640"/>
        <w:textAlignment w:val="auto"/>
        <w:rPr>
          <w:rStyle w:val="16"/>
          <w:rFonts w:hint="eastAsia" w:ascii="仿宋" w:hAnsi="仿宋" w:eastAsia="仿宋"/>
          <w:b w:val="0"/>
          <w:color w:val="auto"/>
          <w:spacing w:val="-4"/>
          <w:sz w:val="32"/>
          <w:szCs w:val="32"/>
          <w:shd w:val="clear" w:color="auto" w:fill="FFFFFF"/>
          <w:lang w:eastAsia="zh-CN"/>
        </w:rPr>
      </w:pPr>
      <w:r>
        <w:rPr>
          <w:rStyle w:val="16"/>
          <w:rFonts w:hint="eastAsia" w:ascii="仿宋" w:hAnsi="仿宋" w:eastAsia="仿宋"/>
          <w:b w:val="0"/>
          <w:color w:val="auto"/>
          <w:spacing w:val="-4"/>
          <w:sz w:val="32"/>
          <w:szCs w:val="32"/>
          <w:shd w:val="clear" w:color="auto" w:fill="FFFFFF"/>
          <w:lang w:eastAsia="zh-CN"/>
        </w:rPr>
        <w:t>为贯彻落实《国务院办公厅关于推广随机抽查规范事中事后监管的通知》（国办发〔2015〕58号）精神，持续深化贯彻落实自治区工业和信息化领域“放管服”改革，规范自治区专业建设工程质量安全监督执法工作行为，进一步减轻企业负担，优化营商环境，按照《自治区推广随机抽查规范事中事后监管实施方案》《自治区工业和信息化厅“双随机、一公开”监管实施细则》要求，遵循依法实施、公正高效、公开透明、协同推进原则，结合我站实际，</w:t>
      </w:r>
      <w:r>
        <w:rPr>
          <w:rStyle w:val="16"/>
          <w:rFonts w:hint="eastAsia" w:ascii="仿宋" w:hAnsi="仿宋" w:eastAsia="仿宋"/>
          <w:b w:val="0"/>
          <w:color w:val="auto"/>
          <w:spacing w:val="-4"/>
          <w:sz w:val="32"/>
          <w:szCs w:val="32"/>
          <w:shd w:val="clear" w:color="auto" w:fill="FFFFFF"/>
          <w:lang w:val="en-US" w:eastAsia="zh-CN"/>
        </w:rPr>
        <w:t>实施</w:t>
      </w:r>
      <w:r>
        <w:rPr>
          <w:rStyle w:val="16"/>
          <w:rFonts w:hint="eastAsia" w:ascii="仿宋" w:hAnsi="仿宋" w:eastAsia="仿宋"/>
          <w:b w:val="0"/>
          <w:color w:val="auto"/>
          <w:spacing w:val="-4"/>
          <w:sz w:val="32"/>
          <w:szCs w:val="32"/>
          <w:shd w:val="clear" w:color="auto" w:fill="FFFFFF"/>
          <w:lang w:eastAsia="zh-CN"/>
        </w:rPr>
        <w:t>“双随机、一公开</w:t>
      </w:r>
      <w:r>
        <w:rPr>
          <w:rStyle w:val="16"/>
          <w:rFonts w:hint="default" w:ascii="仿宋" w:hAnsi="仿宋" w:eastAsia="仿宋"/>
          <w:b w:val="0"/>
          <w:color w:val="auto"/>
          <w:spacing w:val="-4"/>
          <w:sz w:val="32"/>
          <w:szCs w:val="32"/>
          <w:shd w:val="clear" w:color="auto" w:fill="FFFFFF"/>
          <w:lang w:val="en-US" w:eastAsia="zh-CN"/>
        </w:rPr>
        <w:t>”</w:t>
      </w:r>
      <w:r>
        <w:rPr>
          <w:rStyle w:val="16"/>
          <w:rFonts w:hint="eastAsia" w:ascii="仿宋" w:hAnsi="仿宋" w:eastAsia="仿宋"/>
          <w:b w:val="0"/>
          <w:color w:val="auto"/>
          <w:spacing w:val="-4"/>
          <w:sz w:val="32"/>
          <w:szCs w:val="32"/>
          <w:shd w:val="clear" w:color="auto" w:fill="FFFFFF"/>
          <w:lang w:eastAsia="zh-CN"/>
        </w:rPr>
        <w:t>业务费</w:t>
      </w:r>
      <w:r>
        <w:rPr>
          <w:rStyle w:val="16"/>
          <w:rFonts w:hint="eastAsia" w:ascii="仿宋" w:hAnsi="仿宋" w:eastAsia="仿宋"/>
          <w:b w:val="0"/>
          <w:color w:val="auto"/>
          <w:spacing w:val="-4"/>
          <w:sz w:val="32"/>
          <w:szCs w:val="32"/>
          <w:shd w:val="clear" w:color="auto" w:fill="FFFFFF"/>
          <w:lang w:val="en-US" w:eastAsia="zh-CN"/>
        </w:rPr>
        <w:t>项目</w:t>
      </w:r>
      <w:r>
        <w:rPr>
          <w:rStyle w:val="16"/>
          <w:rFonts w:hint="eastAsia" w:ascii="仿宋" w:hAnsi="仿宋" w:eastAsia="仿宋"/>
          <w:b w:val="0"/>
          <w:color w:val="auto"/>
          <w:spacing w:val="-4"/>
          <w:sz w:val="32"/>
          <w:szCs w:val="32"/>
          <w:shd w:val="clear" w:color="auto" w:fill="FFFFFF"/>
          <w:lang w:eastAsia="zh-CN"/>
        </w:rPr>
        <w:t>。</w:t>
      </w:r>
    </w:p>
    <w:p w14:paraId="0D10CB97">
      <w:pPr>
        <w:pStyle w:val="11"/>
        <w:numPr>
          <w:ilvl w:val="0"/>
          <w:numId w:val="0"/>
        </w:numPr>
        <w:spacing w:before="0" w:after="0" w:line="600" w:lineRule="exact"/>
        <w:ind w:firstLine="624" w:firstLineChars="200"/>
        <w:jc w:val="both"/>
        <w:rPr>
          <w:rFonts w:ascii="Times New Roman" w:hAnsi="Times New Roman" w:eastAsia="仿宋_GB2312"/>
          <w:kern w:val="2"/>
        </w:rPr>
      </w:pPr>
      <w:r>
        <w:rPr>
          <w:rStyle w:val="16"/>
          <w:rFonts w:hint="eastAsia" w:ascii="仿宋" w:hAnsi="仿宋" w:eastAsia="仿宋"/>
          <w:b w:val="0"/>
          <w:bCs/>
          <w:color w:val="auto"/>
          <w:spacing w:val="-4"/>
          <w:sz w:val="32"/>
          <w:szCs w:val="32"/>
          <w:shd w:val="clear" w:color="auto" w:fill="FFFFFF"/>
          <w:lang w:val="en-US" w:eastAsia="zh-CN"/>
        </w:rPr>
        <w:t>主要政策依据是：1.</w:t>
      </w:r>
      <w:r>
        <w:rPr>
          <w:rStyle w:val="16"/>
          <w:rFonts w:hint="eastAsia" w:ascii="仿宋" w:hAnsi="仿宋" w:eastAsia="仿宋"/>
          <w:b w:val="0"/>
          <w:bCs/>
          <w:color w:val="auto"/>
          <w:spacing w:val="-4"/>
          <w:sz w:val="32"/>
          <w:szCs w:val="32"/>
          <w:shd w:val="clear" w:color="auto" w:fill="FFFFFF"/>
          <w:lang w:eastAsia="zh-CN"/>
        </w:rPr>
        <w:t>《关于公布取消和停止征收100项行政事业收费项目的通知》（财综〔2008〕78号）第一项取消的行政事业性收费项目第34项建设工程质量监督费（含工业、交通、民用、市政公用等工程和建筑构件）。根据通知要求上述行政事业性收费项目取消和停止征收后，有关部门和单位依法履行行政管理职能或核发证照所需要的经费，由同级财政预算予以保障。其中，财政补助事业单位的经费支出，通过部门预算予以安排。2.《房屋建筑和市政基础设施工程质量监督管理规定》（住建部令第5号）第五条工程质量监督管理应当包括下列内容：（五）对工程竣工验收进行监督；3.《房屋建筑和市政基础设施工程施工安全监督规定》（建质〔2014〕153号）第八条施工安全监督主要包括以下内容：（一）抽查工程建设责任主体履行安全生产职责情况；（二）抽查工程建设责任主体执行法律、法规、规章、制度及工程建设强制性标准情况4.《关于全面加强建设工程消防设计审查验收管理 落实落细消防安全责任制的意见》的通知（新建消〔2022〕6号）第二条，（五）落实监管责任。各地专业建设工程主管部门要根据条例，切实履行职责内建设工程消防设计、施工质量监管责任，加强对专业建设工程消防设计和消防有关部分项目工程质量监督，对发现的专业建设工程消防施工质量问题，要及时督促整改落实。</w:t>
      </w:r>
    </w:p>
    <w:p w14:paraId="74B56B87">
      <w:pPr>
        <w:pStyle w:val="11"/>
        <w:numPr>
          <w:ilvl w:val="0"/>
          <w:numId w:val="1"/>
        </w:numPr>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14:paraId="35385A15">
      <w:pPr>
        <w:keepNext w:val="0"/>
        <w:keepLines w:val="0"/>
        <w:pageBreakBefore w:val="0"/>
        <w:kinsoku/>
        <w:wordWrap/>
        <w:overflowPunct/>
        <w:topLinePunct w:val="0"/>
        <w:autoSpaceDE/>
        <w:autoSpaceDN/>
        <w:bidi w:val="0"/>
        <w:adjustRightInd/>
        <w:snapToGrid/>
        <w:spacing w:line="560" w:lineRule="exact"/>
        <w:ind w:firstLine="640"/>
        <w:textAlignment w:val="auto"/>
        <w:rPr>
          <w:rStyle w:val="16"/>
          <w:rFonts w:hint="eastAsia" w:ascii="仿宋" w:hAnsi="仿宋" w:eastAsia="仿宋" w:cstheme="minorBidi"/>
          <w:b w:val="0"/>
          <w:color w:val="auto"/>
          <w:spacing w:val="-4"/>
          <w:sz w:val="32"/>
          <w:szCs w:val="32"/>
          <w:shd w:val="clear" w:color="auto" w:fill="FFFFFF"/>
          <w:lang w:val="en-US" w:eastAsia="zh-CN"/>
        </w:rPr>
      </w:pPr>
      <w:r>
        <w:rPr>
          <w:rFonts w:hint="eastAsia" w:ascii="仿宋_GB2312" w:hAnsi="仿宋_GB2312" w:eastAsia="仿宋_GB2312" w:cs="仿宋_GB2312"/>
          <w:sz w:val="30"/>
          <w:szCs w:val="30"/>
          <w:highlight w:val="none"/>
          <w:lang w:val="en-US" w:eastAsia="zh-CN"/>
        </w:rPr>
        <w:t>项目主要内容：</w:t>
      </w:r>
      <w:r>
        <w:rPr>
          <w:rStyle w:val="16"/>
          <w:rFonts w:hint="eastAsia" w:ascii="仿宋" w:hAnsi="仿宋" w:eastAsia="仿宋" w:cstheme="minorBidi"/>
          <w:b w:val="0"/>
          <w:color w:val="auto"/>
          <w:spacing w:val="-4"/>
          <w:sz w:val="32"/>
          <w:szCs w:val="32"/>
          <w:shd w:val="clear" w:color="auto" w:fill="FFFFFF"/>
          <w:lang w:val="en-US" w:eastAsia="zh-CN"/>
        </w:rPr>
        <w:t>开展“谁执法谁普法”工作。监督人员利用项目开（复）工、“安全生产月”活动、日常随机到场监督检查之际积极宣贯安全生产法律、法规、条例、措施等内容，要求参建各方以严的主基调树牢安全发展理念，落实安全生产责任，坚决杜绝安全事故发生，营造了良好的安全生产氛围。</w:t>
      </w:r>
    </w:p>
    <w:p w14:paraId="54B7F1B6">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eastAsia="黑体"/>
          <w:highlight w:val="yellow"/>
          <w:lang w:eastAsia="zh-CN"/>
        </w:rPr>
      </w:pPr>
      <w:r>
        <w:rPr>
          <w:rStyle w:val="16"/>
          <w:rFonts w:hint="eastAsia" w:ascii="仿宋" w:hAnsi="仿宋" w:eastAsia="仿宋" w:cstheme="minorBidi"/>
          <w:b w:val="0"/>
          <w:color w:val="auto"/>
          <w:spacing w:val="-4"/>
          <w:sz w:val="32"/>
          <w:szCs w:val="32"/>
          <w:shd w:val="clear" w:color="auto" w:fill="FFFFFF"/>
          <w:lang w:val="en-US" w:eastAsia="zh-CN"/>
        </w:rPr>
        <w:t>开展“双随机、一公开”工作。坚持教育与惩戒相结合的原则，准确把握执法尺度，在“双随机”工作中坚持“强监管”和“减干扰”有机结合，加强跨部门联合“双随机、一公开”检查力度,努力实现“进一次门、查多项事”,助力我区专业建设工程有序健康发展。今年以来对18家企业分批次开展“双随机、一公开”检查，真正做到了企业、人员随机抽取，检查结果向社会公示，执法过程严格规范。</w:t>
      </w:r>
    </w:p>
    <w:p w14:paraId="1FC85C7F">
      <w:pPr>
        <w:spacing w:line="560" w:lineRule="exact"/>
        <w:ind w:firstLine="640" w:firstLineChars="200"/>
        <w:rPr>
          <w:rFonts w:eastAsia="仿宋_GB2312"/>
          <w:color w:val="auto"/>
          <w:sz w:val="32"/>
          <w:szCs w:val="32"/>
        </w:rPr>
      </w:pPr>
      <w:r>
        <w:rPr>
          <w:rFonts w:eastAsia="仿宋_GB2312"/>
          <w:sz w:val="32"/>
          <w:szCs w:val="32"/>
        </w:rPr>
        <w:t>项目实施情况：</w:t>
      </w:r>
      <w:r>
        <w:rPr>
          <w:rFonts w:hint="eastAsia" w:eastAsia="仿宋_GB2312"/>
          <w:color w:val="auto"/>
          <w:sz w:val="32"/>
          <w:szCs w:val="32"/>
          <w:lang w:val="en-US" w:eastAsia="zh-CN"/>
        </w:rPr>
        <w:t>截至202</w:t>
      </w:r>
      <w:r>
        <w:rPr>
          <w:rFonts w:hint="eastAsia"/>
          <w:color w:val="auto"/>
          <w:sz w:val="32"/>
          <w:szCs w:val="32"/>
          <w:lang w:val="en-US" w:eastAsia="zh-CN"/>
        </w:rPr>
        <w:t>3</w:t>
      </w:r>
      <w:r>
        <w:rPr>
          <w:rFonts w:hint="eastAsia" w:eastAsia="仿宋_GB2312"/>
          <w:color w:val="auto"/>
          <w:sz w:val="32"/>
          <w:szCs w:val="32"/>
          <w:lang w:val="en-US" w:eastAsia="zh-CN"/>
        </w:rPr>
        <w:t>年12月底，项目</w:t>
      </w:r>
      <w:r>
        <w:rPr>
          <w:rFonts w:hint="eastAsia"/>
          <w:color w:val="auto"/>
          <w:sz w:val="32"/>
          <w:szCs w:val="32"/>
          <w:lang w:val="en-US" w:eastAsia="zh-CN"/>
        </w:rPr>
        <w:t>已</w:t>
      </w:r>
      <w:r>
        <w:rPr>
          <w:rFonts w:hint="eastAsia" w:eastAsia="仿宋_GB2312"/>
          <w:color w:val="auto"/>
          <w:sz w:val="32"/>
          <w:szCs w:val="32"/>
          <w:lang w:val="en-US" w:eastAsia="zh-CN"/>
        </w:rPr>
        <w:t>完成</w:t>
      </w:r>
      <w:r>
        <w:rPr>
          <w:rFonts w:eastAsia="仿宋_GB2312"/>
          <w:color w:val="auto"/>
          <w:sz w:val="32"/>
          <w:szCs w:val="32"/>
        </w:rPr>
        <w:t>实际设立的目标，项目在实施过程中严格按照目标设立的各阶段任务进行开展工作，在前期立项过程中严格把质量关，建立安全防护机制，保证项目实施各阶段安全顺利进行。</w:t>
      </w:r>
    </w:p>
    <w:p w14:paraId="3699702C">
      <w:pPr>
        <w:spacing w:line="560" w:lineRule="exact"/>
        <w:ind w:firstLine="643" w:firstLineChars="200"/>
        <w:rPr>
          <w:rFonts w:eastAsia="仿宋_GB2312"/>
          <w:b/>
          <w:bCs/>
          <w:sz w:val="32"/>
          <w:szCs w:val="32"/>
        </w:rPr>
      </w:pPr>
      <w:r>
        <w:rPr>
          <w:rFonts w:eastAsia="仿宋_GB2312"/>
          <w:b/>
          <w:bCs/>
          <w:sz w:val="32"/>
          <w:szCs w:val="32"/>
        </w:rPr>
        <w:t>3、资金投入和使用情况</w:t>
      </w:r>
    </w:p>
    <w:p w14:paraId="7B52C3E9">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14:paraId="7AE33802">
      <w:pPr>
        <w:shd w:val="clear"/>
        <w:spacing w:line="600" w:lineRule="exact"/>
        <w:ind w:firstLine="640" w:firstLineChars="200"/>
        <w:outlineLvl w:val="0"/>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该项目年初预算数5.10万元，全年预算数5.10万元，实际总投入5.10万元，该项目资金已全部落实到位，资金来源为非财政拨款资金。</w:t>
      </w:r>
    </w:p>
    <w:p w14:paraId="4ABD8C2D">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14:paraId="73F34373">
      <w:pPr>
        <w:shd w:val="clear"/>
        <w:spacing w:line="600" w:lineRule="exact"/>
        <w:ind w:firstLine="640" w:firstLineChars="200"/>
        <w:outlineLvl w:val="0"/>
        <w:rPr>
          <w:rFonts w:hint="eastAsia" w:ascii="仿宋_GB2312" w:hAnsi="仿宋" w:eastAsia="仿宋_GB2312" w:cs="Times New Roman"/>
          <w:kern w:val="2"/>
          <w:sz w:val="32"/>
          <w:szCs w:val="32"/>
          <w:lang w:val="en-US" w:eastAsia="zh-CN" w:bidi="ar-SA"/>
        </w:rPr>
      </w:pPr>
      <w:r>
        <w:rPr>
          <w:rFonts w:hint="eastAsia" w:ascii="仿宋_GB2312" w:hAnsi="仿宋_GB2312" w:eastAsia="仿宋_GB2312" w:cs="仿宋_GB2312"/>
          <w:sz w:val="32"/>
          <w:szCs w:val="32"/>
          <w:highlight w:val="none"/>
          <w:lang w:val="en-US" w:eastAsia="zh-CN"/>
        </w:rPr>
        <w:t>该</w:t>
      </w:r>
      <w:r>
        <w:rPr>
          <w:rFonts w:hint="eastAsia" w:ascii="仿宋_GB2312" w:hAnsi="仿宋" w:eastAsia="仿宋_GB2312" w:cs="Times New Roman"/>
          <w:kern w:val="2"/>
          <w:sz w:val="32"/>
          <w:szCs w:val="32"/>
          <w:lang w:val="en-US" w:eastAsia="zh-CN" w:bidi="ar-SA"/>
        </w:rPr>
        <w:t>项目年初预算数5.10万元，全年预算数5.10万元，全年执行数5.10万元，预算执行率为100%，主要用于：支付项目实施进程中的各项费用。</w:t>
      </w:r>
    </w:p>
    <w:p w14:paraId="28D1181D">
      <w:pPr>
        <w:spacing w:line="560" w:lineRule="exact"/>
        <w:ind w:firstLine="643" w:firstLineChars="200"/>
        <w:rPr>
          <w:rFonts w:eastAsia="楷体_GB2312"/>
          <w:b/>
          <w:bCs/>
          <w:sz w:val="32"/>
          <w:szCs w:val="32"/>
        </w:rPr>
      </w:pPr>
      <w:r>
        <w:rPr>
          <w:rFonts w:eastAsia="楷体_GB2312"/>
          <w:b/>
          <w:bCs/>
          <w:sz w:val="32"/>
          <w:szCs w:val="32"/>
        </w:rPr>
        <w:t>（二）项目绩效目标</w:t>
      </w:r>
    </w:p>
    <w:p w14:paraId="24A70DF0">
      <w:pPr>
        <w:spacing w:line="560" w:lineRule="exact"/>
        <w:ind w:firstLine="640" w:firstLineChars="200"/>
        <w:rPr>
          <w:rFonts w:eastAsia="仿宋_GB2312"/>
          <w:sz w:val="32"/>
          <w:szCs w:val="32"/>
        </w:rPr>
      </w:pPr>
      <w:r>
        <w:rPr>
          <w:rFonts w:eastAsia="仿宋_GB2312"/>
          <w:sz w:val="32"/>
          <w:szCs w:val="32"/>
        </w:rPr>
        <w:t>1、总体目标</w:t>
      </w:r>
    </w:p>
    <w:p w14:paraId="01F0531B">
      <w:pPr>
        <w:spacing w:line="540" w:lineRule="exact"/>
        <w:ind w:firstLine="640" w:firstLineChars="200"/>
        <w:rPr>
          <w:rFonts w:hint="eastAsia" w:eastAsia="仿宋_GB2312"/>
          <w:lang w:val="en-US" w:eastAsia="zh-CN"/>
        </w:rPr>
      </w:pPr>
      <w:r>
        <w:rPr>
          <w:rFonts w:hint="eastAsia" w:eastAsia="仿宋_GB2312"/>
          <w:sz w:val="32"/>
          <w:szCs w:val="32"/>
        </w:rPr>
        <w:t>保障监督站工作正常开展，为受监督有色、化工建设工程做好质量安全监督管理保障和服务工作；坚决杜绝监督项目发生重特大质量安全事故，确保安全生产</w:t>
      </w:r>
      <w:r>
        <w:rPr>
          <w:rFonts w:hint="eastAsia" w:eastAsia="仿宋_GB2312"/>
          <w:sz w:val="32"/>
          <w:szCs w:val="32"/>
          <w:lang w:eastAsia="zh-CN"/>
        </w:rPr>
        <w:t>形势</w:t>
      </w:r>
      <w:r>
        <w:rPr>
          <w:rFonts w:hint="eastAsia" w:eastAsia="仿宋_GB2312"/>
          <w:sz w:val="32"/>
          <w:szCs w:val="32"/>
        </w:rPr>
        <w:t>稳定，工程质量稳步提高，确保“三不出”为自治区工业经济高质量发展提供质量安全管理保障。为新疆社会稳定和长治久安总目标作出贡献</w:t>
      </w:r>
      <w:r>
        <w:rPr>
          <w:rFonts w:eastAsia="仿宋_GB2312"/>
          <w:sz w:val="32"/>
          <w:szCs w:val="32"/>
        </w:rPr>
        <w:t>过制定项目实施方案，经项目负责人审核通过后，有序开展后续工作</w:t>
      </w:r>
      <w:r>
        <w:rPr>
          <w:rFonts w:hint="eastAsia"/>
          <w:sz w:val="32"/>
          <w:szCs w:val="32"/>
          <w:lang w:eastAsia="zh-CN"/>
        </w:rPr>
        <w:t>。</w:t>
      </w:r>
    </w:p>
    <w:p w14:paraId="157103EC">
      <w:pPr>
        <w:numPr>
          <w:ilvl w:val="0"/>
          <w:numId w:val="1"/>
        </w:numPr>
        <w:spacing w:line="560" w:lineRule="exact"/>
        <w:ind w:left="0" w:leftChars="0" w:firstLine="640" w:firstLineChars="200"/>
        <w:rPr>
          <w:rFonts w:eastAsia="仿宋_GB2312"/>
          <w:sz w:val="32"/>
          <w:szCs w:val="32"/>
        </w:rPr>
      </w:pPr>
      <w:r>
        <w:rPr>
          <w:rFonts w:eastAsia="仿宋_GB2312"/>
          <w:sz w:val="32"/>
          <w:szCs w:val="32"/>
        </w:rPr>
        <w:t>阶段性目标</w:t>
      </w:r>
    </w:p>
    <w:p w14:paraId="7D4EF556">
      <w:pPr>
        <w:spacing w:line="600" w:lineRule="exact"/>
        <w:ind w:firstLine="640" w:firstLineChars="200"/>
        <w:rPr>
          <w:rFonts w:eastAsia="仿宋_GB2312"/>
          <w:sz w:val="32"/>
          <w:szCs w:val="32"/>
        </w:rPr>
      </w:pPr>
      <w:r>
        <w:rPr>
          <w:rFonts w:eastAsia="仿宋_GB2312"/>
          <w:sz w:val="32"/>
          <w:szCs w:val="32"/>
        </w:rPr>
        <w:t>（1）前期准备：通过制定项目实施方案，经项目负责人审核通过后，有序开展后续工作。</w:t>
      </w:r>
    </w:p>
    <w:p w14:paraId="787FE811">
      <w:pPr>
        <w:spacing w:line="600" w:lineRule="exact"/>
        <w:ind w:firstLine="640" w:firstLineChars="200"/>
        <w:rPr>
          <w:rFonts w:hint="eastAsia" w:eastAsia="黑体"/>
          <w:b w:val="0"/>
          <w:bCs/>
          <w:lang w:eastAsia="zh-CN"/>
        </w:rPr>
      </w:pPr>
      <w:r>
        <w:rPr>
          <w:rFonts w:eastAsia="仿宋_GB2312"/>
          <w:sz w:val="32"/>
          <w:szCs w:val="32"/>
        </w:rPr>
        <w:t>（2）组织实施：资金一到位，立即根据项目要求实施项目。项目责任人按照项目实施方案要求逐一进行项目部署安排，提高项目质量及效率性。</w:t>
      </w:r>
    </w:p>
    <w:p w14:paraId="5ACC9CFA">
      <w:pPr>
        <w:spacing w:line="560" w:lineRule="exact"/>
        <w:ind w:firstLine="640" w:firstLineChars="200"/>
        <w:rPr>
          <w:rFonts w:eastAsia="黑体"/>
          <w:sz w:val="32"/>
          <w:szCs w:val="32"/>
        </w:rPr>
      </w:pPr>
      <w:r>
        <w:rPr>
          <w:rFonts w:eastAsia="黑体"/>
          <w:sz w:val="32"/>
          <w:szCs w:val="32"/>
        </w:rPr>
        <w:t>二、绩效评价工作开展情况</w:t>
      </w:r>
    </w:p>
    <w:p w14:paraId="5644BC62">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73A04EE3">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14:paraId="3A5DF8B7">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20B49DF9">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14:paraId="48264A59">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14:paraId="36C3D976">
      <w:pPr>
        <w:pStyle w:val="19"/>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361CB233">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14:paraId="7F43CE6D">
      <w:pPr>
        <w:spacing w:line="560" w:lineRule="exact"/>
        <w:ind w:firstLine="640" w:firstLineChars="200"/>
        <w:rPr>
          <w:rFonts w:ascii="仿宋_GB2312" w:hAnsi="仿宋_GB2312" w:eastAsia="仿宋_GB2312" w:cs="仿宋_GB2312"/>
          <w:sz w:val="32"/>
          <w:szCs w:val="32"/>
        </w:rPr>
      </w:pPr>
      <w:r>
        <w:rPr>
          <w:rFonts w:hint="default"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eastAsia="zh-CN"/>
        </w:rPr>
        <w:t>双随机、一公开</w:t>
      </w:r>
      <w:r>
        <w:rPr>
          <w:rFonts w:hint="default"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业务费</w:t>
      </w:r>
      <w:r>
        <w:rPr>
          <w:rFonts w:hint="eastAsia" w:ascii="仿宋_GB2312" w:hAnsi="仿宋_GB2312" w:eastAsia="仿宋_GB2312" w:cs="仿宋_GB2312"/>
          <w:sz w:val="32"/>
          <w:szCs w:val="32"/>
        </w:rPr>
        <w:t>项目所包含的全部项目内容。</w:t>
      </w:r>
    </w:p>
    <w:p w14:paraId="43BB3B0B">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14:paraId="1049076B">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w:t>
      </w:r>
      <w:r>
        <w:rPr>
          <w:rFonts w:hint="eastAsia" w:ascii="仿宋_GB2312" w:hAnsi="仿宋_GB2312" w:eastAsia="仿宋_GB2312" w:cs="仿宋_GB2312"/>
          <w:sz w:val="32"/>
          <w:szCs w:val="32"/>
          <w:lang w:val="en-US" w:eastAsia="zh-CN"/>
        </w:rPr>
        <w:t xml:space="preserve"> </w:t>
      </w:r>
      <w:r>
        <w:rPr>
          <w:rFonts w:hint="default" w:ascii="仿宋_GB2312" w:hAnsi="仿宋_GB2312" w:eastAsia="仿宋_GB2312" w:cs="仿宋_GB2312"/>
          <w:sz w:val="32"/>
          <w:szCs w:val="32"/>
          <w:lang w:val="en-US" w:eastAsia="zh-CN"/>
        </w:rPr>
        <w:t>“</w:t>
      </w:r>
      <w:bookmarkStart w:id="5" w:name="_GoBack"/>
      <w:bookmarkEnd w:id="5"/>
      <w:r>
        <w:rPr>
          <w:rFonts w:hint="eastAsia" w:ascii="仿宋_GB2312" w:hAnsi="仿宋_GB2312" w:eastAsia="仿宋_GB2312" w:cs="仿宋_GB2312"/>
          <w:sz w:val="32"/>
          <w:szCs w:val="32"/>
          <w:highlight w:val="none"/>
          <w:lang w:eastAsia="zh-CN"/>
        </w:rPr>
        <w:t>双随机、一公开</w:t>
      </w:r>
      <w:r>
        <w:rPr>
          <w:rFonts w:hint="default"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业务费项目</w:t>
      </w:r>
      <w:r>
        <w:rPr>
          <w:rFonts w:hint="eastAsia" w:ascii="仿宋_GB2312" w:hAnsi="仿宋_GB2312" w:eastAsia="仿宋_GB2312" w:cs="仿宋_GB2312"/>
          <w:sz w:val="32"/>
          <w:szCs w:val="32"/>
        </w:rPr>
        <w:t>进行评价，评价核心为专项资金的支出完成情况和效果。</w:t>
      </w:r>
    </w:p>
    <w:p w14:paraId="73841A3E">
      <w:pPr>
        <w:spacing w:line="560" w:lineRule="exact"/>
        <w:ind w:firstLine="643" w:firstLineChars="200"/>
      </w:pPr>
      <w:r>
        <w:rPr>
          <w:rFonts w:eastAsia="楷体_GB2312"/>
          <w:b/>
          <w:bCs/>
          <w:sz w:val="32"/>
          <w:szCs w:val="32"/>
        </w:rPr>
        <w:t>（二）绩效评价原则、评价指标体系（详情见表1）、评价方法、评价标准。</w:t>
      </w:r>
    </w:p>
    <w:p w14:paraId="5A63273D">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14:paraId="5421D927">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12B1F811">
      <w:pPr>
        <w:pStyle w:val="11"/>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230E6924">
      <w:pPr>
        <w:pStyle w:val="11"/>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46EF18A7">
      <w:pPr>
        <w:pStyle w:val="11"/>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5BA03C67">
      <w:pPr>
        <w:pStyle w:val="11"/>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424070FA">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14:paraId="5177835E">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3FC30721">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1ABA9758">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7A4A95DE">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799F8A9C">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2C3A05A0">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0AB3B058">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40AB63C8">
      <w:pPr>
        <w:pStyle w:val="11"/>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65BA7F4E">
      <w:pPr>
        <w:pStyle w:val="11"/>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6F3067CC">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14:paraId="78057FDD">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1D19254F">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35FEAFA6">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14:paraId="35862F5F">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63CC1DAF">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14:paraId="496032E2">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5CF8A1F2">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14:paraId="1A6872B9">
      <w:pPr>
        <w:spacing w:line="560" w:lineRule="exact"/>
        <w:ind w:firstLine="640"/>
        <w:rPr>
          <w:rFonts w:hint="eastAsia" w:eastAsia="方正仿宋_GBK" w:cs="方正仿宋_GBK"/>
          <w:color w:val="auto"/>
          <w:sz w:val="32"/>
          <w:szCs w:val="32"/>
          <w:highlight w:val="none"/>
        </w:rPr>
      </w:pPr>
      <w:r>
        <w:rPr>
          <w:rFonts w:hint="eastAsia" w:eastAsia="方正仿宋_GBK" w:cs="方正仿宋_GBK"/>
          <w:sz w:val="32"/>
          <w:szCs w:val="32"/>
          <w:highlight w:val="none"/>
        </w:rPr>
        <w:t>绩效评价标准通常包括计划标准、行业标准、历史标准等，用于对绩效指标完成情况进行比较、分析、评价。本次</w:t>
      </w:r>
      <w:r>
        <w:rPr>
          <w:rFonts w:hint="eastAsia" w:eastAsia="方正仿宋_GBK" w:cs="方正仿宋_GBK"/>
          <w:color w:val="auto"/>
          <w:sz w:val="32"/>
          <w:szCs w:val="32"/>
          <w:highlight w:val="none"/>
        </w:rPr>
        <w:t>评价主要采用了</w:t>
      </w:r>
      <w:r>
        <w:rPr>
          <w:rFonts w:hint="eastAsia" w:eastAsia="方正仿宋_GBK" w:cs="方正仿宋_GBK"/>
          <w:color w:val="auto"/>
          <w:sz w:val="32"/>
          <w:szCs w:val="32"/>
          <w:highlight w:val="none"/>
          <w:lang w:val="en-US" w:eastAsia="zh-CN"/>
        </w:rPr>
        <w:t>历史标准</w:t>
      </w:r>
      <w:r>
        <w:rPr>
          <w:rFonts w:hint="eastAsia" w:eastAsia="方正仿宋_GBK" w:cs="方正仿宋_GBK"/>
          <w:color w:val="auto"/>
          <w:sz w:val="32"/>
          <w:szCs w:val="32"/>
          <w:highlight w:val="none"/>
        </w:rPr>
        <w:t>和</w:t>
      </w:r>
      <w:r>
        <w:rPr>
          <w:rFonts w:hint="eastAsia" w:eastAsia="方正仿宋_GBK" w:cs="方正仿宋_GBK"/>
          <w:color w:val="auto"/>
          <w:sz w:val="32"/>
          <w:szCs w:val="32"/>
          <w:highlight w:val="none"/>
          <w:lang w:val="en-US" w:eastAsia="zh-CN"/>
        </w:rPr>
        <w:t>其他</w:t>
      </w:r>
      <w:r>
        <w:rPr>
          <w:rFonts w:hint="eastAsia" w:eastAsia="方正仿宋_GBK" w:cs="方正仿宋_GBK"/>
          <w:color w:val="auto"/>
          <w:sz w:val="32"/>
          <w:szCs w:val="32"/>
          <w:highlight w:val="none"/>
        </w:rPr>
        <w:t>标准。</w:t>
      </w:r>
      <w:bookmarkStart w:id="0" w:name="_Toc430"/>
      <w:bookmarkStart w:id="1" w:name="_Toc16028"/>
    </w:p>
    <w:p w14:paraId="7DE9A276">
      <w:pPr>
        <w:spacing w:line="560" w:lineRule="exact"/>
        <w:ind w:firstLine="640"/>
        <w:rPr>
          <w:rFonts w:eastAsia="方正仿宋_GBK" w:cs="方正仿宋_GBK"/>
          <w:sz w:val="32"/>
          <w:szCs w:val="32"/>
        </w:rPr>
      </w:pPr>
      <w:r>
        <w:rPr>
          <w:rFonts w:hint="eastAsia" w:eastAsia="方正仿宋_GBK" w:cs="方正仿宋_GBK"/>
          <w:b/>
          <w:bCs/>
          <w:sz w:val="32"/>
          <w:szCs w:val="32"/>
        </w:rPr>
        <w:t>历史标准：</w:t>
      </w:r>
      <w:r>
        <w:rPr>
          <w:rFonts w:hint="eastAsia" w:eastAsia="方正仿宋_GBK" w:cs="方正仿宋_GBK"/>
          <w:sz w:val="32"/>
          <w:szCs w:val="32"/>
        </w:rPr>
        <w:t>指参照历史数据制定的评价标准，为体现绩效改进的原则，在可实现的条件下应当确定相对较高的评价标准。</w:t>
      </w:r>
      <w:bookmarkEnd w:id="0"/>
      <w:bookmarkEnd w:id="1"/>
    </w:p>
    <w:p w14:paraId="644264A1">
      <w:pPr>
        <w:pStyle w:val="11"/>
        <w:numPr>
          <w:ilvl w:val="0"/>
          <w:numId w:val="3"/>
        </w:numPr>
        <w:spacing w:before="0" w:after="0" w:line="56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14:paraId="1CB65CE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1.前</w:t>
      </w:r>
      <w:r>
        <w:rPr>
          <w:rFonts w:hint="eastAsia" w:eastAsia="仿宋_GB2312"/>
          <w:bCs/>
          <w:sz w:val="32"/>
          <w:szCs w:val="32"/>
        </w:rPr>
        <w:t>期准备。首先成立评价工作组，开展前期调研；其次明确项目绩效目标，设计绩效评价指标体系并确定绩效评价方法；接着确定现场和非现场评价范围，设计资料清单；最后制定评价实施方案并进行论证。</w:t>
      </w:r>
    </w:p>
    <w:p w14:paraId="3B9B290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2.</w:t>
      </w: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76C5988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r>
        <w:rPr>
          <w:rFonts w:hint="eastAsia" w:eastAsia="仿宋_GB2312"/>
          <w:bCs/>
          <w:sz w:val="32"/>
          <w:szCs w:val="32"/>
          <w:lang w:val="en-US" w:eastAsia="zh-CN"/>
        </w:rPr>
        <w:t>3.</w:t>
      </w: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07863DBF">
      <w:pPr>
        <w:numPr>
          <w:ilvl w:val="0"/>
          <w:numId w:val="4"/>
        </w:numPr>
        <w:spacing w:line="560" w:lineRule="exact"/>
        <w:ind w:firstLine="640" w:firstLineChars="200"/>
        <w:rPr>
          <w:rFonts w:eastAsia="黑体"/>
          <w:sz w:val="32"/>
          <w:szCs w:val="32"/>
        </w:rPr>
      </w:pPr>
      <w:r>
        <w:rPr>
          <w:rFonts w:eastAsia="黑体"/>
          <w:sz w:val="32"/>
          <w:szCs w:val="32"/>
        </w:rPr>
        <w:t>综合评价情况及评价结论（附相关评分表）</w:t>
      </w:r>
    </w:p>
    <w:p w14:paraId="0E0A8C2F">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14:paraId="6AD372C0">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4783568A">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14:paraId="114BE3B6">
      <w:pPr>
        <w:pStyle w:val="11"/>
        <w:widowControl w:val="0"/>
        <w:spacing w:before="0" w:after="0" w:line="560" w:lineRule="exact"/>
        <w:ind w:firstLine="640" w:firstLineChars="200"/>
        <w:jc w:val="both"/>
        <w:outlineLvl w:val="9"/>
        <w:rPr>
          <w:rFonts w:hint="eastAsia" w:ascii="Times New Roman" w:hAnsi="Times New Roman" w:eastAsia="仿宋_GB2312"/>
          <w:b w:val="0"/>
          <w:bCs w:val="0"/>
          <w:lang w:eastAsia="zh-CN"/>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总得分为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 xml:space="preserve">分，属于“优”。其中，项目决策类指标权重为20分，得分为 </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14:paraId="5A152097">
      <w:pPr>
        <w:pStyle w:val="11"/>
        <w:keepNext w:val="0"/>
        <w:keepLines w:val="0"/>
        <w:pageBreakBefore w:val="0"/>
        <w:widowControl/>
        <w:kinsoku/>
        <w:wordWrap/>
        <w:overflowPunct/>
        <w:topLinePunct w:val="0"/>
        <w:autoSpaceDE/>
        <w:autoSpaceDN/>
        <w:bidi w:val="0"/>
        <w:adjustRightInd/>
        <w:snapToGrid/>
        <w:spacing w:before="0" w:after="0"/>
        <w:textAlignment w:val="auto"/>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14:paraId="1BC590DB">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01BF377D">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6DE7970">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9F250A2">
            <w:pPr>
              <w:jc w:val="center"/>
              <w:rPr>
                <w:b/>
                <w:bCs/>
                <w:color w:val="000000"/>
                <w:sz w:val="22"/>
              </w:rPr>
            </w:pPr>
            <w:r>
              <w:rPr>
                <w:rFonts w:hint="eastAsia"/>
                <w:b/>
                <w:bCs/>
                <w:color w:val="000000"/>
                <w:sz w:val="22"/>
              </w:rPr>
              <w:t>得分</w:t>
            </w:r>
          </w:p>
        </w:tc>
      </w:tr>
      <w:tr w14:paraId="3DE208F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4527A22">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14:paraId="4AEF9511">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20483BFC">
            <w:pPr>
              <w:jc w:val="center"/>
              <w:rPr>
                <w:rFonts w:hint="default" w:eastAsia="宋体"/>
                <w:color w:val="000000"/>
                <w:sz w:val="22"/>
                <w:lang w:val="en-US" w:eastAsia="zh-CN"/>
              </w:rPr>
            </w:pPr>
            <w:r>
              <w:rPr>
                <w:rFonts w:hint="eastAsia"/>
                <w:color w:val="000000"/>
                <w:sz w:val="22"/>
                <w:lang w:val="en-US" w:eastAsia="zh-CN"/>
              </w:rPr>
              <w:t>20</w:t>
            </w:r>
          </w:p>
        </w:tc>
      </w:tr>
      <w:tr w14:paraId="08130EB1">
        <w:tblPrEx>
          <w:tblCellMar>
            <w:top w:w="0" w:type="dxa"/>
            <w:left w:w="108" w:type="dxa"/>
            <w:bottom w:w="0" w:type="dxa"/>
            <w:right w:w="108" w:type="dxa"/>
          </w:tblCellMar>
        </w:tblPrEx>
        <w:trPr>
          <w:trHeight w:val="30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E16EC6A">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14:paraId="725F8CFA">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4B336A61">
            <w:pPr>
              <w:jc w:val="center"/>
              <w:rPr>
                <w:rFonts w:hint="default" w:eastAsia="宋体"/>
                <w:color w:val="000000"/>
                <w:sz w:val="22"/>
                <w:lang w:val="en-US" w:eastAsia="zh-CN"/>
              </w:rPr>
            </w:pPr>
            <w:r>
              <w:rPr>
                <w:rFonts w:hint="eastAsia"/>
                <w:color w:val="000000"/>
                <w:sz w:val="22"/>
                <w:lang w:val="en-US" w:eastAsia="zh-CN"/>
              </w:rPr>
              <w:t>20</w:t>
            </w:r>
          </w:p>
        </w:tc>
      </w:tr>
      <w:tr w14:paraId="2DD3CCD4">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63DC051">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14:paraId="4B1D67F2">
            <w:pPr>
              <w:jc w:val="center"/>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3F9D84EF">
            <w:pPr>
              <w:jc w:val="center"/>
              <w:rPr>
                <w:rFonts w:hint="default" w:eastAsia="宋体"/>
                <w:color w:val="000000"/>
                <w:sz w:val="22"/>
                <w:lang w:val="en-US" w:eastAsia="zh-CN"/>
              </w:rPr>
            </w:pPr>
            <w:r>
              <w:rPr>
                <w:rFonts w:hint="eastAsia"/>
                <w:color w:val="000000"/>
                <w:sz w:val="22"/>
                <w:lang w:val="en-US" w:eastAsia="zh-CN"/>
              </w:rPr>
              <w:t>40</w:t>
            </w:r>
          </w:p>
        </w:tc>
      </w:tr>
      <w:tr w14:paraId="2CF1F83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D75FA93">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14:paraId="70E0BB0B">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1B3AED73">
            <w:pPr>
              <w:jc w:val="center"/>
              <w:rPr>
                <w:rFonts w:hint="default" w:eastAsia="宋体"/>
                <w:color w:val="000000"/>
                <w:sz w:val="22"/>
                <w:lang w:val="en-US" w:eastAsia="zh-CN"/>
              </w:rPr>
            </w:pPr>
            <w:r>
              <w:rPr>
                <w:rFonts w:hint="eastAsia"/>
                <w:color w:val="000000"/>
                <w:sz w:val="22"/>
                <w:lang w:val="en-US" w:eastAsia="zh-CN"/>
              </w:rPr>
              <w:t>20</w:t>
            </w:r>
          </w:p>
        </w:tc>
      </w:tr>
      <w:tr w14:paraId="1C97B6A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59B3F7C">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14:paraId="66ECAD01">
            <w:pPr>
              <w:jc w:val="center"/>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27021708">
            <w:pPr>
              <w:jc w:val="center"/>
              <w:rPr>
                <w:rFonts w:hint="default" w:eastAsia="宋体"/>
                <w:b/>
                <w:bCs/>
                <w:color w:val="000000"/>
                <w:sz w:val="22"/>
                <w:lang w:val="en-US" w:eastAsia="zh-CN"/>
              </w:rPr>
            </w:pPr>
            <w:r>
              <w:rPr>
                <w:rFonts w:hint="eastAsia"/>
                <w:b/>
                <w:bCs/>
                <w:color w:val="000000"/>
                <w:sz w:val="22"/>
                <w:lang w:val="en-US" w:eastAsia="zh-CN"/>
              </w:rPr>
              <w:t>100</w:t>
            </w:r>
          </w:p>
        </w:tc>
      </w:tr>
    </w:tbl>
    <w:p w14:paraId="24872C4E">
      <w:pPr>
        <w:spacing w:line="560" w:lineRule="exact"/>
        <w:ind w:firstLine="640" w:firstLineChars="200"/>
        <w:rPr>
          <w:rFonts w:eastAsia="黑体"/>
          <w:sz w:val="32"/>
          <w:szCs w:val="32"/>
        </w:rPr>
      </w:pPr>
      <w:r>
        <w:rPr>
          <w:rFonts w:eastAsia="黑体"/>
          <w:sz w:val="32"/>
          <w:szCs w:val="32"/>
        </w:rPr>
        <w:t>四、绩效评价指标分析</w:t>
      </w:r>
    </w:p>
    <w:p w14:paraId="554DCAE2">
      <w:pPr>
        <w:pStyle w:val="11"/>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14:paraId="55A9FD62">
      <w:pPr>
        <w:shd w:val="clear"/>
        <w:spacing w:line="600" w:lineRule="exact"/>
        <w:ind w:firstLine="600" w:firstLineChars="200"/>
        <w:outlineLvl w:val="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项目决策类指标包括项目立项、绩效目标和资金投入三方面的内容，由6个三级指标构成，权重分值为20分，实际得分20分，得分率为100%。</w:t>
      </w:r>
    </w:p>
    <w:p w14:paraId="2E9FCA03">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14:paraId="2ED1FA46">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14:paraId="6ECD5A8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6A9C1720">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14:paraId="2ADBF550">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绩效评估、集体决策，保障了程序的规范性。</w:t>
      </w:r>
    </w:p>
    <w:p w14:paraId="3C690F9D">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14:paraId="7DBC138A">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14:paraId="34A32A46">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396E9E85">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14:paraId="7934B006">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2896FC8E">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14:paraId="07F8304A">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14:paraId="6C723C80">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14:paraId="3212EE71">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14:paraId="35A4D4D1">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14:paraId="6D86894C">
      <w:pPr>
        <w:pStyle w:val="11"/>
        <w:numPr>
          <w:ilvl w:val="0"/>
          <w:numId w:val="5"/>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14:paraId="0A3C76FD">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实际得分20分，得分率为100%。</w:t>
      </w:r>
    </w:p>
    <w:p w14:paraId="3DFBF1A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4B90B6AC">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14:paraId="76C4BC42">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14:paraId="040270C9">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本项目</w:t>
      </w:r>
      <w:r>
        <w:rPr>
          <w:rFonts w:hint="eastAsia" w:ascii="仿宋_GB2312" w:hAnsi="仿宋_GB2312" w:eastAsia="仿宋_GB2312" w:cs="仿宋_GB2312"/>
          <w:sz w:val="32"/>
          <w:szCs w:val="32"/>
          <w:highlight w:val="none"/>
          <w:lang w:val="en-US" w:eastAsia="zh-CN"/>
        </w:rPr>
        <w:t>总投资5.10万元，非财政资金及时足额到位，到位率100%，预算资金按计划进度执行。</w:t>
      </w:r>
    </w:p>
    <w:p w14:paraId="6ECF03E0">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14:paraId="3B2BF06E">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w:t>
      </w:r>
      <w:r>
        <w:rPr>
          <w:rFonts w:hint="eastAsia" w:ascii="仿宋_GB2312" w:hAnsi="仿宋_GB2312" w:eastAsia="仿宋_GB2312" w:cs="仿宋_GB2312"/>
          <w:sz w:val="32"/>
          <w:szCs w:val="32"/>
          <w:highlight w:val="none"/>
          <w:lang w:val="en-US" w:eastAsia="zh-CN"/>
        </w:rPr>
        <w:t>预算资金支出5.10万元，预算执行率为100%。</w:t>
      </w:r>
    </w:p>
    <w:p w14:paraId="34B1170A">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14:paraId="56C227F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087F4121">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68EF7EA6">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14:paraId="64E172C2">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7B91880B">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14:paraId="17B47302">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14:paraId="47C6381C">
      <w:pPr>
        <w:pStyle w:val="13"/>
        <w:numPr>
          <w:ilvl w:val="0"/>
          <w:numId w:val="5"/>
        </w:numPr>
        <w:spacing w:line="560" w:lineRule="exact"/>
        <w:ind w:firstLine="643"/>
        <w:rPr>
          <w:rFonts w:eastAsia="楷体_GB2312"/>
          <w:b/>
          <w:bCs/>
          <w:sz w:val="32"/>
          <w:szCs w:val="32"/>
        </w:rPr>
      </w:pPr>
      <w:r>
        <w:rPr>
          <w:rFonts w:eastAsia="楷体_GB2312"/>
          <w:b/>
          <w:bCs/>
          <w:sz w:val="32"/>
          <w:szCs w:val="32"/>
        </w:rPr>
        <w:t>项目产出</w:t>
      </w:r>
      <w:r>
        <w:rPr>
          <w:rFonts w:hint="eastAsia" w:eastAsia="楷体_GB2312"/>
          <w:b/>
          <w:bCs/>
          <w:sz w:val="32"/>
          <w:szCs w:val="32"/>
          <w:lang w:val="en-US" w:eastAsia="zh-CN"/>
        </w:rPr>
        <w:t>情况</w:t>
      </w:r>
    </w:p>
    <w:p w14:paraId="595C8CE5">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项目产出类指标包括产出数量、产出质量、产出时效、三方面的内容，由5个三级指标构成，权重分为40分，</w:t>
      </w:r>
      <w:r>
        <w:rPr>
          <w:rFonts w:hint="eastAsia" w:ascii="仿宋_GB2312" w:hAnsi="仿宋_GB2312" w:eastAsia="仿宋_GB2312" w:cs="仿宋_GB2312"/>
          <w:sz w:val="32"/>
          <w:szCs w:val="32"/>
          <w:highlight w:val="none"/>
          <w:lang w:val="en-US" w:eastAsia="zh-CN"/>
        </w:rPr>
        <w:t>实际得分40分，得分率为100%。</w:t>
      </w:r>
      <w:r>
        <w:rPr>
          <w:rFonts w:hint="eastAsia" w:ascii="仿宋_GB2312" w:hAnsi="仿宋_GB2312" w:eastAsia="仿宋_GB2312" w:cs="仿宋_GB2312"/>
          <w:sz w:val="32"/>
          <w:szCs w:val="32"/>
          <w:lang w:val="en-US" w:eastAsia="zh-CN"/>
        </w:rPr>
        <w:t>具体产出指标完成情况如下：</w:t>
      </w:r>
    </w:p>
    <w:p w14:paraId="75EAB931">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14:paraId="46EFF6B8">
      <w:pPr>
        <w:pStyle w:val="11"/>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工程质量安全专项检查频次指标，指标值为4次，实际完成4次，完成率100%，偏差率0%。</w:t>
      </w:r>
    </w:p>
    <w:p w14:paraId="64529828">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14:paraId="6B79510E">
      <w:pPr>
        <w:spacing w:line="600" w:lineRule="exact"/>
        <w:ind w:firstLine="640" w:firstLineChars="200"/>
        <w:rPr>
          <w:rStyle w:val="18"/>
          <w:rFonts w:hint="default" w:eastAsia="仿宋_GB2312" w:cs="Times New Roman"/>
          <w:color w:val="auto"/>
          <w:highlight w:val="none"/>
          <w:lang w:val="en-US" w:eastAsia="zh-CN"/>
        </w:rPr>
      </w:pPr>
      <w:r>
        <w:rPr>
          <w:rFonts w:hint="eastAsia" w:ascii="仿宋_GB2312" w:hAnsi="仿宋_GB2312" w:eastAsia="仿宋_GB2312" w:cs="仿宋_GB2312"/>
          <w:sz w:val="32"/>
          <w:szCs w:val="32"/>
          <w:highlight w:val="none"/>
        </w:rPr>
        <w:t>指标1：</w:t>
      </w:r>
      <w:r>
        <w:rPr>
          <w:rStyle w:val="18"/>
          <w:rFonts w:hint="eastAsia" w:eastAsia="仿宋_GB2312" w:cs="Times New Roman"/>
          <w:color w:val="auto"/>
          <w:highlight w:val="none"/>
          <w:lang w:eastAsia="zh-CN"/>
        </w:rPr>
        <w:t>受监督有色、化工建设工程施工安全标准化考评合格率</w:t>
      </w:r>
      <w:r>
        <w:rPr>
          <w:rStyle w:val="18"/>
          <w:rFonts w:hint="eastAsia" w:eastAsia="仿宋_GB2312" w:cs="Times New Roman"/>
          <w:color w:val="auto"/>
          <w:highlight w:val="none"/>
          <w:lang w:val="en-US" w:eastAsia="zh-CN"/>
        </w:rPr>
        <w:t>指标，指标值为100%，实际完成100%，完成率100%，偏差率0%。</w:t>
      </w:r>
    </w:p>
    <w:p w14:paraId="7AD2C101">
      <w:pPr>
        <w:spacing w:line="600" w:lineRule="exact"/>
        <w:ind w:firstLine="640" w:firstLineChars="200"/>
        <w:rPr>
          <w:rStyle w:val="18"/>
          <w:rFonts w:hint="default" w:ascii="Times New Roman" w:hAnsi="Times New Roman" w:eastAsia="仿宋_GB2312" w:cs="Times New Roman"/>
          <w:color w:val="auto"/>
          <w:highlight w:val="none"/>
          <w:lang w:val="en-US" w:eastAsia="zh-CN"/>
        </w:rPr>
      </w:pPr>
      <w:r>
        <w:rPr>
          <w:rFonts w:hint="eastAsia" w:ascii="仿宋_GB2312" w:hAnsi="仿宋_GB2312" w:eastAsia="仿宋_GB2312" w:cs="仿宋_GB2312"/>
          <w:sz w:val="32"/>
          <w:szCs w:val="32"/>
          <w:highlight w:val="none"/>
          <w:lang w:val="en-US" w:eastAsia="zh-CN"/>
        </w:rPr>
        <w:t>指标2：</w:t>
      </w:r>
      <w:r>
        <w:rPr>
          <w:rStyle w:val="18"/>
          <w:rFonts w:hint="eastAsia" w:eastAsia="仿宋_GB2312" w:cs="Times New Roman"/>
          <w:color w:val="auto"/>
          <w:highlight w:val="none"/>
          <w:lang w:eastAsia="zh-CN"/>
        </w:rPr>
        <w:t>受监督有色、化工建设工程工程质量合格率</w:t>
      </w:r>
      <w:r>
        <w:rPr>
          <w:rStyle w:val="18"/>
          <w:rFonts w:hint="eastAsia" w:eastAsia="仿宋_GB2312" w:cs="Times New Roman"/>
          <w:color w:val="auto"/>
          <w:highlight w:val="none"/>
          <w:lang w:val="en-US" w:eastAsia="zh-CN"/>
        </w:rPr>
        <w:t>指标，指标值为100%，完成率100%，偏差率0%。</w:t>
      </w:r>
    </w:p>
    <w:p w14:paraId="02E80D0C">
      <w:pPr>
        <w:spacing w:line="600" w:lineRule="exact"/>
        <w:ind w:firstLine="640" w:firstLineChars="200"/>
        <w:rPr>
          <w:rStyle w:val="18"/>
          <w:rFonts w:hint="default" w:eastAsia="仿宋_GB2312" w:cs="Times New Roman"/>
          <w:color w:val="auto"/>
          <w:highlight w:val="none"/>
          <w:lang w:val="en-US" w:eastAsia="zh-CN"/>
        </w:rPr>
      </w:pPr>
      <w:r>
        <w:rPr>
          <w:rFonts w:hint="eastAsia" w:ascii="仿宋_GB2312" w:hAnsi="仿宋_GB2312" w:eastAsia="仿宋_GB2312" w:cs="仿宋_GB2312"/>
          <w:sz w:val="32"/>
          <w:szCs w:val="32"/>
          <w:highlight w:val="none"/>
          <w:lang w:val="en-US" w:eastAsia="zh-CN"/>
        </w:rPr>
        <w:t>指标3：抽检覆盖率指标，</w:t>
      </w:r>
      <w:r>
        <w:rPr>
          <w:rStyle w:val="18"/>
          <w:rFonts w:hint="eastAsia" w:eastAsia="仿宋_GB2312" w:cs="Times New Roman"/>
          <w:color w:val="auto"/>
          <w:highlight w:val="none"/>
          <w:lang w:val="en-US" w:eastAsia="zh-CN"/>
        </w:rPr>
        <w:t>指标值为</w:t>
      </w:r>
      <w:r>
        <w:rPr>
          <w:rFonts w:hint="eastAsia" w:ascii="仿宋_GB2312" w:hAnsi="仿宋_GB2312" w:eastAsia="仿宋_GB2312" w:cs="仿宋_GB2312"/>
          <w:sz w:val="32"/>
          <w:szCs w:val="32"/>
          <w:highlight w:val="none"/>
          <w:lang w:val="en-US" w:eastAsia="zh-CN"/>
        </w:rPr>
        <w:t>≥10%,</w:t>
      </w:r>
      <w:r>
        <w:rPr>
          <w:rStyle w:val="18"/>
          <w:rFonts w:hint="eastAsia" w:eastAsia="仿宋_GB2312" w:cs="Times New Roman"/>
          <w:color w:val="auto"/>
          <w:highlight w:val="none"/>
          <w:lang w:val="en-US" w:eastAsia="zh-CN"/>
        </w:rPr>
        <w:t>完成率100%，偏差率0%。</w:t>
      </w:r>
    </w:p>
    <w:p w14:paraId="705BECA3">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14:paraId="161FE1A0">
      <w:pPr>
        <w:shd w:val="clear"/>
        <w:spacing w:line="600" w:lineRule="exact"/>
        <w:ind w:firstLine="640" w:firstLineChars="200"/>
        <w:outlineLvl w:val="0"/>
        <w:rPr>
          <w:rFonts w:hint="eastAsia"/>
          <w:lang w:val="en-US" w:eastAsia="zh-CN"/>
        </w:rPr>
      </w:pPr>
      <w:r>
        <w:rPr>
          <w:rFonts w:hint="eastAsia" w:ascii="仿宋_GB2312" w:hAnsi="仿宋_GB2312" w:eastAsia="仿宋_GB2312" w:cs="仿宋_GB2312"/>
          <w:sz w:val="32"/>
          <w:szCs w:val="32"/>
          <w:highlight w:val="none"/>
        </w:rPr>
        <w:t>指标1：</w:t>
      </w:r>
      <w:r>
        <w:rPr>
          <w:rStyle w:val="18"/>
          <w:rFonts w:hint="eastAsia" w:eastAsia="仿宋_GB2312" w:cs="Times New Roman"/>
          <w:color w:val="auto"/>
          <w:highlight w:val="none"/>
          <w:lang w:eastAsia="zh-CN"/>
        </w:rPr>
        <w:t>年度监督检查任务按时完成</w:t>
      </w:r>
      <w:r>
        <w:rPr>
          <w:rStyle w:val="18"/>
          <w:rFonts w:hint="eastAsia" w:eastAsia="仿宋_GB2312" w:cs="Times New Roman"/>
          <w:color w:val="auto"/>
          <w:highlight w:val="none"/>
          <w:lang w:val="en-US" w:eastAsia="zh-CN"/>
        </w:rPr>
        <w:t>率指标，指标值为100%，实际完成100%，偏差率0%。</w:t>
      </w:r>
    </w:p>
    <w:p w14:paraId="5217C5FC">
      <w:pPr>
        <w:pStyle w:val="13"/>
        <w:numPr>
          <w:ilvl w:val="0"/>
          <w:numId w:val="5"/>
        </w:numPr>
        <w:spacing w:line="560" w:lineRule="exact"/>
        <w:ind w:firstLine="643"/>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项目效益情况</w:t>
      </w:r>
    </w:p>
    <w:p w14:paraId="425DA056">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w:t>
      </w:r>
      <w:r>
        <w:rPr>
          <w:rFonts w:hint="eastAsia" w:ascii="仿宋_GB2312" w:hAnsi="仿宋_GB2312" w:eastAsia="仿宋_GB2312" w:cs="仿宋_GB2312"/>
          <w:sz w:val="32"/>
          <w:szCs w:val="32"/>
          <w:highlight w:val="none"/>
          <w:lang w:val="en-US" w:eastAsia="zh-CN"/>
        </w:rPr>
        <w:t>三个三级指标构成，权重分为20分，实际得分20分，得分率为100%。具体效益指标及满意度指标完成情况如下：</w:t>
      </w:r>
    </w:p>
    <w:p w14:paraId="72C98031">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14:paraId="30D69EE6">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rPr>
        <w:t>社会效益指标：</w:t>
      </w:r>
    </w:p>
    <w:p w14:paraId="6ABB1828">
      <w:pPr>
        <w:numPr>
          <w:ilvl w:val="0"/>
          <w:numId w:val="0"/>
        </w:numPr>
        <w:spacing w:line="600" w:lineRule="exact"/>
        <w:ind w:firstLine="640" w:firstLineChars="200"/>
        <w:rPr>
          <w:rStyle w:val="18"/>
          <w:rFonts w:hint="eastAsia" w:eastAsia="仿宋_GB2312" w:cs="Times New Roman"/>
          <w:color w:val="auto"/>
          <w:highlight w:val="none"/>
          <w:lang w:val="en-US" w:eastAsia="zh-CN"/>
        </w:rPr>
      </w:pPr>
      <w:r>
        <w:rPr>
          <w:rFonts w:hint="eastAsia" w:ascii="仿宋_GB2312" w:hAnsi="仿宋_GB2312" w:eastAsia="仿宋_GB2312" w:cs="仿宋_GB2312"/>
          <w:sz w:val="32"/>
          <w:szCs w:val="32"/>
          <w:highlight w:val="none"/>
        </w:rPr>
        <w:t>指标1：</w:t>
      </w:r>
      <w:r>
        <w:rPr>
          <w:rStyle w:val="18"/>
          <w:rFonts w:hint="eastAsia" w:eastAsia="仿宋_GB2312" w:cs="Times New Roman"/>
          <w:color w:val="auto"/>
          <w:highlight w:val="none"/>
          <w:lang w:val="en-US" w:eastAsia="zh-CN"/>
        </w:rPr>
        <w:t>有效降低有色、化工等工程发生重特大质量安全事故指标，指标值为有效降低，实际完成值为有效降低，完成率100%，偏差率0%。</w:t>
      </w:r>
    </w:p>
    <w:p w14:paraId="05F15917">
      <w:pPr>
        <w:pStyle w:val="2"/>
        <w:rPr>
          <w:rFonts w:hint="eastAsia"/>
          <w:lang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w:t>
      </w:r>
      <w:r>
        <w:rPr>
          <w:rStyle w:val="18"/>
          <w:rFonts w:hint="eastAsia" w:eastAsia="仿宋_GB2312" w:cs="Times New Roman"/>
          <w:color w:val="auto"/>
          <w:highlight w:val="none"/>
          <w:lang w:eastAsia="zh-CN"/>
        </w:rPr>
        <w:t>问题整改落实率</w:t>
      </w:r>
      <w:r>
        <w:rPr>
          <w:rStyle w:val="18"/>
          <w:rFonts w:hint="eastAsia" w:eastAsia="仿宋_GB2312" w:cs="Times New Roman"/>
          <w:color w:val="auto"/>
          <w:highlight w:val="none"/>
          <w:lang w:val="en-US" w:eastAsia="zh-CN"/>
        </w:rPr>
        <w:t>指标，指标值为100%，实际完成值为100%，完成率100%，偏差率0%。</w:t>
      </w:r>
    </w:p>
    <w:p w14:paraId="22AB1AB1">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14:paraId="03FDA4DE">
      <w:pPr>
        <w:spacing w:line="600" w:lineRule="exact"/>
        <w:ind w:firstLine="640" w:firstLineChars="200"/>
        <w:rPr>
          <w:rFonts w:hint="default" w:ascii="Times New Roman" w:hAnsi="Times New Roman" w:eastAsia="仿宋_GB2312" w:cs="Times New Roman"/>
          <w:sz w:val="32"/>
          <w:szCs w:val="32"/>
          <w:lang w:val="en-US" w:eastAsia="zh-CN"/>
        </w:rPr>
      </w:pPr>
      <w:r>
        <w:rPr>
          <w:rFonts w:hint="eastAsia" w:ascii="仿宋_GB2312" w:hAnsi="仿宋_GB2312" w:eastAsia="仿宋_GB2312" w:cs="仿宋_GB2312"/>
          <w:sz w:val="32"/>
          <w:szCs w:val="32"/>
          <w:highlight w:val="none"/>
        </w:rPr>
        <w:t>指标1：</w:t>
      </w:r>
      <w:r>
        <w:rPr>
          <w:rFonts w:hint="eastAsia" w:ascii="Times New Roman" w:hAnsi="Times New Roman" w:cs="Times New Roman"/>
          <w:sz w:val="32"/>
          <w:szCs w:val="32"/>
          <w:lang w:val="en-US" w:eastAsia="zh-CN"/>
        </w:rPr>
        <w:t>项目服务对象满意度</w:t>
      </w:r>
      <w:r>
        <w:rPr>
          <w:rFonts w:hint="eastAsia" w:ascii="Times New Roman" w:hAnsi="Times New Roman" w:eastAsia="仿宋_GB2312" w:cs="Times New Roman"/>
          <w:sz w:val="32"/>
          <w:szCs w:val="32"/>
          <w:lang w:val="en-US" w:eastAsia="zh-CN"/>
        </w:rPr>
        <w:t>指标，指标值为</w:t>
      </w:r>
      <w:r>
        <w:rPr>
          <w:rFonts w:hint="eastAsia" w:ascii="Times New Roman" w:hAnsi="Times New Roman" w:cs="Times New Roman"/>
          <w:sz w:val="32"/>
          <w:szCs w:val="32"/>
          <w:lang w:val="en-US" w:eastAsia="zh-CN"/>
        </w:rPr>
        <w:t>≥95%</w:t>
      </w:r>
      <w:r>
        <w:rPr>
          <w:rFonts w:hint="eastAsia" w:ascii="Times New Roman" w:hAnsi="Times New Roman" w:eastAsia="仿宋_GB2312" w:cs="Times New Roman"/>
          <w:sz w:val="32"/>
          <w:szCs w:val="32"/>
          <w:lang w:val="en-US" w:eastAsia="zh-CN"/>
        </w:rPr>
        <w:t>，实际完成值为</w:t>
      </w:r>
      <w:r>
        <w:rPr>
          <w:rFonts w:hint="eastAsia" w:ascii="Times New Roman" w:hAnsi="Times New Roman" w:cs="Times New Roman"/>
          <w:sz w:val="32"/>
          <w:szCs w:val="32"/>
          <w:lang w:val="en-US" w:eastAsia="zh-CN"/>
        </w:rPr>
        <w:t>100%</w:t>
      </w:r>
      <w:r>
        <w:rPr>
          <w:rFonts w:hint="eastAsia" w:ascii="Times New Roman" w:hAnsi="Times New Roman" w:eastAsia="仿宋_GB2312" w:cs="Times New Roman"/>
          <w:sz w:val="32"/>
          <w:szCs w:val="32"/>
          <w:lang w:val="en-US" w:eastAsia="zh-CN"/>
        </w:rPr>
        <w:t>，</w:t>
      </w:r>
      <w:r>
        <w:rPr>
          <w:rFonts w:hint="eastAsia" w:ascii="仿宋_GB2312" w:hAnsi="仿宋_GB2312" w:eastAsia="仿宋_GB2312" w:cs="仿宋_GB2312"/>
          <w:b w:val="0"/>
          <w:bCs w:val="0"/>
          <w:kern w:val="2"/>
          <w:sz w:val="32"/>
          <w:szCs w:val="32"/>
          <w:highlight w:val="none"/>
          <w:lang w:val="en-US" w:eastAsia="zh-CN" w:bidi="ar-SA"/>
        </w:rPr>
        <w:t>完成率100%，</w:t>
      </w:r>
      <w:r>
        <w:rPr>
          <w:rFonts w:hint="eastAsia" w:ascii="Times New Roman" w:hAnsi="Times New Roman" w:eastAsia="仿宋_GB2312" w:cs="Times New Roman"/>
          <w:sz w:val="32"/>
          <w:szCs w:val="32"/>
          <w:lang w:val="en-US" w:eastAsia="zh-CN"/>
        </w:rPr>
        <w:t>偏差率0%。</w:t>
      </w:r>
    </w:p>
    <w:p w14:paraId="20049578">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14:paraId="37027D4C">
      <w:pPr>
        <w:pStyle w:val="19"/>
        <w:spacing w:line="560" w:lineRule="exact"/>
        <w:ind w:firstLine="640"/>
        <w:rPr>
          <w:rFonts w:hint="eastAsia" w:eastAsia="方正仿宋_GBK" w:cs="方正仿宋_GBK"/>
          <w:sz w:val="32"/>
          <w:szCs w:val="32"/>
          <w:highlight w:val="none"/>
          <w:lang w:val="en-US" w:eastAsia="zh-CN"/>
        </w:rPr>
      </w:pPr>
      <w:r>
        <w:rPr>
          <w:rFonts w:hint="default" w:eastAsia="方正仿宋_GBK" w:cs="方正仿宋_GBK"/>
          <w:sz w:val="32"/>
          <w:szCs w:val="32"/>
          <w:highlight w:val="none"/>
          <w:lang w:val="en-US" w:eastAsia="zh-CN"/>
        </w:rPr>
        <w:t>“</w:t>
      </w:r>
      <w:r>
        <w:rPr>
          <w:rFonts w:hint="eastAsia" w:eastAsia="方正仿宋_GBK" w:cs="方正仿宋_GBK"/>
          <w:sz w:val="32"/>
          <w:szCs w:val="32"/>
          <w:highlight w:val="none"/>
          <w:lang w:val="en-US" w:eastAsia="zh-CN"/>
        </w:rPr>
        <w:t>双随机、一公开</w:t>
      </w:r>
      <w:r>
        <w:rPr>
          <w:rFonts w:hint="default" w:eastAsia="方正仿宋_GBK" w:cs="方正仿宋_GBK"/>
          <w:sz w:val="32"/>
          <w:szCs w:val="32"/>
          <w:highlight w:val="none"/>
          <w:lang w:val="en-US" w:eastAsia="zh-CN"/>
        </w:rPr>
        <w:t>”</w:t>
      </w:r>
      <w:r>
        <w:rPr>
          <w:rFonts w:hint="eastAsia" w:eastAsia="方正仿宋_GBK" w:cs="方正仿宋_GBK"/>
          <w:sz w:val="32"/>
          <w:szCs w:val="32"/>
          <w:highlight w:val="none"/>
          <w:lang w:val="en-US" w:eastAsia="zh-CN"/>
        </w:rPr>
        <w:t>业务费</w:t>
      </w:r>
      <w:r>
        <w:rPr>
          <w:rFonts w:hint="eastAsia" w:eastAsia="方正仿宋_GBK" w:cs="方正仿宋_GBK"/>
          <w:sz w:val="32"/>
          <w:szCs w:val="32"/>
          <w:highlight w:val="none"/>
        </w:rPr>
        <w:t>项目年初预算</w:t>
      </w:r>
      <w:r>
        <w:rPr>
          <w:rFonts w:hint="eastAsia" w:eastAsia="方正仿宋_GBK" w:cs="方正仿宋_GBK"/>
          <w:sz w:val="32"/>
          <w:szCs w:val="32"/>
          <w:highlight w:val="none"/>
          <w:lang w:val="en-US" w:eastAsia="zh-CN"/>
        </w:rPr>
        <w:t>5.10</w:t>
      </w:r>
      <w:r>
        <w:rPr>
          <w:rFonts w:hint="eastAsia" w:eastAsia="方正仿宋_GBK" w:cs="方正仿宋_GBK"/>
          <w:sz w:val="32"/>
          <w:szCs w:val="32"/>
          <w:highlight w:val="none"/>
        </w:rPr>
        <w:t>万元，全年预算</w:t>
      </w:r>
      <w:r>
        <w:rPr>
          <w:rFonts w:hint="eastAsia" w:eastAsia="方正仿宋_GBK" w:cs="方正仿宋_GBK"/>
          <w:sz w:val="32"/>
          <w:szCs w:val="32"/>
          <w:highlight w:val="none"/>
          <w:lang w:val="en-US" w:eastAsia="zh-CN"/>
        </w:rPr>
        <w:t>5.10</w:t>
      </w:r>
      <w:r>
        <w:rPr>
          <w:rFonts w:hint="eastAsia" w:eastAsia="方正仿宋_GBK" w:cs="方正仿宋_GBK"/>
          <w:sz w:val="32"/>
          <w:szCs w:val="32"/>
          <w:highlight w:val="none"/>
        </w:rPr>
        <w:t>万元，实际支出</w:t>
      </w:r>
      <w:r>
        <w:rPr>
          <w:rFonts w:hint="eastAsia" w:eastAsia="方正仿宋_GBK" w:cs="方正仿宋_GBK"/>
          <w:sz w:val="32"/>
          <w:szCs w:val="32"/>
          <w:highlight w:val="none"/>
          <w:lang w:val="en-US" w:eastAsia="zh-CN"/>
        </w:rPr>
        <w:t>5.10</w:t>
      </w:r>
      <w:r>
        <w:rPr>
          <w:rFonts w:hint="eastAsia" w:eastAsia="方正仿宋_GBK" w:cs="方正仿宋_GBK"/>
          <w:sz w:val="32"/>
          <w:szCs w:val="32"/>
          <w:highlight w:val="none"/>
        </w:rPr>
        <w:t>万元，预算执行率为</w:t>
      </w:r>
      <w:r>
        <w:rPr>
          <w:rFonts w:hint="eastAsia" w:eastAsia="方正仿宋_GBK" w:cs="方正仿宋_GBK"/>
          <w:sz w:val="32"/>
          <w:szCs w:val="32"/>
          <w:highlight w:val="none"/>
          <w:lang w:val="en-US" w:eastAsia="zh-CN"/>
        </w:rPr>
        <w:t>100</w:t>
      </w:r>
      <w:r>
        <w:rPr>
          <w:rFonts w:hint="eastAsia" w:eastAsia="方正仿宋_GBK" w:cs="方正仿宋_GBK"/>
          <w:sz w:val="32"/>
          <w:szCs w:val="32"/>
          <w:highlight w:val="none"/>
        </w:rPr>
        <w:t>%，项目绩效指标总体完成率为</w:t>
      </w:r>
      <w:r>
        <w:rPr>
          <w:rFonts w:hint="eastAsia" w:eastAsia="方正仿宋_GBK" w:cs="方正仿宋_GBK"/>
          <w:sz w:val="32"/>
          <w:szCs w:val="32"/>
          <w:highlight w:val="none"/>
          <w:lang w:val="en-US" w:eastAsia="zh-CN"/>
        </w:rPr>
        <w:t>100</w:t>
      </w:r>
      <w:r>
        <w:rPr>
          <w:rFonts w:hint="eastAsia" w:eastAsia="方正仿宋_GBK" w:cs="方正仿宋_GBK"/>
          <w:sz w:val="32"/>
          <w:szCs w:val="32"/>
          <w:highlight w:val="none"/>
        </w:rPr>
        <w:t>%，</w:t>
      </w:r>
      <w:r>
        <w:rPr>
          <w:rFonts w:hint="eastAsia" w:eastAsia="方正仿宋_GBK" w:cs="方正仿宋_GBK"/>
          <w:sz w:val="32"/>
          <w:szCs w:val="32"/>
          <w:highlight w:val="none"/>
          <w:lang w:eastAsia="zh-Hans"/>
        </w:rPr>
        <w:t>总体</w:t>
      </w:r>
      <w:r>
        <w:rPr>
          <w:rFonts w:hint="eastAsia" w:eastAsia="方正仿宋_GBK" w:cs="方正仿宋_GBK"/>
          <w:sz w:val="32"/>
          <w:szCs w:val="32"/>
          <w:highlight w:val="none"/>
          <w:lang w:val="en-US" w:eastAsia="zh-CN"/>
        </w:rPr>
        <w:t>无</w:t>
      </w:r>
      <w:r>
        <w:rPr>
          <w:rFonts w:hint="eastAsia" w:eastAsia="方正仿宋_GBK" w:cs="方正仿宋_GBK"/>
          <w:sz w:val="32"/>
          <w:szCs w:val="32"/>
          <w:highlight w:val="none"/>
        </w:rPr>
        <w:t>偏差</w:t>
      </w:r>
      <w:r>
        <w:rPr>
          <w:rFonts w:hint="eastAsia" w:eastAsia="方正仿宋_GBK" w:cs="方正仿宋_GBK"/>
          <w:sz w:val="32"/>
          <w:szCs w:val="32"/>
          <w:highlight w:val="none"/>
          <w:lang w:eastAsia="zh-CN"/>
        </w:rPr>
        <w:t>。</w:t>
      </w:r>
    </w:p>
    <w:p w14:paraId="669F014D">
      <w:pPr>
        <w:spacing w:line="560" w:lineRule="exact"/>
        <w:ind w:firstLine="640" w:firstLineChars="200"/>
        <w:rPr>
          <w:rStyle w:val="18"/>
          <w:rFonts w:ascii="Times New Roman" w:hAnsi="Times New Roman" w:cs="Times New Roman"/>
          <w:color w:val="auto"/>
        </w:rPr>
      </w:pPr>
      <w:r>
        <w:rPr>
          <w:rFonts w:hint="eastAsia" w:eastAsia="黑体"/>
          <w:sz w:val="32"/>
          <w:szCs w:val="32"/>
          <w:lang w:eastAsia="zh-Hans"/>
        </w:rPr>
        <w:t>六</w:t>
      </w:r>
      <w:r>
        <w:rPr>
          <w:rFonts w:eastAsia="黑体"/>
          <w:sz w:val="32"/>
          <w:szCs w:val="32"/>
        </w:rPr>
        <w:t>、主要经验及做法、存在的问题及原因分析</w:t>
      </w:r>
    </w:p>
    <w:p w14:paraId="1E69CFD4">
      <w:pPr>
        <w:spacing w:line="560" w:lineRule="exact"/>
        <w:ind w:firstLine="627" w:firstLineChars="200"/>
        <w:rPr>
          <w:rFonts w:eastAsia="楷体"/>
          <w:b/>
          <w:spacing w:val="-4"/>
          <w:sz w:val="32"/>
          <w:szCs w:val="32"/>
        </w:rPr>
      </w:pPr>
      <w:r>
        <w:rPr>
          <w:rFonts w:eastAsia="楷体"/>
          <w:b/>
          <w:spacing w:val="-4"/>
          <w:sz w:val="32"/>
          <w:szCs w:val="32"/>
        </w:rPr>
        <w:t>（一）主要经验及做法</w:t>
      </w:r>
    </w:p>
    <w:p w14:paraId="5A019102">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10BE736F">
      <w:pPr>
        <w:pStyle w:val="11"/>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4E6C02C3">
      <w:pPr>
        <w:keepNext/>
        <w:keepLines/>
        <w:numPr>
          <w:ilvl w:val="0"/>
          <w:numId w:val="6"/>
        </w:numPr>
        <w:spacing w:line="560" w:lineRule="exact"/>
        <w:ind w:firstLine="643" w:firstLineChars="200"/>
        <w:rPr>
          <w:rFonts w:eastAsia="楷体_GB2312"/>
          <w:b/>
          <w:bCs/>
          <w:sz w:val="32"/>
          <w:szCs w:val="32"/>
        </w:rPr>
      </w:pPr>
      <w:r>
        <w:rPr>
          <w:rFonts w:eastAsia="楷体_GB2312"/>
          <w:b/>
          <w:bCs/>
          <w:sz w:val="32"/>
          <w:szCs w:val="32"/>
        </w:rPr>
        <w:t>存在的问题及原因分析</w:t>
      </w:r>
    </w:p>
    <w:p w14:paraId="717870C0">
      <w:pPr>
        <w:shd w:val="clear"/>
        <w:spacing w:line="600" w:lineRule="exact"/>
        <w:ind w:firstLine="640" w:firstLineChars="200"/>
        <w:outlineLvl w:val="0"/>
        <w:rPr>
          <w:rFonts w:hint="default" w:ascii="仿宋_GB2312" w:hAnsi="仿宋_GB2312" w:eastAsia="仿宋_GB2312" w:cs="仿宋_GB2312"/>
          <w:sz w:val="32"/>
          <w:szCs w:val="32"/>
          <w:highlight w:val="yellow"/>
          <w:lang w:val="en-US" w:eastAsia="zh-CN"/>
        </w:rPr>
      </w:pPr>
      <w:r>
        <w:rPr>
          <w:rFonts w:hint="eastAsia" w:ascii="仿宋_GB2312" w:hAnsi="仿宋_GB2312" w:eastAsia="仿宋_GB2312" w:cs="仿宋_GB2312"/>
          <w:sz w:val="32"/>
          <w:szCs w:val="32"/>
          <w:highlight w:val="none"/>
          <w:lang w:val="en-US" w:eastAsia="zh-CN"/>
        </w:rPr>
        <w:t>相关绩效管理方面专业知识的系统性学习有待加强。各项指标的设置要进一步优化、完善，主要在细化、量化上改进。</w:t>
      </w:r>
    </w:p>
    <w:p w14:paraId="4B3EC2C9">
      <w:pPr>
        <w:spacing w:line="560" w:lineRule="exact"/>
        <w:ind w:firstLine="640" w:firstLineChars="200"/>
        <w:rPr>
          <w:rFonts w:eastAsia="黑体"/>
          <w:sz w:val="32"/>
          <w:szCs w:val="32"/>
        </w:rPr>
      </w:pPr>
      <w:r>
        <w:rPr>
          <w:rFonts w:hint="eastAsia" w:eastAsia="黑体"/>
          <w:sz w:val="32"/>
          <w:szCs w:val="32"/>
          <w:lang w:eastAsia="zh-Hans"/>
        </w:rPr>
        <w:t>七、</w:t>
      </w:r>
      <w:r>
        <w:rPr>
          <w:rFonts w:eastAsia="黑体"/>
          <w:sz w:val="32"/>
          <w:szCs w:val="32"/>
        </w:rPr>
        <w:t>有关建议</w:t>
      </w:r>
    </w:p>
    <w:p w14:paraId="3A4F3CC8">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14:paraId="5FC29412">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14:paraId="356D4F87">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1D8CF54B">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14:paraId="1497E000">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3C448517">
      <w:pPr>
        <w:spacing w:line="560" w:lineRule="exact"/>
        <w:ind w:firstLine="640" w:firstLineChars="200"/>
        <w:rPr>
          <w:rFonts w:eastAsia="黑体"/>
          <w:sz w:val="32"/>
          <w:szCs w:val="32"/>
        </w:rPr>
      </w:pPr>
      <w:r>
        <w:rPr>
          <w:rFonts w:hint="eastAsia" w:eastAsia="黑体"/>
          <w:sz w:val="32"/>
          <w:szCs w:val="32"/>
          <w:lang w:eastAsia="zh-Hans"/>
        </w:rPr>
        <w:t>八、</w:t>
      </w:r>
      <w:r>
        <w:rPr>
          <w:rFonts w:eastAsia="黑体"/>
          <w:sz w:val="32"/>
          <w:szCs w:val="32"/>
        </w:rPr>
        <w:t>其他需要说</w:t>
      </w:r>
      <w:bookmarkStart w:id="2" w:name="page8"/>
      <w:bookmarkEnd w:id="2"/>
      <w:r>
        <w:rPr>
          <w:rFonts w:eastAsia="黑体"/>
          <w:sz w:val="32"/>
          <w:szCs w:val="32"/>
        </w:rPr>
        <w:t>明的问题</w:t>
      </w:r>
    </w:p>
    <w:p w14:paraId="6D51833F">
      <w:pPr>
        <w:pStyle w:val="2"/>
        <w:spacing w:after="0" w:line="560" w:lineRule="exact"/>
        <w:ind w:left="0" w:leftChars="0"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本项目无其他需说明的问题。</w:t>
      </w:r>
    </w:p>
    <w:p w14:paraId="099C0EE3">
      <w:pPr>
        <w:pStyle w:val="2"/>
        <w:spacing w:after="0" w:line="560" w:lineRule="exact"/>
        <w:ind w:left="0" w:leftChars="0" w:firstLine="640"/>
        <w:rPr>
          <w:rFonts w:ascii="仿宋_GB2312" w:hAnsi="仿宋_GB2312" w:eastAsia="仿宋_GB2312" w:cs="仿宋_GB2312"/>
          <w:sz w:val="32"/>
          <w:szCs w:val="32"/>
        </w:rPr>
      </w:pPr>
    </w:p>
    <w:p w14:paraId="4A6EE9D9">
      <w:pPr>
        <w:widowControl/>
        <w:jc w:val="center"/>
        <w:textAlignment w:val="center"/>
        <w:rPr>
          <w:rFonts w:eastAsia="方正小标宋简体"/>
          <w:b/>
          <w:kern w:val="0"/>
          <w:sz w:val="32"/>
          <w:szCs w:val="32"/>
          <w:lang w:bidi="ar"/>
        </w:rPr>
        <w:sectPr>
          <w:pgSz w:w="11906" w:h="16838"/>
          <w:pgMar w:top="1440" w:right="1558" w:bottom="1440" w:left="1800" w:header="851" w:footer="992" w:gutter="0"/>
          <w:cols w:space="425" w:num="1"/>
          <w:docGrid w:type="lines" w:linePitch="312" w:charSpace="0"/>
        </w:sectPr>
      </w:pPr>
    </w:p>
    <w:p w14:paraId="14DCFB65">
      <w:pPr>
        <w:pStyle w:val="2"/>
        <w:ind w:left="0" w:leftChars="0" w:firstLine="0" w:firstLineChars="0"/>
        <w:rPr>
          <w:rFonts w:hint="eastAsia" w:ascii="黑体" w:hAnsi="黑体" w:eastAsia="黑体" w:cs="黑体"/>
          <w:bCs/>
          <w:sz w:val="32"/>
          <w:szCs w:val="32"/>
        </w:rPr>
      </w:pPr>
    </w:p>
    <w:p w14:paraId="28B5A500">
      <w:pPr>
        <w:spacing w:line="600" w:lineRule="exact"/>
        <w:rPr>
          <w:rFonts w:hint="eastAsia" w:ascii="黑体" w:hAnsi="黑体" w:eastAsia="黑体" w:cs="黑体"/>
        </w:rPr>
      </w:pPr>
      <w:r>
        <w:rPr>
          <w:rFonts w:hint="eastAsia" w:ascii="黑体" w:hAnsi="黑体" w:eastAsia="黑体" w:cs="黑体"/>
          <w:bCs/>
          <w:sz w:val="32"/>
          <w:szCs w:val="32"/>
        </w:rPr>
        <w:t>附件1</w:t>
      </w:r>
    </w:p>
    <w:p w14:paraId="4B4005B5">
      <w:pPr>
        <w:pStyle w:val="19"/>
        <w:ind w:firstLine="562"/>
        <w:jc w:val="center"/>
        <w:rPr>
          <w:sz w:val="28"/>
          <w:szCs w:val="40"/>
        </w:rPr>
      </w:pPr>
      <w:bookmarkStart w:id="3" w:name="_Toc30064_WPSOffice_Level1"/>
      <w:bookmarkStart w:id="4" w:name="_Toc26499_WPSOffice_Level2"/>
      <w:r>
        <w:rPr>
          <w:rFonts w:hint="eastAsia"/>
          <w:b/>
          <w:bCs/>
          <w:sz w:val="28"/>
          <w:szCs w:val="40"/>
          <w:highlight w:val="none"/>
          <w:lang w:val="en-US" w:eastAsia="zh-CN"/>
        </w:rPr>
        <w:t>质量安全监督检查费</w:t>
      </w:r>
      <w:r>
        <w:rPr>
          <w:rFonts w:hint="eastAsia"/>
          <w:b/>
          <w:bCs/>
          <w:sz w:val="28"/>
          <w:szCs w:val="40"/>
          <w:highlight w:val="none"/>
        </w:rPr>
        <w:t>项目</w:t>
      </w:r>
      <w:r>
        <w:rPr>
          <w:rFonts w:hint="eastAsia"/>
          <w:b/>
          <w:bCs/>
          <w:sz w:val="28"/>
          <w:szCs w:val="40"/>
        </w:rPr>
        <w:t>绩效评价指标体系及综合评分表</w:t>
      </w:r>
      <w:bookmarkEnd w:id="3"/>
      <w:bookmarkEnd w:id="4"/>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14:paraId="0E742C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14:paraId="409CA512">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14:paraId="272C7D0F">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14:paraId="735E6514">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14:paraId="0A7F8ECC">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14:paraId="7F107DE5">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14:paraId="477F28EA">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14:paraId="04FDE093">
            <w:pPr>
              <w:widowControl/>
              <w:spacing w:line="0" w:lineRule="atLeast"/>
              <w:jc w:val="center"/>
              <w:rPr>
                <w:b/>
                <w:bCs/>
                <w:color w:val="000000"/>
                <w:kern w:val="0"/>
                <w:sz w:val="22"/>
                <w:szCs w:val="22"/>
              </w:rPr>
            </w:pPr>
            <w:r>
              <w:rPr>
                <w:b/>
                <w:bCs/>
                <w:color w:val="000000"/>
                <w:kern w:val="0"/>
                <w:sz w:val="22"/>
                <w:szCs w:val="22"/>
              </w:rPr>
              <w:t>得分</w:t>
            </w:r>
          </w:p>
        </w:tc>
      </w:tr>
      <w:tr w14:paraId="341F5C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14:paraId="49320627">
            <w:pPr>
              <w:widowControl/>
              <w:spacing w:line="0" w:lineRule="atLeast"/>
              <w:jc w:val="center"/>
              <w:rPr>
                <w:color w:val="000000"/>
                <w:kern w:val="0"/>
                <w:sz w:val="22"/>
                <w:szCs w:val="22"/>
                <w:highlight w:val="none"/>
              </w:rPr>
            </w:pPr>
          </w:p>
          <w:p w14:paraId="4AC3D1FC">
            <w:pPr>
              <w:widowControl/>
              <w:spacing w:line="0" w:lineRule="atLeast"/>
              <w:jc w:val="center"/>
              <w:rPr>
                <w:color w:val="000000"/>
                <w:kern w:val="0"/>
                <w:sz w:val="22"/>
                <w:szCs w:val="22"/>
                <w:highlight w:val="none"/>
              </w:rPr>
            </w:pPr>
          </w:p>
          <w:p w14:paraId="177147E1">
            <w:pPr>
              <w:widowControl/>
              <w:spacing w:line="0" w:lineRule="atLeast"/>
              <w:jc w:val="center"/>
              <w:rPr>
                <w:color w:val="000000"/>
                <w:kern w:val="0"/>
                <w:sz w:val="22"/>
                <w:szCs w:val="22"/>
                <w:highlight w:val="none"/>
              </w:rPr>
            </w:pPr>
          </w:p>
          <w:p w14:paraId="05D685B3">
            <w:pPr>
              <w:widowControl/>
              <w:spacing w:line="0" w:lineRule="atLeast"/>
              <w:jc w:val="center"/>
              <w:rPr>
                <w:color w:val="000000"/>
                <w:kern w:val="0"/>
                <w:sz w:val="22"/>
                <w:szCs w:val="22"/>
                <w:highlight w:val="none"/>
              </w:rPr>
            </w:pPr>
          </w:p>
          <w:p w14:paraId="408611E1">
            <w:pPr>
              <w:widowControl/>
              <w:spacing w:line="0" w:lineRule="atLeast"/>
              <w:jc w:val="center"/>
              <w:rPr>
                <w:color w:val="000000"/>
                <w:kern w:val="0"/>
                <w:sz w:val="22"/>
                <w:szCs w:val="22"/>
                <w:highlight w:val="none"/>
              </w:rPr>
            </w:pPr>
          </w:p>
          <w:p w14:paraId="334F8146">
            <w:pPr>
              <w:widowControl/>
              <w:spacing w:line="0" w:lineRule="atLeast"/>
              <w:jc w:val="center"/>
              <w:rPr>
                <w:color w:val="000000"/>
                <w:kern w:val="0"/>
                <w:sz w:val="22"/>
                <w:szCs w:val="22"/>
                <w:highlight w:val="none"/>
              </w:rPr>
            </w:pPr>
          </w:p>
          <w:p w14:paraId="45EC97DA">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764" w:type="dxa"/>
            <w:vMerge w:val="restart"/>
            <w:shd w:val="clear" w:color="auto" w:fill="FFFFFF"/>
            <w:vAlign w:val="center"/>
          </w:tcPr>
          <w:p w14:paraId="3C69CB74">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873" w:type="dxa"/>
            <w:shd w:val="clear" w:color="auto" w:fill="FFFFFF"/>
            <w:vAlign w:val="center"/>
          </w:tcPr>
          <w:p w14:paraId="270EE77F">
            <w:pPr>
              <w:widowControl/>
              <w:spacing w:line="0" w:lineRule="atLeast"/>
              <w:jc w:val="center"/>
              <w:rPr>
                <w:color w:val="000000"/>
                <w:kern w:val="0"/>
                <w:sz w:val="22"/>
                <w:szCs w:val="22"/>
                <w:highlight w:val="none"/>
              </w:rPr>
            </w:pPr>
            <w:r>
              <w:rPr>
                <w:color w:val="000000"/>
                <w:kern w:val="0"/>
                <w:sz w:val="22"/>
                <w:szCs w:val="22"/>
                <w:highlight w:val="none"/>
              </w:rPr>
              <w:t>立项依据</w:t>
            </w:r>
          </w:p>
          <w:p w14:paraId="661D4B03">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2353" w:type="dxa"/>
            <w:shd w:val="clear" w:color="auto" w:fill="FFFFFF"/>
            <w:vAlign w:val="center"/>
          </w:tcPr>
          <w:p w14:paraId="7D5CE6D5">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5198" w:type="dxa"/>
            <w:shd w:val="clear" w:color="auto" w:fill="FFFFFF"/>
            <w:vAlign w:val="center"/>
          </w:tcPr>
          <w:p w14:paraId="408DEB10">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1300" w:type="dxa"/>
            <w:shd w:val="clear" w:color="auto" w:fill="FFFFFF"/>
            <w:vAlign w:val="center"/>
          </w:tcPr>
          <w:p w14:paraId="369A15AF">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14:paraId="0B16D7F2">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4FA89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14:paraId="0CD599E3">
            <w:pPr>
              <w:spacing w:line="0" w:lineRule="atLeast"/>
              <w:jc w:val="center"/>
              <w:rPr>
                <w:color w:val="000000"/>
                <w:kern w:val="0"/>
                <w:sz w:val="22"/>
                <w:szCs w:val="22"/>
                <w:highlight w:val="none"/>
              </w:rPr>
            </w:pPr>
          </w:p>
        </w:tc>
        <w:tc>
          <w:tcPr>
            <w:tcW w:w="764" w:type="dxa"/>
            <w:vMerge w:val="continue"/>
            <w:shd w:val="clear" w:color="auto" w:fill="FFFFFF"/>
            <w:vAlign w:val="center"/>
          </w:tcPr>
          <w:p w14:paraId="6A54AA99">
            <w:pPr>
              <w:widowControl/>
              <w:spacing w:line="0" w:lineRule="atLeast"/>
              <w:jc w:val="center"/>
              <w:rPr>
                <w:color w:val="000000"/>
                <w:kern w:val="0"/>
                <w:sz w:val="22"/>
                <w:szCs w:val="22"/>
                <w:highlight w:val="none"/>
              </w:rPr>
            </w:pPr>
          </w:p>
        </w:tc>
        <w:tc>
          <w:tcPr>
            <w:tcW w:w="873" w:type="dxa"/>
            <w:shd w:val="clear" w:color="auto" w:fill="FFFFFF"/>
            <w:vAlign w:val="center"/>
          </w:tcPr>
          <w:p w14:paraId="2440D4BA">
            <w:pPr>
              <w:widowControl/>
              <w:spacing w:line="0" w:lineRule="atLeast"/>
              <w:jc w:val="center"/>
              <w:rPr>
                <w:color w:val="000000"/>
                <w:kern w:val="0"/>
                <w:sz w:val="22"/>
                <w:szCs w:val="22"/>
                <w:highlight w:val="none"/>
              </w:rPr>
            </w:pPr>
            <w:r>
              <w:rPr>
                <w:color w:val="000000"/>
                <w:kern w:val="0"/>
                <w:sz w:val="22"/>
                <w:szCs w:val="22"/>
                <w:highlight w:val="none"/>
              </w:rPr>
              <w:t>立项程序</w:t>
            </w:r>
          </w:p>
          <w:p w14:paraId="7070F619">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2353" w:type="dxa"/>
            <w:shd w:val="clear" w:color="auto" w:fill="FFFFFF"/>
            <w:vAlign w:val="center"/>
          </w:tcPr>
          <w:p w14:paraId="6053A4E5">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5198" w:type="dxa"/>
            <w:shd w:val="clear" w:color="auto" w:fill="FFFFFF"/>
            <w:vAlign w:val="center"/>
          </w:tcPr>
          <w:p w14:paraId="59649389">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1300" w:type="dxa"/>
            <w:shd w:val="clear" w:color="auto" w:fill="FFFFFF"/>
            <w:vAlign w:val="center"/>
          </w:tcPr>
          <w:p w14:paraId="13CA8C7F">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14:paraId="3360CE41">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36F03D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14:paraId="16BA39A7">
            <w:pPr>
              <w:spacing w:line="0" w:lineRule="atLeast"/>
              <w:jc w:val="center"/>
              <w:rPr>
                <w:color w:val="000000"/>
                <w:kern w:val="0"/>
                <w:sz w:val="22"/>
                <w:szCs w:val="22"/>
                <w:highlight w:val="none"/>
              </w:rPr>
            </w:pPr>
          </w:p>
        </w:tc>
        <w:tc>
          <w:tcPr>
            <w:tcW w:w="764" w:type="dxa"/>
            <w:vMerge w:val="restart"/>
            <w:shd w:val="clear" w:color="auto" w:fill="FFFFFF"/>
            <w:vAlign w:val="center"/>
          </w:tcPr>
          <w:p w14:paraId="76A6DE0B">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873" w:type="dxa"/>
            <w:shd w:val="clear" w:color="auto" w:fill="FFFFFF"/>
            <w:vAlign w:val="center"/>
          </w:tcPr>
          <w:p w14:paraId="23687A87">
            <w:pPr>
              <w:widowControl/>
              <w:spacing w:line="0" w:lineRule="atLeast"/>
              <w:jc w:val="center"/>
              <w:rPr>
                <w:color w:val="000000"/>
                <w:kern w:val="0"/>
                <w:sz w:val="22"/>
                <w:szCs w:val="22"/>
                <w:highlight w:val="none"/>
              </w:rPr>
            </w:pPr>
            <w:r>
              <w:rPr>
                <w:color w:val="000000"/>
                <w:kern w:val="0"/>
                <w:sz w:val="22"/>
                <w:szCs w:val="22"/>
                <w:highlight w:val="none"/>
              </w:rPr>
              <w:t>绩效目标</w:t>
            </w:r>
          </w:p>
          <w:p w14:paraId="2D8936AD">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000000" w:fill="FFFFFF"/>
            <w:vAlign w:val="center"/>
          </w:tcPr>
          <w:p w14:paraId="1A00ED01">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5198" w:type="dxa"/>
            <w:shd w:val="clear" w:color="000000" w:fill="FFFFFF"/>
            <w:vAlign w:val="center"/>
          </w:tcPr>
          <w:p w14:paraId="66C06E5B">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14:paraId="197317D3">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1300" w:type="dxa"/>
            <w:shd w:val="clear" w:color="000000" w:fill="FFFFFF"/>
            <w:vAlign w:val="center"/>
          </w:tcPr>
          <w:p w14:paraId="7B1E50A5">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14:paraId="78A37D90">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02455C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14:paraId="088B2AED">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14:paraId="1F75AC67">
            <w:pPr>
              <w:widowControl/>
              <w:spacing w:line="0" w:lineRule="atLeast"/>
              <w:jc w:val="center"/>
              <w:rPr>
                <w:color w:val="000000"/>
                <w:kern w:val="0"/>
                <w:sz w:val="22"/>
                <w:szCs w:val="22"/>
                <w:highlight w:val="none"/>
              </w:rPr>
            </w:pPr>
          </w:p>
        </w:tc>
        <w:tc>
          <w:tcPr>
            <w:tcW w:w="873" w:type="dxa"/>
            <w:shd w:val="clear" w:color="auto" w:fill="FFFFFF"/>
            <w:vAlign w:val="center"/>
          </w:tcPr>
          <w:p w14:paraId="3B48C442">
            <w:pPr>
              <w:widowControl/>
              <w:spacing w:line="0" w:lineRule="atLeast"/>
              <w:jc w:val="center"/>
              <w:rPr>
                <w:color w:val="000000"/>
                <w:kern w:val="0"/>
                <w:sz w:val="22"/>
                <w:szCs w:val="22"/>
                <w:highlight w:val="none"/>
              </w:rPr>
            </w:pPr>
            <w:r>
              <w:rPr>
                <w:color w:val="000000"/>
                <w:kern w:val="0"/>
                <w:sz w:val="22"/>
                <w:szCs w:val="22"/>
                <w:highlight w:val="none"/>
              </w:rPr>
              <w:t>绩效指标</w:t>
            </w:r>
          </w:p>
          <w:p w14:paraId="607577A4">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2353" w:type="dxa"/>
            <w:shd w:val="clear" w:color="000000" w:fill="FFFFFF"/>
            <w:vAlign w:val="center"/>
          </w:tcPr>
          <w:p w14:paraId="36816376">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5198" w:type="dxa"/>
            <w:shd w:val="clear" w:color="000000" w:fill="FFFFFF"/>
            <w:vAlign w:val="center"/>
          </w:tcPr>
          <w:p w14:paraId="2FBD5FCC">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1300" w:type="dxa"/>
            <w:shd w:val="clear" w:color="000000" w:fill="FFFFFF"/>
            <w:vAlign w:val="center"/>
          </w:tcPr>
          <w:p w14:paraId="09BFD331">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14:paraId="5FE23F6A">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2AE0D3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14:paraId="495B28B4">
            <w:pPr>
              <w:spacing w:line="0" w:lineRule="atLeast"/>
              <w:jc w:val="center"/>
              <w:rPr>
                <w:color w:val="000000"/>
                <w:kern w:val="0"/>
                <w:sz w:val="22"/>
                <w:szCs w:val="22"/>
                <w:highlight w:val="none"/>
              </w:rPr>
            </w:pPr>
          </w:p>
        </w:tc>
        <w:tc>
          <w:tcPr>
            <w:tcW w:w="764" w:type="dxa"/>
            <w:vMerge w:val="restart"/>
            <w:shd w:val="clear" w:color="auto" w:fill="FFFFFF"/>
            <w:vAlign w:val="center"/>
          </w:tcPr>
          <w:p w14:paraId="106C20E8">
            <w:pPr>
              <w:widowControl/>
              <w:spacing w:line="0" w:lineRule="atLeast"/>
              <w:jc w:val="center"/>
              <w:rPr>
                <w:color w:val="000000"/>
                <w:kern w:val="0"/>
                <w:sz w:val="22"/>
                <w:szCs w:val="22"/>
                <w:highlight w:val="none"/>
              </w:rPr>
            </w:pPr>
            <w:r>
              <w:rPr>
                <w:color w:val="000000"/>
                <w:kern w:val="0"/>
                <w:sz w:val="22"/>
                <w:szCs w:val="22"/>
                <w:highlight w:val="none"/>
              </w:rPr>
              <w:t>资金投入</w:t>
            </w:r>
          </w:p>
          <w:p w14:paraId="2D19236B">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14:paraId="5EFC90E3">
            <w:pPr>
              <w:widowControl/>
              <w:spacing w:line="0" w:lineRule="atLeast"/>
              <w:jc w:val="center"/>
              <w:rPr>
                <w:color w:val="000000"/>
                <w:kern w:val="0"/>
                <w:sz w:val="22"/>
                <w:szCs w:val="22"/>
                <w:highlight w:val="none"/>
              </w:rPr>
            </w:pPr>
            <w:r>
              <w:rPr>
                <w:color w:val="000000"/>
                <w:kern w:val="0"/>
                <w:sz w:val="22"/>
                <w:szCs w:val="22"/>
                <w:highlight w:val="none"/>
              </w:rPr>
              <w:t>预算编制</w:t>
            </w:r>
          </w:p>
          <w:p w14:paraId="5D74D4C7">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2353" w:type="dxa"/>
            <w:shd w:val="clear" w:color="auto" w:fill="FFFFFF"/>
            <w:vAlign w:val="center"/>
          </w:tcPr>
          <w:p w14:paraId="06B68729">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14:paraId="380A2407">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1300" w:type="dxa"/>
            <w:shd w:val="clear" w:color="auto" w:fill="FFFFFF"/>
            <w:vAlign w:val="center"/>
          </w:tcPr>
          <w:p w14:paraId="50FE90EA">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14:paraId="3E7A4DBF">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611A33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14:paraId="36B3D49B">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14:paraId="424DCB12">
            <w:pPr>
              <w:widowControl/>
              <w:spacing w:line="0" w:lineRule="atLeast"/>
              <w:jc w:val="center"/>
              <w:rPr>
                <w:color w:val="000000"/>
                <w:kern w:val="0"/>
                <w:sz w:val="22"/>
                <w:szCs w:val="22"/>
                <w:highlight w:val="none"/>
              </w:rPr>
            </w:pPr>
          </w:p>
        </w:tc>
        <w:tc>
          <w:tcPr>
            <w:tcW w:w="873" w:type="dxa"/>
            <w:shd w:val="clear" w:color="auto" w:fill="FFFFFF"/>
            <w:vAlign w:val="center"/>
          </w:tcPr>
          <w:p w14:paraId="39574707">
            <w:pPr>
              <w:widowControl/>
              <w:spacing w:line="0" w:lineRule="atLeast"/>
              <w:jc w:val="center"/>
              <w:rPr>
                <w:color w:val="000000"/>
                <w:kern w:val="0"/>
                <w:sz w:val="22"/>
                <w:szCs w:val="22"/>
                <w:highlight w:val="none"/>
              </w:rPr>
            </w:pPr>
            <w:r>
              <w:rPr>
                <w:color w:val="000000"/>
                <w:kern w:val="0"/>
                <w:sz w:val="22"/>
                <w:szCs w:val="22"/>
                <w:highlight w:val="none"/>
              </w:rPr>
              <w:t>资金分配</w:t>
            </w:r>
          </w:p>
          <w:p w14:paraId="494C7F35">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auto" w:fill="FFFFFF"/>
            <w:vAlign w:val="center"/>
          </w:tcPr>
          <w:p w14:paraId="11725E9C">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14:paraId="6650DAF1">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1300" w:type="dxa"/>
            <w:shd w:val="clear" w:color="auto" w:fill="FFFFFF"/>
            <w:vAlign w:val="center"/>
          </w:tcPr>
          <w:p w14:paraId="01C2F8B5">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14:paraId="7018B422">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39E0C2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14:paraId="15CFF908">
            <w:pPr>
              <w:spacing w:line="0" w:lineRule="atLeast"/>
              <w:jc w:val="center"/>
              <w:rPr>
                <w:color w:val="000000"/>
                <w:kern w:val="0"/>
                <w:sz w:val="22"/>
                <w:szCs w:val="22"/>
                <w:highlight w:val="none"/>
              </w:rPr>
            </w:pPr>
          </w:p>
          <w:p w14:paraId="61842F3B">
            <w:pPr>
              <w:spacing w:line="0" w:lineRule="atLeast"/>
              <w:jc w:val="center"/>
              <w:rPr>
                <w:color w:val="000000"/>
                <w:kern w:val="0"/>
                <w:sz w:val="22"/>
                <w:szCs w:val="22"/>
                <w:highlight w:val="none"/>
              </w:rPr>
            </w:pPr>
          </w:p>
          <w:p w14:paraId="15A357E3">
            <w:pPr>
              <w:spacing w:line="0" w:lineRule="atLeast"/>
              <w:jc w:val="center"/>
              <w:rPr>
                <w:color w:val="000000"/>
                <w:kern w:val="0"/>
                <w:sz w:val="22"/>
                <w:szCs w:val="22"/>
                <w:highlight w:val="none"/>
              </w:rPr>
            </w:pPr>
          </w:p>
          <w:p w14:paraId="108C2213">
            <w:pPr>
              <w:spacing w:line="0" w:lineRule="atLeast"/>
              <w:jc w:val="center"/>
              <w:rPr>
                <w:color w:val="000000"/>
                <w:kern w:val="0"/>
                <w:sz w:val="22"/>
                <w:szCs w:val="22"/>
                <w:highlight w:val="none"/>
              </w:rPr>
            </w:pPr>
          </w:p>
          <w:p w14:paraId="00F1DF85">
            <w:pPr>
              <w:spacing w:line="0" w:lineRule="atLeast"/>
              <w:jc w:val="center"/>
              <w:rPr>
                <w:color w:val="000000"/>
                <w:kern w:val="0"/>
                <w:sz w:val="22"/>
                <w:szCs w:val="22"/>
                <w:highlight w:val="none"/>
              </w:rPr>
            </w:pPr>
          </w:p>
          <w:p w14:paraId="0E1F638F">
            <w:pPr>
              <w:spacing w:line="0" w:lineRule="atLeast"/>
              <w:jc w:val="center"/>
              <w:rPr>
                <w:color w:val="000000"/>
                <w:kern w:val="0"/>
                <w:sz w:val="22"/>
                <w:szCs w:val="22"/>
                <w:highlight w:val="none"/>
              </w:rPr>
            </w:pPr>
          </w:p>
          <w:p w14:paraId="5FB038F0">
            <w:pPr>
              <w:spacing w:line="0" w:lineRule="atLeast"/>
              <w:jc w:val="center"/>
              <w:rPr>
                <w:color w:val="000000"/>
                <w:kern w:val="0"/>
                <w:sz w:val="22"/>
                <w:szCs w:val="22"/>
                <w:highlight w:val="none"/>
              </w:rPr>
            </w:pPr>
          </w:p>
          <w:p w14:paraId="0097870E">
            <w:pPr>
              <w:spacing w:line="0" w:lineRule="atLeast"/>
              <w:jc w:val="center"/>
              <w:rPr>
                <w:color w:val="000000"/>
                <w:kern w:val="0"/>
                <w:sz w:val="22"/>
                <w:szCs w:val="22"/>
                <w:highlight w:val="none"/>
              </w:rPr>
            </w:pPr>
          </w:p>
          <w:p w14:paraId="05657D4F">
            <w:pPr>
              <w:spacing w:line="0" w:lineRule="atLeast"/>
              <w:jc w:val="center"/>
              <w:rPr>
                <w:color w:val="000000"/>
                <w:kern w:val="0"/>
                <w:sz w:val="22"/>
                <w:szCs w:val="22"/>
                <w:highlight w:val="none"/>
              </w:rPr>
            </w:pPr>
          </w:p>
          <w:p w14:paraId="4E257B06">
            <w:pPr>
              <w:spacing w:line="0" w:lineRule="atLeast"/>
              <w:jc w:val="center"/>
              <w:rPr>
                <w:color w:val="000000"/>
                <w:kern w:val="0"/>
                <w:sz w:val="22"/>
                <w:szCs w:val="22"/>
                <w:highlight w:val="none"/>
              </w:rPr>
            </w:pPr>
          </w:p>
          <w:p w14:paraId="2BFF58DB">
            <w:pPr>
              <w:spacing w:line="0" w:lineRule="atLeast"/>
              <w:jc w:val="center"/>
              <w:rPr>
                <w:color w:val="000000"/>
                <w:kern w:val="0"/>
                <w:sz w:val="22"/>
                <w:szCs w:val="22"/>
                <w:highlight w:val="none"/>
              </w:rPr>
            </w:pPr>
          </w:p>
          <w:p w14:paraId="28F439F5">
            <w:pPr>
              <w:spacing w:line="0" w:lineRule="atLeast"/>
              <w:jc w:val="center"/>
              <w:rPr>
                <w:color w:val="000000"/>
                <w:kern w:val="0"/>
                <w:sz w:val="22"/>
                <w:szCs w:val="22"/>
                <w:highlight w:val="none"/>
              </w:rPr>
            </w:pPr>
          </w:p>
          <w:p w14:paraId="1989A301">
            <w:pPr>
              <w:spacing w:line="0" w:lineRule="atLeast"/>
              <w:jc w:val="center"/>
              <w:rPr>
                <w:color w:val="000000"/>
                <w:kern w:val="0"/>
                <w:sz w:val="22"/>
                <w:szCs w:val="22"/>
                <w:highlight w:val="none"/>
              </w:rPr>
            </w:pPr>
          </w:p>
          <w:p w14:paraId="49ECDAB9">
            <w:pPr>
              <w:spacing w:line="0" w:lineRule="atLeast"/>
              <w:jc w:val="center"/>
              <w:rPr>
                <w:color w:val="000000"/>
                <w:kern w:val="0"/>
                <w:sz w:val="22"/>
                <w:szCs w:val="22"/>
                <w:highlight w:val="none"/>
              </w:rPr>
            </w:pPr>
          </w:p>
          <w:p w14:paraId="6612190D">
            <w:pPr>
              <w:spacing w:line="0" w:lineRule="atLeast"/>
              <w:jc w:val="center"/>
              <w:rPr>
                <w:color w:val="000000"/>
                <w:kern w:val="0"/>
                <w:sz w:val="22"/>
                <w:szCs w:val="22"/>
                <w:highlight w:val="none"/>
              </w:rPr>
            </w:pPr>
          </w:p>
          <w:p w14:paraId="05D727CC">
            <w:pPr>
              <w:spacing w:line="0" w:lineRule="atLeast"/>
              <w:jc w:val="center"/>
              <w:rPr>
                <w:color w:val="000000"/>
                <w:kern w:val="0"/>
                <w:sz w:val="22"/>
                <w:szCs w:val="22"/>
                <w:highlight w:val="none"/>
              </w:rPr>
            </w:pPr>
            <w:r>
              <w:rPr>
                <w:color w:val="000000"/>
                <w:kern w:val="0"/>
                <w:sz w:val="22"/>
                <w:szCs w:val="22"/>
                <w:highlight w:val="none"/>
              </w:rPr>
              <w:t>过程</w:t>
            </w:r>
          </w:p>
          <w:p w14:paraId="4AC5464E">
            <w:pPr>
              <w:widowControl/>
              <w:spacing w:line="0" w:lineRule="atLeast"/>
              <w:jc w:val="center"/>
              <w:rPr>
                <w:color w:val="000000"/>
                <w:kern w:val="0"/>
                <w:sz w:val="22"/>
                <w:szCs w:val="22"/>
                <w:highlight w:val="none"/>
              </w:rPr>
            </w:pPr>
            <w:r>
              <w:rPr>
                <w:color w:val="000000"/>
                <w:kern w:val="0"/>
                <w:sz w:val="22"/>
                <w:szCs w:val="22"/>
                <w:highlight w:val="none"/>
              </w:rPr>
              <w:t>　　</w:t>
            </w:r>
          </w:p>
        </w:tc>
        <w:tc>
          <w:tcPr>
            <w:tcW w:w="764" w:type="dxa"/>
            <w:vMerge w:val="restart"/>
            <w:shd w:val="clear" w:color="auto" w:fill="FFFFFF"/>
            <w:vAlign w:val="center"/>
          </w:tcPr>
          <w:p w14:paraId="126D1E62">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14:paraId="21D56F7F">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2353" w:type="dxa"/>
            <w:shd w:val="clear" w:color="000000" w:fill="FFFFFF"/>
            <w:vAlign w:val="center"/>
          </w:tcPr>
          <w:p w14:paraId="420CFB3D">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5198" w:type="dxa"/>
            <w:shd w:val="clear" w:color="000000" w:fill="FFFFFF"/>
            <w:vAlign w:val="center"/>
          </w:tcPr>
          <w:p w14:paraId="5028C511">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14:paraId="1CA4B523">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14:paraId="137B5379">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1300" w:type="dxa"/>
            <w:shd w:val="clear" w:color="000000" w:fill="FFFFFF"/>
            <w:vAlign w:val="center"/>
          </w:tcPr>
          <w:p w14:paraId="22CB7475">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14:paraId="76819B47">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4B89D7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14:paraId="4DBBCE94">
            <w:pPr>
              <w:spacing w:line="0" w:lineRule="atLeast"/>
              <w:jc w:val="center"/>
              <w:rPr>
                <w:color w:val="000000"/>
                <w:kern w:val="0"/>
                <w:sz w:val="22"/>
                <w:szCs w:val="22"/>
                <w:highlight w:val="none"/>
              </w:rPr>
            </w:pPr>
          </w:p>
        </w:tc>
        <w:tc>
          <w:tcPr>
            <w:tcW w:w="764" w:type="dxa"/>
            <w:vMerge w:val="continue"/>
            <w:shd w:val="clear" w:color="auto" w:fill="FFFFFF"/>
            <w:vAlign w:val="center"/>
          </w:tcPr>
          <w:p w14:paraId="4CC9FABB">
            <w:pPr>
              <w:spacing w:line="0" w:lineRule="atLeast"/>
              <w:jc w:val="center"/>
              <w:rPr>
                <w:color w:val="000000"/>
                <w:kern w:val="0"/>
                <w:sz w:val="22"/>
                <w:szCs w:val="22"/>
                <w:highlight w:val="none"/>
              </w:rPr>
            </w:pPr>
          </w:p>
        </w:tc>
        <w:tc>
          <w:tcPr>
            <w:tcW w:w="873" w:type="dxa"/>
            <w:shd w:val="clear" w:color="auto" w:fill="FFFFFF"/>
            <w:vAlign w:val="center"/>
          </w:tcPr>
          <w:p w14:paraId="7AAD7E08">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2353" w:type="dxa"/>
            <w:shd w:val="clear" w:color="auto" w:fill="FFFFFF"/>
            <w:vAlign w:val="center"/>
          </w:tcPr>
          <w:p w14:paraId="5D5F8926">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5198" w:type="dxa"/>
            <w:shd w:val="clear" w:color="auto" w:fill="FFFFFF"/>
            <w:vAlign w:val="center"/>
          </w:tcPr>
          <w:p w14:paraId="1C7589C1">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1300" w:type="dxa"/>
            <w:shd w:val="clear" w:color="auto" w:fill="FFFFFF"/>
            <w:vAlign w:val="center"/>
          </w:tcPr>
          <w:p w14:paraId="420688A6">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14:paraId="7CFB5F36">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6BAFD2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14:paraId="57CFAE96">
            <w:pPr>
              <w:spacing w:line="0" w:lineRule="atLeast"/>
              <w:jc w:val="center"/>
              <w:rPr>
                <w:color w:val="000000"/>
                <w:kern w:val="0"/>
                <w:sz w:val="22"/>
                <w:szCs w:val="22"/>
                <w:highlight w:val="none"/>
              </w:rPr>
            </w:pPr>
          </w:p>
        </w:tc>
        <w:tc>
          <w:tcPr>
            <w:tcW w:w="764" w:type="dxa"/>
            <w:shd w:val="clear" w:color="auto" w:fill="FFFFFF"/>
            <w:vAlign w:val="center"/>
          </w:tcPr>
          <w:p w14:paraId="64EE5A73">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14:paraId="0E5A3580">
            <w:pPr>
              <w:widowControl/>
              <w:spacing w:line="0" w:lineRule="atLeast"/>
              <w:jc w:val="center"/>
              <w:rPr>
                <w:color w:val="000000"/>
                <w:kern w:val="0"/>
                <w:sz w:val="22"/>
                <w:szCs w:val="22"/>
                <w:highlight w:val="none"/>
              </w:rPr>
            </w:pPr>
            <w:r>
              <w:rPr>
                <w:color w:val="000000"/>
                <w:kern w:val="0"/>
                <w:sz w:val="22"/>
                <w:szCs w:val="22"/>
                <w:highlight w:val="none"/>
              </w:rPr>
              <w:t>资金使用</w:t>
            </w:r>
          </w:p>
          <w:p w14:paraId="7FC906D8">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2353" w:type="dxa"/>
            <w:shd w:val="clear" w:color="000000" w:fill="FFFFFF"/>
            <w:vAlign w:val="center"/>
          </w:tcPr>
          <w:p w14:paraId="5D28F6FE">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5198" w:type="dxa"/>
            <w:shd w:val="clear" w:color="000000" w:fill="FFFFFF"/>
            <w:vAlign w:val="center"/>
          </w:tcPr>
          <w:p w14:paraId="74C949C2">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1300" w:type="dxa"/>
            <w:shd w:val="clear" w:color="000000" w:fill="FFFFFF"/>
            <w:vAlign w:val="center"/>
          </w:tcPr>
          <w:p w14:paraId="3BCA4EA8">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14:paraId="57E8A706">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13317F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14:paraId="3873B07E">
            <w:pPr>
              <w:spacing w:line="0" w:lineRule="atLeast"/>
              <w:jc w:val="center"/>
              <w:rPr>
                <w:color w:val="000000"/>
                <w:kern w:val="0"/>
                <w:sz w:val="22"/>
                <w:szCs w:val="22"/>
                <w:highlight w:val="none"/>
              </w:rPr>
            </w:pPr>
          </w:p>
        </w:tc>
        <w:tc>
          <w:tcPr>
            <w:tcW w:w="764" w:type="dxa"/>
            <w:vMerge w:val="restart"/>
            <w:shd w:val="clear" w:color="auto" w:fill="FFFFFF"/>
            <w:vAlign w:val="center"/>
          </w:tcPr>
          <w:p w14:paraId="3BD27039">
            <w:pPr>
              <w:widowControl/>
              <w:spacing w:line="0" w:lineRule="atLeast"/>
              <w:jc w:val="center"/>
              <w:rPr>
                <w:color w:val="000000"/>
                <w:kern w:val="0"/>
                <w:sz w:val="22"/>
                <w:szCs w:val="22"/>
                <w:highlight w:val="none"/>
              </w:rPr>
            </w:pPr>
            <w:r>
              <w:rPr>
                <w:color w:val="000000"/>
                <w:kern w:val="0"/>
                <w:sz w:val="22"/>
                <w:szCs w:val="22"/>
                <w:highlight w:val="none"/>
              </w:rPr>
              <w:t>组织实施</w:t>
            </w:r>
          </w:p>
          <w:p w14:paraId="7D1CC27E">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14:paraId="7DD17AB9">
            <w:pPr>
              <w:widowControl/>
              <w:spacing w:line="0" w:lineRule="atLeast"/>
              <w:jc w:val="center"/>
              <w:rPr>
                <w:color w:val="000000"/>
                <w:kern w:val="0"/>
                <w:sz w:val="22"/>
                <w:szCs w:val="22"/>
                <w:highlight w:val="none"/>
              </w:rPr>
            </w:pPr>
            <w:r>
              <w:rPr>
                <w:color w:val="000000"/>
                <w:kern w:val="0"/>
                <w:sz w:val="22"/>
                <w:szCs w:val="22"/>
                <w:highlight w:val="none"/>
              </w:rPr>
              <w:t>管理制度</w:t>
            </w:r>
          </w:p>
          <w:p w14:paraId="2731691F">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2353" w:type="dxa"/>
            <w:shd w:val="clear" w:color="000000" w:fill="FFFFFF"/>
            <w:vAlign w:val="center"/>
          </w:tcPr>
          <w:p w14:paraId="73A81A4E">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5198" w:type="dxa"/>
            <w:shd w:val="clear" w:color="000000" w:fill="FFFFFF"/>
            <w:vAlign w:val="center"/>
          </w:tcPr>
          <w:p w14:paraId="2D485C39">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1300" w:type="dxa"/>
            <w:shd w:val="clear" w:color="000000" w:fill="FFFFFF"/>
            <w:vAlign w:val="center"/>
          </w:tcPr>
          <w:p w14:paraId="5A4C5B1D">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14:paraId="41C97578">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1A4DD2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14:paraId="74026384">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14:paraId="6B25A592">
            <w:pPr>
              <w:widowControl/>
              <w:spacing w:line="0" w:lineRule="atLeast"/>
              <w:jc w:val="center"/>
              <w:rPr>
                <w:color w:val="000000"/>
                <w:kern w:val="0"/>
                <w:sz w:val="22"/>
                <w:szCs w:val="22"/>
                <w:highlight w:val="none"/>
              </w:rPr>
            </w:pPr>
          </w:p>
        </w:tc>
        <w:tc>
          <w:tcPr>
            <w:tcW w:w="873" w:type="dxa"/>
            <w:shd w:val="clear" w:color="auto" w:fill="FFFFFF"/>
            <w:vAlign w:val="center"/>
          </w:tcPr>
          <w:p w14:paraId="3EEDB256">
            <w:pPr>
              <w:widowControl/>
              <w:spacing w:line="0" w:lineRule="atLeast"/>
              <w:jc w:val="center"/>
              <w:rPr>
                <w:color w:val="000000"/>
                <w:kern w:val="0"/>
                <w:sz w:val="22"/>
                <w:szCs w:val="22"/>
                <w:highlight w:val="none"/>
              </w:rPr>
            </w:pPr>
            <w:r>
              <w:rPr>
                <w:color w:val="000000"/>
                <w:kern w:val="0"/>
                <w:sz w:val="22"/>
                <w:szCs w:val="22"/>
                <w:highlight w:val="none"/>
              </w:rPr>
              <w:t>制度执行</w:t>
            </w:r>
          </w:p>
          <w:p w14:paraId="0155356C">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2353" w:type="dxa"/>
            <w:shd w:val="clear" w:color="000000" w:fill="FFFFFF"/>
            <w:vAlign w:val="center"/>
          </w:tcPr>
          <w:p w14:paraId="48280A93">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5198" w:type="dxa"/>
            <w:shd w:val="clear" w:color="000000" w:fill="FFFFFF"/>
            <w:vAlign w:val="center"/>
          </w:tcPr>
          <w:p w14:paraId="2DEB70F4">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1300" w:type="dxa"/>
            <w:shd w:val="clear" w:color="000000" w:fill="FFFFFF"/>
            <w:vAlign w:val="center"/>
          </w:tcPr>
          <w:p w14:paraId="68BE81C9">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14:paraId="4B89ED4D">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5E1E87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14:paraId="0E110689">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764" w:type="dxa"/>
            <w:shd w:val="clear" w:color="auto" w:fill="FFFFFF"/>
            <w:vAlign w:val="center"/>
          </w:tcPr>
          <w:p w14:paraId="019F603E">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873" w:type="dxa"/>
            <w:shd w:val="clear" w:color="auto" w:fill="FFFFFF"/>
            <w:vAlign w:val="center"/>
          </w:tcPr>
          <w:p w14:paraId="5AF34912">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2353" w:type="dxa"/>
            <w:shd w:val="clear" w:color="000000" w:fill="FFFFFF"/>
            <w:vAlign w:val="center"/>
          </w:tcPr>
          <w:p w14:paraId="527448C7">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5198" w:type="dxa"/>
            <w:shd w:val="clear" w:color="000000" w:fill="FFFFFF"/>
            <w:vAlign w:val="center"/>
          </w:tcPr>
          <w:p w14:paraId="6827C70D">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14:paraId="4EB48DA6">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1EDE94DF">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11AED0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14:paraId="0A2D210A">
            <w:pPr>
              <w:widowControl/>
              <w:spacing w:line="0" w:lineRule="atLeast"/>
              <w:jc w:val="center"/>
              <w:rPr>
                <w:color w:val="000000"/>
                <w:kern w:val="0"/>
                <w:sz w:val="22"/>
                <w:szCs w:val="22"/>
                <w:highlight w:val="none"/>
              </w:rPr>
            </w:pPr>
          </w:p>
        </w:tc>
        <w:tc>
          <w:tcPr>
            <w:tcW w:w="764" w:type="dxa"/>
            <w:shd w:val="clear" w:color="auto" w:fill="FFFFFF"/>
            <w:vAlign w:val="center"/>
          </w:tcPr>
          <w:p w14:paraId="60A0CEF2">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873" w:type="dxa"/>
            <w:shd w:val="clear" w:color="auto" w:fill="FFFFFF"/>
            <w:vAlign w:val="center"/>
          </w:tcPr>
          <w:p w14:paraId="75076D2F">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2353" w:type="dxa"/>
            <w:shd w:val="clear" w:color="000000" w:fill="FFFFFF"/>
            <w:vAlign w:val="center"/>
          </w:tcPr>
          <w:p w14:paraId="153CC1A4">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5198" w:type="dxa"/>
            <w:shd w:val="clear" w:color="000000" w:fill="FFFFFF"/>
            <w:vAlign w:val="center"/>
          </w:tcPr>
          <w:p w14:paraId="23A84428">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14:paraId="4A400B1B">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14:paraId="7547DFA1">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47E68B11">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18C515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14:paraId="49115421">
            <w:pPr>
              <w:spacing w:line="0" w:lineRule="atLeast"/>
              <w:jc w:val="center"/>
              <w:rPr>
                <w:color w:val="000000"/>
                <w:kern w:val="0"/>
                <w:sz w:val="22"/>
                <w:szCs w:val="22"/>
                <w:highlight w:val="none"/>
              </w:rPr>
            </w:pPr>
          </w:p>
        </w:tc>
        <w:tc>
          <w:tcPr>
            <w:tcW w:w="764" w:type="dxa"/>
            <w:shd w:val="clear" w:color="auto" w:fill="FFFFFF"/>
            <w:vAlign w:val="center"/>
          </w:tcPr>
          <w:p w14:paraId="1B3BFF0B">
            <w:pPr>
              <w:spacing w:line="0" w:lineRule="atLeast"/>
              <w:jc w:val="center"/>
              <w:rPr>
                <w:color w:val="000000"/>
                <w:kern w:val="0"/>
                <w:sz w:val="22"/>
                <w:szCs w:val="22"/>
                <w:highlight w:val="none"/>
              </w:rPr>
            </w:pPr>
            <w:r>
              <w:rPr>
                <w:color w:val="000000"/>
                <w:kern w:val="0"/>
                <w:sz w:val="22"/>
                <w:szCs w:val="22"/>
                <w:highlight w:val="none"/>
              </w:rPr>
              <w:t>产出时效</w:t>
            </w:r>
          </w:p>
        </w:tc>
        <w:tc>
          <w:tcPr>
            <w:tcW w:w="873" w:type="dxa"/>
            <w:shd w:val="clear" w:color="auto" w:fill="FFFFFF"/>
            <w:vAlign w:val="center"/>
          </w:tcPr>
          <w:p w14:paraId="3DB2ADB3">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2353" w:type="dxa"/>
            <w:shd w:val="clear" w:color="000000" w:fill="FFFFFF"/>
            <w:vAlign w:val="center"/>
          </w:tcPr>
          <w:p w14:paraId="5028234A">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5198" w:type="dxa"/>
            <w:shd w:val="clear" w:color="000000" w:fill="FFFFFF"/>
            <w:vAlign w:val="center"/>
          </w:tcPr>
          <w:p w14:paraId="186236E9">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1300" w:type="dxa"/>
            <w:shd w:val="clear" w:color="000000" w:fill="FFFFFF"/>
            <w:vAlign w:val="center"/>
          </w:tcPr>
          <w:p w14:paraId="7F12195A">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0B3794B6">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556882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14:paraId="2C837E46">
            <w:pPr>
              <w:widowControl/>
              <w:spacing w:line="0" w:lineRule="atLeast"/>
              <w:jc w:val="center"/>
              <w:rPr>
                <w:color w:val="000000"/>
                <w:kern w:val="0"/>
                <w:sz w:val="22"/>
                <w:szCs w:val="22"/>
                <w:highlight w:val="none"/>
              </w:rPr>
            </w:pPr>
          </w:p>
        </w:tc>
        <w:tc>
          <w:tcPr>
            <w:tcW w:w="764" w:type="dxa"/>
            <w:shd w:val="clear" w:color="auto" w:fill="FFFFFF"/>
            <w:vAlign w:val="center"/>
          </w:tcPr>
          <w:p w14:paraId="4BD78DC8">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873" w:type="dxa"/>
            <w:shd w:val="clear" w:color="auto" w:fill="FFFFFF"/>
            <w:vAlign w:val="center"/>
          </w:tcPr>
          <w:p w14:paraId="587B42FB">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2353" w:type="dxa"/>
            <w:shd w:val="clear" w:color="000000" w:fill="FFFFFF"/>
            <w:vAlign w:val="center"/>
          </w:tcPr>
          <w:p w14:paraId="1440ABDA">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5198" w:type="dxa"/>
            <w:shd w:val="clear" w:color="000000" w:fill="FFFFFF"/>
            <w:vAlign w:val="center"/>
          </w:tcPr>
          <w:p w14:paraId="5D1A04A2">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1300" w:type="dxa"/>
            <w:shd w:val="clear" w:color="000000" w:fill="FFFFFF"/>
            <w:vAlign w:val="center"/>
          </w:tcPr>
          <w:p w14:paraId="0E7AA7C3">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55659932">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3118C9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14:paraId="2D451940">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764" w:type="dxa"/>
            <w:vMerge w:val="restart"/>
            <w:shd w:val="clear" w:color="auto" w:fill="FFFFFF"/>
            <w:vAlign w:val="center"/>
          </w:tcPr>
          <w:p w14:paraId="5BA36231">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873" w:type="dxa"/>
            <w:shd w:val="clear" w:color="auto" w:fill="FFFFFF"/>
            <w:vAlign w:val="center"/>
          </w:tcPr>
          <w:p w14:paraId="1E7DA311">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2353" w:type="dxa"/>
            <w:shd w:val="clear" w:color="auto" w:fill="FFFFFF"/>
            <w:vAlign w:val="center"/>
          </w:tcPr>
          <w:p w14:paraId="7A9CC298">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5198" w:type="dxa"/>
            <w:shd w:val="clear" w:color="auto" w:fill="FFFFFF"/>
            <w:vAlign w:val="center"/>
          </w:tcPr>
          <w:p w14:paraId="3F73B342">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14:paraId="6BE2A672">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auto" w:fill="FFFFFF"/>
            <w:vAlign w:val="center"/>
          </w:tcPr>
          <w:p w14:paraId="0222E0BE">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45FF02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14:paraId="21A4B9AF">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14:paraId="697B8DB1">
            <w:pPr>
              <w:widowControl/>
              <w:spacing w:line="0" w:lineRule="atLeast"/>
              <w:jc w:val="center"/>
              <w:rPr>
                <w:color w:val="000000"/>
                <w:kern w:val="0"/>
                <w:sz w:val="22"/>
                <w:szCs w:val="22"/>
                <w:highlight w:val="none"/>
              </w:rPr>
            </w:pPr>
          </w:p>
        </w:tc>
        <w:tc>
          <w:tcPr>
            <w:tcW w:w="873" w:type="dxa"/>
            <w:shd w:val="clear" w:color="auto" w:fill="FFFFFF"/>
            <w:vAlign w:val="center"/>
          </w:tcPr>
          <w:p w14:paraId="7DAC3BE4">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2353" w:type="dxa"/>
            <w:shd w:val="clear" w:color="000000" w:fill="FFFFFF"/>
            <w:vAlign w:val="center"/>
          </w:tcPr>
          <w:p w14:paraId="694D1BB2">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5198" w:type="dxa"/>
            <w:shd w:val="clear" w:color="000000" w:fill="FFFFFF"/>
            <w:vAlign w:val="center"/>
          </w:tcPr>
          <w:p w14:paraId="089FCF76">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14:paraId="3E53AE21">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626B46E9">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14:paraId="23038173">
      <w:pPr>
        <w:rPr>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1505A7D-9762-4417-B306-15AFB7DB56A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95BFED12-DF2D-44D2-A36B-8B76CDAEB398}"/>
  </w:font>
  <w:font w:name="华文中宋">
    <w:panose1 w:val="02010600040101010101"/>
    <w:charset w:val="86"/>
    <w:family w:val="auto"/>
    <w:pitch w:val="default"/>
    <w:sig w:usb0="00000287" w:usb1="080F0000" w:usb2="00000000" w:usb3="00000000" w:csb0="0004009F" w:csb1="DFD70000"/>
    <w:embedRegular r:id="rId3" w:fontKey="{A3531E34-42C8-4FD3-B7E3-629B9BA1BB9D}"/>
  </w:font>
  <w:font w:name="方正小标宋_GBK">
    <w:panose1 w:val="02000000000000000000"/>
    <w:charset w:val="86"/>
    <w:family w:val="script"/>
    <w:pitch w:val="default"/>
    <w:sig w:usb0="00000001" w:usb1="080E0000" w:usb2="00000000" w:usb3="00000000" w:csb0="00040000" w:csb1="00000000"/>
    <w:embedRegular r:id="rId4" w:fontKey="{49CADEDB-149F-4F10-B598-5A5B6A17946B}"/>
  </w:font>
  <w:font w:name="楷体_GB2312">
    <w:panose1 w:val="02010609030101010101"/>
    <w:charset w:val="86"/>
    <w:family w:val="auto"/>
    <w:pitch w:val="default"/>
    <w:sig w:usb0="00000001" w:usb1="080E0000" w:usb2="00000000" w:usb3="00000000" w:csb0="00040000" w:csb1="00000000"/>
    <w:embedRegular r:id="rId5" w:fontKey="{D14593FB-E22E-49FA-B279-6D7FA5B3CCE5}"/>
  </w:font>
  <w:font w:name="仿宋">
    <w:panose1 w:val="02010609060101010101"/>
    <w:charset w:val="86"/>
    <w:family w:val="modern"/>
    <w:pitch w:val="default"/>
    <w:sig w:usb0="800002BF" w:usb1="38CF7CFA" w:usb2="00000016" w:usb3="00000000" w:csb0="00040001" w:csb1="00000000"/>
    <w:embedRegular r:id="rId6" w:fontKey="{74D1FBC9-8C67-4283-8E75-4C858BB389F8}"/>
  </w:font>
  <w:font w:name="方正仿宋_GBK">
    <w:panose1 w:val="02000000000000000000"/>
    <w:charset w:val="86"/>
    <w:family w:val="auto"/>
    <w:pitch w:val="default"/>
    <w:sig w:usb0="A00002BF" w:usb1="38CF7CFA" w:usb2="00082016" w:usb3="00000000" w:csb0="00040001" w:csb1="00000000"/>
    <w:embedRegular r:id="rId7" w:fontKey="{900813A2-7AD2-412F-A337-E76C8E7AF42E}"/>
  </w:font>
  <w:font w:name="楷体">
    <w:panose1 w:val="02010609060101010101"/>
    <w:charset w:val="86"/>
    <w:family w:val="modern"/>
    <w:pitch w:val="default"/>
    <w:sig w:usb0="800002BF" w:usb1="38CF7CFA" w:usb2="00000016" w:usb3="00000000" w:csb0="00040001" w:csb1="00000000"/>
    <w:embedRegular r:id="rId8" w:fontKey="{8660680A-52BB-4803-A380-E116DF640F67}"/>
  </w:font>
  <w:font w:name="方正小标宋简体">
    <w:panose1 w:val="02000000000000000000"/>
    <w:charset w:val="86"/>
    <w:family w:val="auto"/>
    <w:pitch w:val="default"/>
    <w:sig w:usb0="00000001" w:usb1="080E0000" w:usb2="00000000" w:usb3="00000000" w:csb0="00040000" w:csb1="00000000"/>
    <w:embedRegular r:id="rId9" w:fontKey="{35C77AB8-CF32-4EEB-BFDC-EB0FF600AE5E}"/>
  </w:font>
  <w:font w:name="WPSEMBED1">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0AD3240">
        <w:pPr>
          <w:pStyle w:val="8"/>
          <w:jc w:val="center"/>
        </w:pPr>
        <w:r>
          <w:fldChar w:fldCharType="begin"/>
        </w:r>
        <w:r>
          <w:instrText xml:space="preserve">PAGE   \* MERGEFORMAT</w:instrText>
        </w:r>
        <w:r>
          <w:fldChar w:fldCharType="separate"/>
        </w:r>
        <w:r>
          <w:rPr>
            <w:lang w:val="zh-CN"/>
          </w:rPr>
          <w:t>13</w:t>
        </w:r>
        <w:r>
          <w:fldChar w:fldCharType="end"/>
        </w:r>
      </w:p>
    </w:sdtContent>
  </w:sdt>
  <w:p w14:paraId="527B345A">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FF6C4049"/>
    <w:rsid w:val="006F7242"/>
    <w:rsid w:val="007B168A"/>
    <w:rsid w:val="008B2CFE"/>
    <w:rsid w:val="00F26FF6"/>
    <w:rsid w:val="01695955"/>
    <w:rsid w:val="021D65F0"/>
    <w:rsid w:val="04BC766F"/>
    <w:rsid w:val="05410997"/>
    <w:rsid w:val="06CC1584"/>
    <w:rsid w:val="07397B77"/>
    <w:rsid w:val="0F781459"/>
    <w:rsid w:val="13471461"/>
    <w:rsid w:val="13B90F01"/>
    <w:rsid w:val="16183EBF"/>
    <w:rsid w:val="17E3583E"/>
    <w:rsid w:val="181066D2"/>
    <w:rsid w:val="19FB0CBC"/>
    <w:rsid w:val="1C671E73"/>
    <w:rsid w:val="1D1360CD"/>
    <w:rsid w:val="38CA40DD"/>
    <w:rsid w:val="395F2B56"/>
    <w:rsid w:val="3B4C2A9E"/>
    <w:rsid w:val="3B536163"/>
    <w:rsid w:val="3BECE841"/>
    <w:rsid w:val="3EDA3A0A"/>
    <w:rsid w:val="3FF7797D"/>
    <w:rsid w:val="42A33B1C"/>
    <w:rsid w:val="46680B02"/>
    <w:rsid w:val="468E3747"/>
    <w:rsid w:val="51B55B99"/>
    <w:rsid w:val="52A43BE4"/>
    <w:rsid w:val="589E6E07"/>
    <w:rsid w:val="5BFF6039"/>
    <w:rsid w:val="5CED00B3"/>
    <w:rsid w:val="5D76A616"/>
    <w:rsid w:val="5D7F20B9"/>
    <w:rsid w:val="5DAC7D0E"/>
    <w:rsid w:val="5F98B5AF"/>
    <w:rsid w:val="5FFE8511"/>
    <w:rsid w:val="5FFEACE2"/>
    <w:rsid w:val="643EE26D"/>
    <w:rsid w:val="6D793547"/>
    <w:rsid w:val="6F5C41AC"/>
    <w:rsid w:val="6FAF6C78"/>
    <w:rsid w:val="7317C656"/>
    <w:rsid w:val="734ED73F"/>
    <w:rsid w:val="77400C32"/>
    <w:rsid w:val="77FD8BE9"/>
    <w:rsid w:val="79A9BD3F"/>
    <w:rsid w:val="7BFFFDD0"/>
    <w:rsid w:val="7C336E5F"/>
    <w:rsid w:val="7D7A5F8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rPr>
      <w:rFonts w:ascii="Calibri" w:hAnsi="Calibri"/>
    </w:rPr>
  </w:style>
  <w:style w:type="paragraph" w:styleId="5">
    <w:name w:val="annotation text"/>
    <w:basedOn w:val="1"/>
    <w:link w:val="22"/>
    <w:qFormat/>
    <w:uiPriority w:val="0"/>
    <w:pPr>
      <w:jc w:val="left"/>
    </w:pPr>
  </w:style>
  <w:style w:type="paragraph" w:styleId="6">
    <w:name w:val="Body Text"/>
    <w:basedOn w:val="1"/>
    <w:qFormat/>
    <w:uiPriority w:val="0"/>
    <w:pPr>
      <w:spacing w:after="120"/>
    </w:p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rPr>
      <w:sz w:val="24"/>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5"/>
    <w:next w:val="5"/>
    <w:link w:val="23"/>
    <w:qFormat/>
    <w:uiPriority w:val="0"/>
    <w:rPr>
      <w:b/>
      <w:bCs/>
    </w:rPr>
  </w:style>
  <w:style w:type="paragraph" w:styleId="13">
    <w:name w:val="Body Text First Indent"/>
    <w:basedOn w:val="6"/>
    <w:qFormat/>
    <w:uiPriority w:val="0"/>
    <w:pPr>
      <w:spacing w:after="0"/>
      <w:ind w:firstLine="20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7"/>
    <w:qFormat/>
    <w:uiPriority w:val="0"/>
    <w:rPr>
      <w:rFonts w:ascii="Times New Roman" w:hAnsi="Times New Roman" w:eastAsia="宋体" w:cs="Times New Roman"/>
      <w:kern w:val="2"/>
      <w:sz w:val="18"/>
      <w:szCs w:val="18"/>
    </w:rPr>
  </w:style>
  <w:style w:type="character" w:customStyle="1" w:styleId="21">
    <w:name w:val="页眉 字符"/>
    <w:basedOn w:val="15"/>
    <w:link w:val="9"/>
    <w:qFormat/>
    <w:uiPriority w:val="0"/>
    <w:rPr>
      <w:rFonts w:ascii="Times New Roman" w:hAnsi="Times New Roman" w:eastAsia="宋体" w:cs="Times New Roman"/>
      <w:kern w:val="2"/>
      <w:sz w:val="18"/>
      <w:szCs w:val="18"/>
    </w:rPr>
  </w:style>
  <w:style w:type="character" w:customStyle="1" w:styleId="22">
    <w:name w:val="批注文字 字符"/>
    <w:basedOn w:val="15"/>
    <w:link w:val="5"/>
    <w:qFormat/>
    <w:uiPriority w:val="0"/>
    <w:rPr>
      <w:rFonts w:ascii="Times New Roman" w:hAnsi="Times New Roman" w:eastAsia="宋体" w:cs="Times New Roman"/>
      <w:kern w:val="2"/>
      <w:sz w:val="21"/>
      <w:szCs w:val="24"/>
    </w:rPr>
  </w:style>
  <w:style w:type="character" w:customStyle="1" w:styleId="23">
    <w:name w:val="批注主题 字符"/>
    <w:basedOn w:val="22"/>
    <w:link w:val="12"/>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22</Pages>
  <Words>9649</Words>
  <Characters>9929</Characters>
  <Lines>58</Lines>
  <Paragraphs>16</Paragraphs>
  <TotalTime>15</TotalTime>
  <ScaleCrop>false</ScaleCrop>
  <LinksUpToDate>false</LinksUpToDate>
  <CharactersWithSpaces>9946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久溺深海</cp:lastModifiedBy>
  <dcterms:modified xsi:type="dcterms:W3CDTF">2026-03-12T09:14:25Z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292FDA5D28EE4A7E8ABFF775F74ACA6D_13</vt:lpwstr>
  </property>
  <property fmtid="{D5CDD505-2E9C-101B-9397-08002B2CF9AE}" pid="4" name="KSOTemplateDocerSaveRecord">
    <vt:lpwstr>eyJoZGlkIjoiNmZkMjYyYzAxYjhmOGVmYjRhNDdiNWU4MjMwYTAyNjgiLCJ1c2VySWQiOiIyNTIzNDE3MTMifQ==</vt:lpwstr>
  </property>
</Properties>
</file>