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新疆维吾尔自治区工业和信息化厅机关</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服务中心</w:t>
      </w:r>
      <w:r>
        <w:rPr>
          <w:rFonts w:hint="eastAsia" w:ascii="方正小标宋_GBK" w:hAnsi="宋体" w:eastAsia="方正小标宋_GBK"/>
          <w:sz w:val="44"/>
          <w:szCs w:val="44"/>
          <w:highlight w:val="none"/>
          <w:lang w:eastAsia="zh-CN"/>
        </w:rPr>
        <w:t>2023年度</w:t>
      </w:r>
      <w:r>
        <w:rPr>
          <w:rFonts w:hint="eastAsia" w:ascii="方正小标宋_GBK" w:hAnsi="宋体" w:eastAsia="方正小标宋_GBK"/>
          <w:sz w:val="44"/>
          <w:szCs w:val="44"/>
          <w:highlight w:val="none"/>
        </w:rPr>
        <w:t>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 xml:space="preserve">第一部分 </w:t>
      </w:r>
      <w:r>
        <w:rPr>
          <w:rFonts w:hint="eastAsia" w:ascii="仿宋_GB2312" w:hAnsi="仿宋_GB2312" w:eastAsia="仿宋_GB2312" w:cs="仿宋_GB2312"/>
          <w:b/>
          <w:bCs/>
          <w:sz w:val="32"/>
          <w:szCs w:val="32"/>
          <w:highlight w:val="none"/>
          <w:lang w:eastAsia="zh-CN"/>
        </w:rPr>
        <w:t>单位</w:t>
      </w:r>
      <w:r>
        <w:rPr>
          <w:rFonts w:hint="eastAsia" w:ascii="仿宋_GB2312" w:hAnsi="仿宋_GB2312" w:eastAsia="仿宋_GB2312" w:cs="仿宋_GB2312"/>
          <w:b/>
          <w:bCs/>
          <w:sz w:val="32"/>
          <w:szCs w:val="32"/>
          <w:highlight w:val="none"/>
        </w:rPr>
        <w:t>概况</w:t>
      </w:r>
      <w:r>
        <w:rPr>
          <w:rFonts w:hint="eastAsia" w:ascii="仿宋_GB2312" w:hAnsi="仿宋_GB2312" w:eastAsia="仿宋_GB2312" w:cs="仿宋_GB2312"/>
          <w:b/>
          <w:bCs/>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highlight w:val="none"/>
        </w:rPr>
      </w:pPr>
      <w:r>
        <w:rPr>
          <w:rFonts w:hint="eastAsia" w:ascii="仿宋_GB2312" w:hAnsi="仿宋_GB2312" w:eastAsia="仿宋_GB2312" w:cs="仿宋_GB2312"/>
          <w:sz w:val="32"/>
          <w:szCs w:val="32"/>
          <w:highlight w:val="none"/>
        </w:rPr>
        <w:fldChar w:fldCharType="end"/>
      </w:r>
    </w:p>
    <w:p>
      <w:pPr>
        <w:rPr>
          <w:rFonts w:hint="eastAsia" w:ascii="仿宋_GB2312" w:eastAsia="仿宋_GB2312"/>
          <w:sz w:val="32"/>
          <w:szCs w:val="32"/>
          <w:highlight w:val="none"/>
        </w:rPr>
      </w:pPr>
      <w:r>
        <w:rPr>
          <w:rFonts w:hint="eastAsia" w:ascii="仿宋_GB2312" w:eastAsia="仿宋_GB2312"/>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0" w:name="_Toc24028"/>
      <w:bookmarkStart w:id="1" w:name="_Toc32314"/>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kern w:val="0"/>
          <w:sz w:val="32"/>
          <w:szCs w:val="32"/>
          <w:highlight w:val="none"/>
        </w:rPr>
      </w:pPr>
      <w:bookmarkStart w:id="2" w:name="_Toc30567"/>
      <w:bookmarkStart w:id="3" w:name="_Toc30738"/>
      <w:r>
        <w:rPr>
          <w:rFonts w:hint="eastAsia" w:ascii="黑体" w:hAnsi="黑体" w:eastAsia="黑体" w:cs="宋体"/>
          <w:bCs/>
          <w:kern w:val="0"/>
          <w:sz w:val="32"/>
          <w:szCs w:val="32"/>
          <w:highlight w:val="none"/>
        </w:rPr>
        <w:t>一、主要职能</w:t>
      </w:r>
      <w:bookmarkEnd w:id="2"/>
      <w:bookmarkEnd w:id="3"/>
    </w:p>
    <w:p>
      <w:pPr>
        <w:spacing w:line="560" w:lineRule="exact"/>
        <w:ind w:firstLine="632" w:firstLineChars="200"/>
        <w:rPr>
          <w:rFonts w:hint="eastAsia" w:ascii="仿宋_GB2312" w:hAnsi="仿宋_GB2312" w:eastAsia="仿宋_GB2312" w:cs="仿宋_GB2312"/>
          <w:spacing w:val="-2"/>
          <w:sz w:val="32"/>
          <w:szCs w:val="32"/>
        </w:rPr>
      </w:pPr>
      <w:bookmarkStart w:id="4" w:name="_Toc31238"/>
      <w:bookmarkStart w:id="5" w:name="_Toc2151"/>
      <w:r>
        <w:rPr>
          <w:rFonts w:hint="eastAsia" w:ascii="仿宋_GB2312" w:hAnsi="仿宋_GB2312" w:eastAsia="仿宋_GB2312" w:cs="仿宋_GB2312"/>
          <w:spacing w:val="-2"/>
          <w:sz w:val="32"/>
          <w:szCs w:val="32"/>
        </w:rPr>
        <w:t>根据《关于印发&lt;新疆维吾尔自治区经济和信息化委员会（新疆维吾尔自治区国防科学技术工业办公室）所属事业单位分类改革方案&gt;的通知》（新事改办〔2014〕11号）、《关于自治区工业和信息化厅所属事业单位机构编制调整的通知》（新党编委〔2019〕23号），核定新疆维吾尔自治区工业和信息化厅机关服务中心为公益无分类事业单位，主要职能：</w:t>
      </w:r>
    </w:p>
    <w:p>
      <w:pPr>
        <w:spacing w:line="560" w:lineRule="exact"/>
        <w:ind w:firstLine="632" w:firstLineChars="200"/>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一）负责自治区工信厅机关后勤服务保障,负责自治区工信厅三个机关办公楼值班安保、消防、水电暖等公用设施维修维护及水电暖气费的收缴;17个住宅区值班安保、消防安全管理、水电暖等公用设施维修维护及改造，水、电、物业管理各类费用收缴工作。</w:t>
      </w:r>
    </w:p>
    <w:p>
      <w:pPr>
        <w:spacing w:line="560" w:lineRule="exact"/>
        <w:ind w:firstLine="632" w:firstLineChars="200"/>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（二）负责自治区工信厅机关车辆管理、使用和保养维修工作、安全行车教育。</w:t>
      </w:r>
    </w:p>
    <w:p>
      <w:pPr>
        <w:spacing w:line="560" w:lineRule="exact"/>
        <w:ind w:firstLine="632" w:firstLineChars="200"/>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（三）负责自治区工信厅机关食堂管理;公有房屋的管理、使用、租赁等。</w:t>
      </w:r>
    </w:p>
    <w:p>
      <w:pPr>
        <w:spacing w:line="560" w:lineRule="exact"/>
        <w:ind w:firstLine="632" w:firstLineChars="200"/>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（四）负责自治区工信厅机关后勤服务和环境卫生、绿化等工作。</w:t>
      </w:r>
    </w:p>
    <w:p>
      <w:pPr>
        <w:spacing w:line="560" w:lineRule="exact"/>
        <w:ind w:firstLine="632" w:firstLineChars="200"/>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（五）协助有关部门开展综合治理,创建平安单位和社区精神文明建设等工作。</w:t>
      </w:r>
    </w:p>
    <w:p>
      <w:pPr>
        <w:spacing w:line="560" w:lineRule="exact"/>
        <w:ind w:firstLine="632" w:firstLineChars="200"/>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（六）承担自治区工信厅系统公共机构节能（垃圾分类）工作。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sz w:val="32"/>
          <w:szCs w:val="32"/>
          <w:highlight w:val="none"/>
        </w:rPr>
      </w:pPr>
      <w:r>
        <w:rPr>
          <w:rFonts w:hint="eastAsia" w:ascii="仿宋_GB2312" w:eastAsia="仿宋_GB2312"/>
          <w:sz w:val="32"/>
          <w:szCs w:val="32"/>
          <w:highlight w:val="none"/>
          <w:lang w:val="en-US" w:eastAsia="zh-CN"/>
        </w:rPr>
        <w:t>新疆维吾尔自治区工业和信息化厅机关服务中心</w:t>
      </w:r>
      <w:r>
        <w:rPr>
          <w:rFonts w:hint="eastAsia" w:ascii="仿宋_GB2312" w:eastAsia="仿宋_GB2312"/>
          <w:sz w:val="32"/>
          <w:szCs w:val="32"/>
          <w:highlight w:val="none"/>
          <w:lang w:eastAsia="zh-CN"/>
        </w:rPr>
        <w:t>2023年度，</w:t>
      </w:r>
      <w:r>
        <w:rPr>
          <w:rFonts w:hint="eastAsia" w:ascii="仿宋_GB2312" w:eastAsia="仿宋_GB2312"/>
          <w:sz w:val="32"/>
          <w:szCs w:val="32"/>
          <w:highlight w:val="none"/>
        </w:rPr>
        <w:t>实有人数</w:t>
      </w:r>
      <w:r>
        <w:rPr>
          <w:rFonts w:hint="eastAsia" w:ascii="仿宋_GB2312" w:eastAsia="仿宋_GB2312"/>
          <w:sz w:val="32"/>
          <w:szCs w:val="32"/>
          <w:highlight w:val="none"/>
          <w:lang w:val="zh-CN" w:eastAsia="zh-CN"/>
        </w:rPr>
        <w:t>153</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zh-CN" w:eastAsia="zh-CN"/>
        </w:rPr>
        <w:t>54</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zh-CN" w:eastAsia="zh-CN"/>
        </w:rPr>
        <w:t>1</w:t>
      </w:r>
      <w:r>
        <w:rPr>
          <w:rFonts w:hint="eastAsia" w:ascii="仿宋_GB2312" w:eastAsia="仿宋_GB2312"/>
          <w:sz w:val="32"/>
          <w:szCs w:val="32"/>
          <w:highlight w:val="none"/>
        </w:rPr>
        <w:t>人，退休人员</w:t>
      </w:r>
      <w:r>
        <w:rPr>
          <w:rFonts w:hint="eastAsia" w:ascii="仿宋_GB2312" w:eastAsia="仿宋_GB2312"/>
          <w:sz w:val="32"/>
          <w:szCs w:val="32"/>
          <w:highlight w:val="none"/>
          <w:lang w:val="zh-CN" w:eastAsia="zh-CN"/>
        </w:rPr>
        <w:t>98</w:t>
      </w:r>
      <w:r>
        <w:rPr>
          <w:rFonts w:hint="eastAsia" w:ascii="仿宋_GB2312" w:eastAsia="仿宋_GB2312"/>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rPr>
      </w:pPr>
      <w:bookmarkStart w:id="6" w:name="_Toc3092"/>
      <w:bookmarkStart w:id="7" w:name="_Toc29374"/>
      <w:r>
        <w:rPr>
          <w:rFonts w:hint="eastAsia" w:ascii="仿宋_GB2312" w:eastAsia="仿宋_GB2312"/>
          <w:sz w:val="32"/>
          <w:szCs w:val="32"/>
          <w:highlight w:val="none"/>
        </w:rPr>
        <w:t>单位无下属预算单位,下设7个科室,分别是:综合科、财务科、生活服务科、物业一科、物业二科、交通保障科、国防工办招待所。</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8" w:name="_Toc25314"/>
      <w:bookmarkStart w:id="9" w:name="_Toc12566"/>
      <w:r>
        <w:rPr>
          <w:rFonts w:hint="eastAsia" w:ascii="黑体" w:hAnsi="黑体" w:eastAsia="黑体" w:cs="宋体"/>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eastAsia="zh-CN"/>
        </w:rPr>
        <w:t>2023年度</w:t>
      </w:r>
      <w:r>
        <w:rPr>
          <w:rFonts w:hint="eastAsia" w:ascii="仿宋_GB2312" w:eastAsia="仿宋_GB2312"/>
          <w:b/>
          <w:bCs/>
          <w:spacing w:val="0"/>
          <w:sz w:val="32"/>
          <w:szCs w:val="32"/>
          <w:highlight w:val="none"/>
          <w:lang w:val="en-US" w:eastAsia="zh-CN"/>
        </w:rPr>
        <w:t>收入总计</w:t>
      </w:r>
      <w:r>
        <w:rPr>
          <w:rFonts w:hint="eastAsia" w:ascii="仿宋_GB2312" w:eastAsia="仿宋_GB2312"/>
          <w:b/>
          <w:bCs/>
          <w:spacing w:val="0"/>
          <w:sz w:val="32"/>
          <w:szCs w:val="32"/>
          <w:highlight w:val="none"/>
          <w:lang w:eastAsia="zh-CN"/>
        </w:rPr>
        <w:t>1,516.19万元，</w:t>
      </w:r>
      <w:r>
        <w:rPr>
          <w:rFonts w:hint="eastAsia" w:ascii="仿宋_GB2312" w:eastAsia="仿宋_GB2312"/>
          <w:spacing w:val="0"/>
          <w:sz w:val="32"/>
          <w:szCs w:val="32"/>
          <w:highlight w:val="none"/>
          <w:lang w:val="en-US" w:eastAsia="zh-CN"/>
        </w:rPr>
        <w:t>其中：本年收入合计</w:t>
      </w:r>
      <w:r>
        <w:rPr>
          <w:rFonts w:hint="eastAsia" w:ascii="仿宋_GB2312" w:eastAsia="仿宋_GB2312"/>
          <w:spacing w:val="0"/>
          <w:sz w:val="32"/>
          <w:szCs w:val="32"/>
          <w:highlight w:val="none"/>
          <w:lang w:eastAsia="zh-CN"/>
        </w:rPr>
        <w:t>1,516.19万元，使用非财政拨款结余0.00万元，年初结转和结余0.00万元。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val="en-US" w:eastAsia="zh-CN"/>
        </w:rPr>
        <w:t>2023</w:t>
      </w:r>
      <w:r>
        <w:rPr>
          <w:rFonts w:hint="eastAsia" w:ascii="仿宋_GB2312" w:eastAsia="仿宋_GB2312"/>
          <w:b/>
          <w:bCs/>
          <w:spacing w:val="0"/>
          <w:sz w:val="32"/>
          <w:szCs w:val="32"/>
          <w:highlight w:val="none"/>
          <w:lang w:eastAsia="zh-CN"/>
        </w:rPr>
        <w:t>年</w:t>
      </w:r>
      <w:r>
        <w:rPr>
          <w:rFonts w:hint="eastAsia" w:ascii="仿宋_GB2312" w:eastAsia="仿宋_GB2312"/>
          <w:b/>
          <w:bCs/>
          <w:spacing w:val="0"/>
          <w:sz w:val="32"/>
          <w:szCs w:val="32"/>
          <w:highlight w:val="none"/>
          <w:lang w:val="en-US" w:eastAsia="zh-CN"/>
        </w:rPr>
        <w:t>度</w:t>
      </w:r>
      <w:r>
        <w:rPr>
          <w:rFonts w:hint="eastAsia" w:ascii="仿宋_GB2312" w:eastAsia="仿宋_GB2312"/>
          <w:b/>
          <w:bCs/>
          <w:spacing w:val="0"/>
          <w:sz w:val="32"/>
          <w:szCs w:val="32"/>
          <w:highlight w:val="none"/>
          <w:lang w:eastAsia="zh-CN"/>
        </w:rPr>
        <w:t>支出</w:t>
      </w:r>
      <w:r>
        <w:rPr>
          <w:rFonts w:hint="eastAsia" w:ascii="仿宋_GB2312" w:eastAsia="仿宋_GB2312"/>
          <w:b/>
          <w:bCs/>
          <w:spacing w:val="0"/>
          <w:sz w:val="32"/>
          <w:szCs w:val="32"/>
          <w:highlight w:val="none"/>
          <w:lang w:val="en-US" w:eastAsia="zh-CN"/>
        </w:rPr>
        <w:t>总计</w:t>
      </w:r>
      <w:r>
        <w:rPr>
          <w:rFonts w:hint="eastAsia" w:ascii="仿宋_GB2312" w:eastAsia="仿宋_GB2312"/>
          <w:b/>
          <w:bCs/>
          <w:spacing w:val="0"/>
          <w:sz w:val="32"/>
          <w:szCs w:val="32"/>
          <w:highlight w:val="none"/>
          <w:lang w:eastAsia="zh-CN"/>
        </w:rPr>
        <w:t>1,516.19万元，</w:t>
      </w:r>
      <w:r>
        <w:rPr>
          <w:rFonts w:hint="eastAsia" w:ascii="仿宋_GB2312" w:eastAsia="仿宋_GB2312"/>
          <w:spacing w:val="0"/>
          <w:sz w:val="32"/>
          <w:szCs w:val="32"/>
          <w:highlight w:val="none"/>
          <w:lang w:val="en-US" w:eastAsia="zh-CN"/>
        </w:rPr>
        <w:t>其中：本年支出合计</w:t>
      </w:r>
      <w:r>
        <w:rPr>
          <w:rFonts w:hint="eastAsia" w:ascii="仿宋_GB2312" w:eastAsia="仿宋_GB2312"/>
          <w:spacing w:val="0"/>
          <w:sz w:val="32"/>
          <w:szCs w:val="32"/>
          <w:highlight w:val="none"/>
          <w:lang w:eastAsia="zh-CN"/>
        </w:rPr>
        <w:t>1,515.61万元，</w:t>
      </w:r>
      <w:r>
        <w:rPr>
          <w:rFonts w:hint="eastAsia" w:ascii="仿宋_GB2312" w:eastAsia="仿宋_GB2312"/>
          <w:spacing w:val="0"/>
          <w:sz w:val="32"/>
          <w:szCs w:val="32"/>
          <w:highlight w:val="none"/>
          <w:lang w:val="en-US" w:eastAsia="zh-CN"/>
        </w:rPr>
        <w:t>结余分配</w:t>
      </w:r>
      <w:r>
        <w:rPr>
          <w:rFonts w:hint="eastAsia" w:ascii="仿宋_GB2312" w:eastAsia="仿宋_GB2312"/>
          <w:spacing w:val="0"/>
          <w:sz w:val="32"/>
          <w:szCs w:val="32"/>
          <w:highlight w:val="none"/>
          <w:lang w:eastAsia="zh-CN"/>
        </w:rPr>
        <w:t>0.00万元，年末结转和结余0.58万元。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仿宋_GB2312" w:eastAsia="仿宋_GB2312"/>
          <w:spacing w:val="0"/>
          <w:sz w:val="32"/>
          <w:szCs w:val="32"/>
          <w:highlight w:val="none"/>
          <w:lang w:val="en-US" w:eastAsia="zh-CN"/>
        </w:rPr>
      </w:pPr>
      <w:r>
        <w:rPr>
          <w:rFonts w:hint="eastAsia" w:ascii="仿宋_GB2312" w:eastAsia="仿宋_GB2312"/>
          <w:b/>
          <w:bCs/>
          <w:spacing w:val="0"/>
          <w:sz w:val="32"/>
          <w:szCs w:val="32"/>
          <w:highlight w:val="none"/>
          <w:lang w:val="en-US" w:eastAsia="zh-CN"/>
        </w:rPr>
        <w:t>收入支出总体</w:t>
      </w:r>
      <w:r>
        <w:rPr>
          <w:rFonts w:hint="eastAsia" w:ascii="仿宋_GB2312" w:eastAsia="仿宋_GB2312"/>
          <w:b/>
          <w:bCs/>
          <w:spacing w:val="0"/>
          <w:sz w:val="32"/>
          <w:szCs w:val="32"/>
          <w:highlight w:val="none"/>
          <w:lang w:eastAsia="zh-CN"/>
        </w:rPr>
        <w:t>与上年相比，</w:t>
      </w:r>
      <w:r>
        <w:rPr>
          <w:rFonts w:hint="eastAsia" w:ascii="仿宋_GB2312" w:eastAsia="仿宋_GB2312"/>
          <w:spacing w:val="0"/>
          <w:sz w:val="32"/>
          <w:szCs w:val="32"/>
          <w:highlight w:val="none"/>
          <w:lang w:val="zh-CN" w:eastAsia="zh-CN"/>
        </w:rPr>
        <w:t>减少73.16万元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en-US" w:eastAsia="zh-CN"/>
        </w:rPr>
        <w:t>下降4.60%</w:t>
      </w:r>
      <w:r>
        <w:rPr>
          <w:rFonts w:hint="eastAsia" w:ascii="仿宋_GB2312" w:eastAsia="仿宋_GB2312"/>
          <w:spacing w:val="0"/>
          <w:sz w:val="32"/>
          <w:szCs w:val="32"/>
          <w:highlight w:val="none"/>
          <w:lang w:eastAsia="zh-CN"/>
        </w:rPr>
        <w:t>，主要原因是：98名</w:t>
      </w:r>
      <w:r>
        <w:rPr>
          <w:rFonts w:hint="eastAsia" w:ascii="仿宋_GB2312" w:eastAsia="仿宋_GB2312"/>
          <w:spacing w:val="0"/>
          <w:sz w:val="32"/>
          <w:szCs w:val="32"/>
          <w:highlight w:val="none"/>
          <w:lang w:val="en-US" w:eastAsia="zh-CN"/>
        </w:rPr>
        <w:t>退休人员医疗保险退库及银行存款利息收入减少。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rPr>
      </w:pPr>
      <w:bookmarkStart w:id="10" w:name="_Toc12142"/>
      <w:bookmarkStart w:id="11" w:name="_Toc1979"/>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rPr>
        <w:t>本年收入</w:t>
      </w:r>
      <w:r>
        <w:rPr>
          <w:rFonts w:hint="eastAsia" w:ascii="仿宋_GB2312" w:eastAsia="仿宋_GB2312"/>
          <w:b/>
          <w:bCs/>
          <w:sz w:val="32"/>
          <w:szCs w:val="32"/>
          <w:highlight w:val="none"/>
          <w:lang w:eastAsia="zh-CN"/>
        </w:rPr>
        <w:t>1,516.19</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其中：财政拨款收入</w:t>
      </w:r>
      <w:r>
        <w:rPr>
          <w:rFonts w:hint="eastAsia" w:ascii="仿宋_GB2312" w:eastAsia="仿宋_GB2312"/>
          <w:sz w:val="32"/>
          <w:szCs w:val="32"/>
          <w:highlight w:val="none"/>
          <w:lang w:val="zh-CN"/>
        </w:rPr>
        <w:t>1,515.61</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99.96</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；上级补助收入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；事业收入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；经营收入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附属单位上缴收入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；其他收入</w:t>
      </w:r>
      <w:r>
        <w:rPr>
          <w:rFonts w:hint="eastAsia" w:ascii="仿宋_GB2312" w:eastAsia="仿宋_GB2312"/>
          <w:sz w:val="32"/>
          <w:szCs w:val="32"/>
          <w:highlight w:val="none"/>
          <w:lang w:val="zh-CN"/>
        </w:rPr>
        <w:t>0.58</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0.04</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2" w:name="_Toc13201"/>
      <w:bookmarkStart w:id="13" w:name="_Toc27961"/>
      <w:r>
        <w:rPr>
          <w:rFonts w:hint="eastAsia" w:ascii="黑体" w:hAnsi="黑体" w:eastAsia="黑体" w:cs="宋体"/>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Times New Roman" w:hAnsi="Times New Roman" w:eastAsia="仿宋_GB2312" w:cs="仿宋_GB2312"/>
          <w:sz w:val="30"/>
          <w:szCs w:val="30"/>
          <w:highlight w:val="none"/>
          <w:lang w:val="zh-CN" w:eastAsia="zh-CN"/>
        </w:rPr>
      </w:pPr>
      <w:r>
        <w:rPr>
          <w:rFonts w:hint="eastAsia" w:ascii="Times New Roman" w:hAnsi="Times New Roman" w:eastAsia="仿宋_GB2312" w:cs="仿宋_GB2312"/>
          <w:b/>
          <w:bCs/>
          <w:sz w:val="32"/>
          <w:szCs w:val="32"/>
          <w:highlight w:val="none"/>
          <w:lang w:val="zh-CN" w:eastAsia="zh-CN"/>
        </w:rPr>
        <w:t>本年支出1,515.61万元，</w:t>
      </w:r>
      <w:r>
        <w:rPr>
          <w:rFonts w:hint="eastAsia" w:ascii="Times New Roman" w:hAnsi="Times New Roman" w:eastAsia="仿宋_GB2312" w:cs="仿宋_GB2312"/>
          <w:sz w:val="32"/>
          <w:szCs w:val="32"/>
          <w:highlight w:val="none"/>
          <w:lang w:val="zh-CN" w:eastAsia="zh-CN"/>
        </w:rPr>
        <w:t>其中：基本支出1,395.61万元，占92.08%；项目支出120.00万元，占7.92%；上缴上级支出0.00万元，占0.00%；经营支出0.00万元，占0.00%；对附属单位补助支出0.00万元，占0.00%。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4" w:name="_Toc4393"/>
      <w:bookmarkStart w:id="15" w:name="_Toc26564"/>
      <w:r>
        <w:rPr>
          <w:rFonts w:hint="eastAsia" w:ascii="黑体" w:hAnsi="黑体" w:eastAsia="黑体" w:cs="宋体"/>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eastAsia="zh-CN"/>
        </w:rPr>
        <w:t>2023年度财政拨款收入</w:t>
      </w:r>
      <w:r>
        <w:rPr>
          <w:rFonts w:hint="eastAsia" w:ascii="仿宋_GB2312" w:eastAsia="仿宋_GB2312"/>
          <w:b/>
          <w:bCs/>
          <w:spacing w:val="0"/>
          <w:sz w:val="32"/>
          <w:szCs w:val="32"/>
          <w:highlight w:val="none"/>
          <w:lang w:val="en-US" w:eastAsia="zh-CN"/>
        </w:rPr>
        <w:t>总计</w:t>
      </w:r>
      <w:r>
        <w:rPr>
          <w:rFonts w:hint="eastAsia" w:ascii="仿宋_GB2312" w:eastAsia="仿宋_GB2312"/>
          <w:b/>
          <w:bCs/>
          <w:spacing w:val="0"/>
          <w:sz w:val="32"/>
          <w:szCs w:val="32"/>
          <w:highlight w:val="none"/>
          <w:lang w:val="zh-CN" w:eastAsia="zh-CN"/>
        </w:rPr>
        <w:t>1,515.61</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val="en-US" w:eastAsia="zh-CN"/>
        </w:rPr>
        <w:t>其中：年初财政拨款结转和结余</w:t>
      </w:r>
      <w:r>
        <w:rPr>
          <w:rFonts w:hint="eastAsia" w:ascii="仿宋_GB2312" w:eastAsia="仿宋_GB2312"/>
          <w:spacing w:val="0"/>
          <w:sz w:val="32"/>
          <w:szCs w:val="32"/>
          <w:highlight w:val="none"/>
          <w:lang w:val="zh-CN" w:eastAsia="zh-CN"/>
        </w:rPr>
        <w:t>0.00</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本年财政拨款收入</w:t>
      </w:r>
      <w:r>
        <w:rPr>
          <w:rFonts w:hint="eastAsia" w:ascii="仿宋_GB2312" w:eastAsia="仿宋_GB2312"/>
          <w:spacing w:val="0"/>
          <w:sz w:val="32"/>
          <w:szCs w:val="32"/>
          <w:highlight w:val="none"/>
          <w:lang w:val="zh-CN" w:eastAsia="zh-CN"/>
        </w:rPr>
        <w:t>1,515.61</w:t>
      </w:r>
      <w:r>
        <w:rPr>
          <w:rFonts w:hint="eastAsia" w:ascii="仿宋_GB2312" w:eastAsia="仿宋_GB2312"/>
          <w:spacing w:val="0"/>
          <w:sz w:val="32"/>
          <w:szCs w:val="32"/>
          <w:highlight w:val="none"/>
          <w:lang w:eastAsia="zh-CN"/>
        </w:rPr>
        <w:t>万元。</w:t>
      </w:r>
      <w:r>
        <w:rPr>
          <w:rFonts w:hint="eastAsia" w:ascii="仿宋_GB2312" w:eastAsia="仿宋_GB2312"/>
          <w:b/>
          <w:bCs/>
          <w:spacing w:val="0"/>
          <w:sz w:val="32"/>
          <w:szCs w:val="32"/>
          <w:highlight w:val="none"/>
          <w:lang w:eastAsia="zh-CN"/>
        </w:rPr>
        <w:t>财政拨款支出</w:t>
      </w:r>
      <w:r>
        <w:rPr>
          <w:rFonts w:hint="eastAsia" w:ascii="仿宋_GB2312" w:eastAsia="仿宋_GB2312"/>
          <w:b/>
          <w:bCs/>
          <w:spacing w:val="0"/>
          <w:sz w:val="32"/>
          <w:szCs w:val="32"/>
          <w:highlight w:val="none"/>
          <w:lang w:val="en-US" w:eastAsia="zh-CN"/>
        </w:rPr>
        <w:t>总计</w:t>
      </w:r>
      <w:r>
        <w:rPr>
          <w:rFonts w:hint="eastAsia" w:ascii="仿宋_GB2312" w:eastAsia="仿宋_GB2312"/>
          <w:b/>
          <w:bCs/>
          <w:spacing w:val="0"/>
          <w:sz w:val="32"/>
          <w:szCs w:val="32"/>
          <w:highlight w:val="none"/>
          <w:lang w:val="zh-CN" w:eastAsia="zh-CN"/>
        </w:rPr>
        <w:t>1,515.61</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val="en-US" w:eastAsia="zh-CN"/>
        </w:rPr>
        <w:t>其中：年末财政拨款结转和结余</w:t>
      </w:r>
      <w:r>
        <w:rPr>
          <w:rFonts w:hint="eastAsia" w:ascii="仿宋_GB2312" w:eastAsia="仿宋_GB2312"/>
          <w:spacing w:val="0"/>
          <w:sz w:val="32"/>
          <w:szCs w:val="32"/>
          <w:highlight w:val="none"/>
          <w:lang w:val="zh-CN" w:eastAsia="zh-CN"/>
        </w:rPr>
        <w:t>0.00</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本年财政拨款支出</w:t>
      </w:r>
      <w:r>
        <w:rPr>
          <w:rFonts w:hint="eastAsia" w:ascii="仿宋_GB2312" w:eastAsia="仿宋_GB2312"/>
          <w:spacing w:val="0"/>
          <w:sz w:val="32"/>
          <w:szCs w:val="32"/>
          <w:highlight w:val="none"/>
          <w:lang w:val="zh-CN" w:eastAsia="zh-CN"/>
        </w:rPr>
        <w:t>1,515.61</w:t>
      </w:r>
      <w:r>
        <w:rPr>
          <w:rFonts w:hint="eastAsia" w:ascii="仿宋_GB2312" w:eastAsia="仿宋_GB2312"/>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val="en-US" w:eastAsia="zh-CN"/>
        </w:rPr>
      </w:pPr>
      <w:r>
        <w:rPr>
          <w:rFonts w:hint="eastAsia" w:ascii="仿宋_GB2312" w:eastAsia="仿宋_GB2312"/>
          <w:b/>
          <w:bCs/>
          <w:spacing w:val="0"/>
          <w:sz w:val="32"/>
          <w:szCs w:val="32"/>
          <w:highlight w:val="none"/>
          <w:lang w:eastAsia="zh-CN"/>
        </w:rPr>
        <w:t>财政拨款</w:t>
      </w:r>
      <w:r>
        <w:rPr>
          <w:rFonts w:hint="eastAsia" w:ascii="仿宋_GB2312" w:eastAsia="仿宋_GB2312"/>
          <w:b/>
          <w:bCs/>
          <w:spacing w:val="0"/>
          <w:sz w:val="32"/>
          <w:szCs w:val="32"/>
          <w:highlight w:val="none"/>
          <w:lang w:val="en-US" w:eastAsia="zh-CN"/>
        </w:rPr>
        <w:t>收入支出总体</w:t>
      </w:r>
      <w:r>
        <w:rPr>
          <w:rFonts w:hint="eastAsia" w:ascii="仿宋_GB2312" w:eastAsia="仿宋_GB2312"/>
          <w:b/>
          <w:bCs/>
          <w:spacing w:val="0"/>
          <w:sz w:val="32"/>
          <w:szCs w:val="32"/>
          <w:highlight w:val="none"/>
          <w:lang w:eastAsia="zh-CN"/>
        </w:rPr>
        <w:t>与上年相比</w:t>
      </w:r>
      <w:r>
        <w:rPr>
          <w:rFonts w:hint="eastAsia" w:ascii="仿宋_GB2312" w:eastAsia="仿宋_GB2312"/>
          <w:b/>
          <w:bCs/>
          <w:spacing w:val="0"/>
          <w:sz w:val="32"/>
          <w:szCs w:val="32"/>
          <w:highlight w:val="none"/>
          <w:lang w:val="en-US" w:eastAsia="zh-CN"/>
        </w:rPr>
        <w:t>,</w:t>
      </w:r>
      <w:r>
        <w:rPr>
          <w:rFonts w:hint="eastAsia" w:ascii="仿宋_GB2312" w:eastAsia="仿宋_GB2312"/>
          <w:spacing w:val="0"/>
          <w:sz w:val="32"/>
          <w:szCs w:val="32"/>
          <w:highlight w:val="none"/>
          <w:lang w:val="zh-CN" w:eastAsia="zh-CN"/>
        </w:rPr>
        <w:t>减少72.65万元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zh-CN" w:eastAsia="zh-CN"/>
        </w:rPr>
        <w:t>下降4.57%，</w:t>
      </w:r>
      <w:r>
        <w:rPr>
          <w:rFonts w:hint="eastAsia" w:ascii="仿宋_GB2312" w:eastAsia="仿宋_GB2312"/>
          <w:spacing w:val="0"/>
          <w:sz w:val="32"/>
          <w:szCs w:val="32"/>
          <w:highlight w:val="none"/>
          <w:lang w:eastAsia="zh-CN"/>
        </w:rPr>
        <w:t>主要原因是：98名</w:t>
      </w:r>
      <w:r>
        <w:rPr>
          <w:rFonts w:hint="eastAsia" w:ascii="仿宋_GB2312" w:eastAsia="仿宋_GB2312"/>
          <w:spacing w:val="0"/>
          <w:sz w:val="32"/>
          <w:szCs w:val="32"/>
          <w:highlight w:val="none"/>
          <w:lang w:val="en-US" w:eastAsia="zh-CN"/>
        </w:rPr>
        <w:t>退休人员医疗保险退库。</w:t>
      </w:r>
      <w:r>
        <w:rPr>
          <w:rFonts w:hint="eastAsia" w:ascii="仿宋_GB2312" w:eastAsia="仿宋_GB2312"/>
          <w:b/>
          <w:bCs/>
          <w:spacing w:val="0"/>
          <w:sz w:val="32"/>
          <w:szCs w:val="32"/>
          <w:highlight w:val="none"/>
          <w:lang w:eastAsia="zh-CN"/>
        </w:rPr>
        <w:t>与年初预算相比，</w:t>
      </w:r>
      <w:r>
        <w:rPr>
          <w:rFonts w:hint="eastAsia" w:ascii="仿宋_GB2312" w:eastAsia="仿宋_GB2312"/>
          <w:spacing w:val="0"/>
          <w:sz w:val="32"/>
          <w:szCs w:val="32"/>
          <w:highlight w:val="none"/>
          <w:lang w:eastAsia="zh-CN"/>
        </w:rPr>
        <w:t>年初预算数</w:t>
      </w:r>
      <w:r>
        <w:rPr>
          <w:rFonts w:hint="eastAsia" w:ascii="仿宋_GB2312" w:eastAsia="仿宋_GB2312"/>
          <w:spacing w:val="0"/>
          <w:sz w:val="32"/>
          <w:szCs w:val="32"/>
          <w:highlight w:val="none"/>
          <w:lang w:val="zh-CN" w:eastAsia="zh-CN"/>
        </w:rPr>
        <w:t>1,533.34</w:t>
      </w:r>
      <w:r>
        <w:rPr>
          <w:rFonts w:hint="eastAsia" w:ascii="仿宋_GB2312" w:eastAsia="仿宋_GB2312"/>
          <w:spacing w:val="0"/>
          <w:sz w:val="32"/>
          <w:szCs w:val="32"/>
          <w:highlight w:val="none"/>
          <w:lang w:eastAsia="zh-CN"/>
        </w:rPr>
        <w:t>万元，决算数</w:t>
      </w:r>
      <w:r>
        <w:rPr>
          <w:rFonts w:hint="eastAsia" w:ascii="仿宋_GB2312" w:eastAsia="仿宋_GB2312"/>
          <w:spacing w:val="0"/>
          <w:sz w:val="32"/>
          <w:szCs w:val="32"/>
          <w:highlight w:val="none"/>
          <w:lang w:val="zh-CN" w:eastAsia="zh-CN"/>
        </w:rPr>
        <w:t>1,515.61</w:t>
      </w:r>
      <w:r>
        <w:rPr>
          <w:rFonts w:hint="eastAsia" w:ascii="仿宋_GB2312" w:eastAsia="仿宋_GB2312"/>
          <w:spacing w:val="0"/>
          <w:sz w:val="32"/>
          <w:szCs w:val="32"/>
          <w:highlight w:val="none"/>
          <w:lang w:eastAsia="zh-CN"/>
        </w:rPr>
        <w:t>万元，预决算差异率-1.16%，主要原因是：</w:t>
      </w:r>
      <w:r>
        <w:rPr>
          <w:rFonts w:hint="eastAsia" w:ascii="仿宋_GB2312" w:eastAsia="仿宋_GB2312"/>
          <w:spacing w:val="0"/>
          <w:sz w:val="32"/>
          <w:szCs w:val="32"/>
          <w:highlight w:val="none"/>
          <w:lang w:val="en-US" w:eastAsia="zh-CN"/>
        </w:rPr>
        <w:t>在职人员工资调增、社保缴费基数调增及退休人员医疗保险退库形成差异</w:t>
      </w:r>
      <w:r>
        <w:rPr>
          <w:rFonts w:hint="eastAsia" w:ascii="仿宋_GB2312" w:eastAsia="仿宋_GB2312"/>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6" w:name="_Toc20360"/>
      <w:bookmarkStart w:id="17" w:name="_Toc13833"/>
      <w:r>
        <w:rPr>
          <w:rFonts w:hint="eastAsia" w:ascii="黑体" w:hAnsi="黑体" w:eastAsia="黑体" w:cs="宋体"/>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eastAsia="zh-CN"/>
        </w:rPr>
        <w:t>2023年度一般公共预算财政拨款支出1,515.61万元，</w:t>
      </w:r>
      <w:r>
        <w:rPr>
          <w:rFonts w:hint="eastAsia" w:ascii="仿宋_GB2312" w:eastAsia="仿宋_GB2312"/>
          <w:spacing w:val="0"/>
          <w:sz w:val="32"/>
          <w:szCs w:val="32"/>
          <w:highlight w:val="none"/>
          <w:lang w:eastAsia="zh-CN"/>
        </w:rPr>
        <w:t>占本年支出合计的</w:t>
      </w:r>
      <w:r>
        <w:rPr>
          <w:rFonts w:hint="eastAsia" w:ascii="仿宋_GB2312" w:eastAsia="仿宋_GB2312"/>
          <w:spacing w:val="0"/>
          <w:sz w:val="32"/>
          <w:szCs w:val="32"/>
          <w:highlight w:val="none"/>
          <w:lang w:val="zh-CN" w:eastAsia="zh-CN"/>
        </w:rPr>
        <w:t>100.00%</w:t>
      </w:r>
      <w:r>
        <w:rPr>
          <w:rFonts w:hint="eastAsia" w:ascii="仿宋_GB2312" w:eastAsia="仿宋_GB2312"/>
          <w:spacing w:val="0"/>
          <w:sz w:val="32"/>
          <w:szCs w:val="32"/>
          <w:highlight w:val="none"/>
          <w:lang w:eastAsia="zh-CN"/>
        </w:rPr>
        <w:t>。</w:t>
      </w:r>
      <w:r>
        <w:rPr>
          <w:rFonts w:hint="eastAsia" w:ascii="仿宋_GB2312" w:eastAsia="仿宋_GB2312"/>
          <w:b/>
          <w:bCs/>
          <w:spacing w:val="0"/>
          <w:sz w:val="32"/>
          <w:szCs w:val="32"/>
          <w:highlight w:val="none"/>
          <w:lang w:eastAsia="zh-CN"/>
        </w:rPr>
        <w:t>与上年相比，</w:t>
      </w:r>
      <w:r>
        <w:rPr>
          <w:rFonts w:hint="eastAsia" w:ascii="仿宋_GB2312" w:eastAsia="仿宋_GB2312"/>
          <w:spacing w:val="0"/>
          <w:sz w:val="32"/>
          <w:szCs w:val="32"/>
          <w:highlight w:val="none"/>
          <w:lang w:val="zh-CN" w:eastAsia="zh-CN"/>
        </w:rPr>
        <w:t>减少72.65万元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zh-CN" w:eastAsia="zh-CN"/>
        </w:rPr>
        <w:t>下降4.57%，</w:t>
      </w:r>
      <w:r>
        <w:rPr>
          <w:rFonts w:hint="eastAsia" w:ascii="仿宋_GB2312" w:eastAsia="仿宋_GB2312"/>
          <w:spacing w:val="0"/>
          <w:sz w:val="32"/>
          <w:szCs w:val="32"/>
          <w:highlight w:val="none"/>
          <w:lang w:eastAsia="zh-CN"/>
        </w:rPr>
        <w:t>主要原因是：</w:t>
      </w:r>
      <w:r>
        <w:rPr>
          <w:rFonts w:hint="eastAsia" w:ascii="仿宋_GB2312" w:eastAsia="仿宋_GB2312"/>
          <w:spacing w:val="0"/>
          <w:sz w:val="32"/>
          <w:szCs w:val="32"/>
          <w:highlight w:val="none"/>
          <w:lang w:val="en-US" w:eastAsia="zh-CN"/>
        </w:rPr>
        <w:t>98名退休人员医疗保险退库。</w:t>
      </w:r>
      <w:r>
        <w:rPr>
          <w:rFonts w:hint="eastAsia" w:ascii="仿宋_GB2312" w:eastAsia="仿宋_GB2312"/>
          <w:b/>
          <w:bCs/>
          <w:spacing w:val="0"/>
          <w:sz w:val="32"/>
          <w:szCs w:val="32"/>
          <w:highlight w:val="none"/>
          <w:lang w:eastAsia="zh-CN"/>
        </w:rPr>
        <w:t>与年初预算相比，</w:t>
      </w:r>
      <w:r>
        <w:rPr>
          <w:rFonts w:hint="eastAsia" w:ascii="仿宋_GB2312" w:eastAsia="仿宋_GB2312"/>
          <w:spacing w:val="0"/>
          <w:sz w:val="32"/>
          <w:szCs w:val="32"/>
          <w:highlight w:val="none"/>
          <w:lang w:eastAsia="zh-CN"/>
        </w:rPr>
        <w:t>年初预算数</w:t>
      </w:r>
      <w:r>
        <w:rPr>
          <w:rFonts w:hint="eastAsia" w:ascii="仿宋_GB2312" w:eastAsia="仿宋_GB2312"/>
          <w:spacing w:val="0"/>
          <w:sz w:val="32"/>
          <w:szCs w:val="32"/>
          <w:highlight w:val="none"/>
          <w:lang w:val="zh-CN" w:eastAsia="zh-CN"/>
        </w:rPr>
        <w:t>1,533.34</w:t>
      </w:r>
      <w:r>
        <w:rPr>
          <w:rFonts w:hint="eastAsia" w:ascii="仿宋_GB2312" w:eastAsia="仿宋_GB2312"/>
          <w:spacing w:val="0"/>
          <w:sz w:val="32"/>
          <w:szCs w:val="32"/>
          <w:highlight w:val="none"/>
          <w:lang w:eastAsia="zh-CN"/>
        </w:rPr>
        <w:t>万元，决算数</w:t>
      </w:r>
      <w:r>
        <w:rPr>
          <w:rFonts w:hint="eastAsia" w:ascii="仿宋_GB2312" w:eastAsia="仿宋_GB2312"/>
          <w:spacing w:val="0"/>
          <w:sz w:val="32"/>
          <w:szCs w:val="32"/>
          <w:highlight w:val="none"/>
          <w:lang w:val="zh-CN" w:eastAsia="zh-CN"/>
        </w:rPr>
        <w:t>1,515.61</w:t>
      </w:r>
      <w:r>
        <w:rPr>
          <w:rFonts w:hint="eastAsia" w:ascii="仿宋_GB2312" w:eastAsia="仿宋_GB2312"/>
          <w:spacing w:val="0"/>
          <w:sz w:val="32"/>
          <w:szCs w:val="32"/>
          <w:highlight w:val="none"/>
          <w:lang w:eastAsia="zh-CN"/>
        </w:rPr>
        <w:t>万元，预决算差异率</w:t>
      </w:r>
      <w:r>
        <w:rPr>
          <w:rFonts w:hint="eastAsia" w:ascii="仿宋_GB2312" w:eastAsia="仿宋_GB2312"/>
          <w:spacing w:val="0"/>
          <w:sz w:val="32"/>
          <w:szCs w:val="32"/>
          <w:highlight w:val="none"/>
          <w:lang w:val="en-US" w:eastAsia="zh-CN"/>
        </w:rPr>
        <w:t>-</w:t>
      </w:r>
      <w:r>
        <w:rPr>
          <w:rFonts w:hint="eastAsia" w:ascii="仿宋_GB2312" w:eastAsia="仿宋_GB2312"/>
          <w:spacing w:val="0"/>
          <w:sz w:val="32"/>
          <w:szCs w:val="32"/>
          <w:highlight w:val="none"/>
          <w:lang w:val="zh-CN" w:eastAsia="zh-CN"/>
        </w:rPr>
        <w:t>1.16%</w:t>
      </w:r>
      <w:r>
        <w:rPr>
          <w:rFonts w:hint="eastAsia" w:ascii="仿宋_GB2312" w:eastAsia="仿宋_GB2312"/>
          <w:spacing w:val="0"/>
          <w:sz w:val="32"/>
          <w:szCs w:val="32"/>
          <w:highlight w:val="none"/>
          <w:lang w:eastAsia="zh-CN"/>
        </w:rPr>
        <w:t>，主要原因是：</w:t>
      </w:r>
      <w:r>
        <w:rPr>
          <w:rFonts w:hint="eastAsia" w:ascii="仿宋_GB2312" w:eastAsia="仿宋_GB2312"/>
          <w:spacing w:val="0"/>
          <w:sz w:val="32"/>
          <w:szCs w:val="32"/>
          <w:highlight w:val="none"/>
          <w:lang w:val="en-US" w:eastAsia="zh-CN"/>
        </w:rPr>
        <w:t>在职人员工资调增、社保缴费基数调增及退休人员医疗保险退库形成差异</w:t>
      </w:r>
      <w:r>
        <w:rPr>
          <w:rFonts w:hint="eastAsia" w:ascii="仿宋_GB2312" w:eastAsia="仿宋_GB2312"/>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1</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社会保障和就业支出（类）</w:t>
      </w:r>
      <w:r>
        <w:rPr>
          <w:rFonts w:hint="eastAsia" w:ascii="仿宋_GB2312" w:hAnsi="Times New Roman" w:eastAsia="仿宋_GB2312" w:cs="Times New Roman"/>
          <w:spacing w:val="0"/>
          <w:kern w:val="2"/>
          <w:sz w:val="32"/>
          <w:szCs w:val="32"/>
          <w:highlight w:val="none"/>
          <w:lang w:val="zh-CN" w:eastAsia="zh-CN" w:bidi="ar-SA"/>
        </w:rPr>
        <w:t>408.69</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26.97</w:t>
      </w:r>
      <w:r>
        <w:rPr>
          <w:rFonts w:hint="default" w:ascii="仿宋_GB2312" w:hAnsi="Times New Roman" w:eastAsia="仿宋_GB2312" w:cs="Times New Roman"/>
          <w:spacing w:val="0"/>
          <w:kern w:val="2"/>
          <w:sz w:val="32"/>
          <w:szCs w:val="32"/>
          <w:highlight w:val="none"/>
          <w:lang w:val="zh-CN"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2</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卫生健康支出（类）</w:t>
      </w:r>
      <w:r>
        <w:rPr>
          <w:rFonts w:hint="eastAsia" w:ascii="仿宋_GB2312" w:hAnsi="Times New Roman" w:eastAsia="仿宋_GB2312" w:cs="Times New Roman"/>
          <w:spacing w:val="0"/>
          <w:kern w:val="2"/>
          <w:sz w:val="32"/>
          <w:szCs w:val="32"/>
          <w:highlight w:val="none"/>
          <w:lang w:val="zh-CN" w:eastAsia="zh-CN" w:bidi="ar-SA"/>
        </w:rPr>
        <w:t>97.11</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6.41</w:t>
      </w:r>
      <w:r>
        <w:rPr>
          <w:rFonts w:hint="default" w:ascii="仿宋_GB2312" w:hAnsi="Times New Roman" w:eastAsia="仿宋_GB2312" w:cs="Times New Roman"/>
          <w:spacing w:val="0"/>
          <w:kern w:val="2"/>
          <w:sz w:val="32"/>
          <w:szCs w:val="32"/>
          <w:highlight w:val="none"/>
          <w:lang w:val="zh-CN"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3</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资源勘探信息等支出（类）</w:t>
      </w:r>
      <w:r>
        <w:rPr>
          <w:rFonts w:hint="eastAsia" w:ascii="仿宋_GB2312" w:hAnsi="Times New Roman" w:eastAsia="仿宋_GB2312" w:cs="Times New Roman"/>
          <w:spacing w:val="0"/>
          <w:kern w:val="2"/>
          <w:sz w:val="32"/>
          <w:szCs w:val="32"/>
          <w:highlight w:val="none"/>
          <w:lang w:val="zh-CN" w:eastAsia="zh-CN" w:bidi="ar-SA"/>
        </w:rPr>
        <w:t>930.39</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61.3</w:t>
      </w:r>
      <w:r>
        <w:rPr>
          <w:rFonts w:hint="eastAsia" w:ascii="仿宋_GB2312" w:eastAsia="仿宋_GB2312" w:cs="Times New Roman"/>
          <w:spacing w:val="0"/>
          <w:kern w:val="2"/>
          <w:sz w:val="32"/>
          <w:szCs w:val="32"/>
          <w:highlight w:val="none"/>
          <w:lang w:val="en-US" w:eastAsia="zh-CN" w:bidi="ar-SA"/>
        </w:rPr>
        <w:t>8</w:t>
      </w:r>
      <w:r>
        <w:rPr>
          <w:rFonts w:hint="default" w:ascii="仿宋_GB2312" w:hAnsi="Times New Roman" w:eastAsia="仿宋_GB2312" w:cs="Times New Roman"/>
          <w:spacing w:val="0"/>
          <w:kern w:val="2"/>
          <w:sz w:val="32"/>
          <w:szCs w:val="32"/>
          <w:highlight w:val="none"/>
          <w:lang w:val="zh-CN"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4</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住房保障支出（类）</w:t>
      </w:r>
      <w:r>
        <w:rPr>
          <w:rFonts w:hint="eastAsia" w:ascii="仿宋_GB2312" w:hAnsi="Times New Roman" w:eastAsia="仿宋_GB2312" w:cs="Times New Roman"/>
          <w:spacing w:val="0"/>
          <w:kern w:val="2"/>
          <w:sz w:val="32"/>
          <w:szCs w:val="32"/>
          <w:highlight w:val="none"/>
          <w:lang w:val="zh-CN" w:eastAsia="zh-CN" w:bidi="ar-SA"/>
        </w:rPr>
        <w:t>79.42</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5.24</w:t>
      </w:r>
      <w:r>
        <w:rPr>
          <w:rFonts w:hint="default"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仿宋_GB2312" w:eastAsia="仿宋_GB2312" w:cs="Times New Roman"/>
          <w:spacing w:val="0"/>
          <w:kern w:val="2"/>
          <w:sz w:val="32"/>
          <w:szCs w:val="32"/>
          <w:lang w:val="en-US" w:eastAsia="zh-CN" w:bidi="ar-SA"/>
        </w:rPr>
        <w:t xml:space="preserve"> </w:t>
      </w:r>
      <w:r>
        <w:rPr>
          <w:rFonts w:hint="eastAsia" w:ascii="黑体" w:hAnsi="黑体" w:eastAsia="黑体"/>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pacing w:val="0"/>
          <w:sz w:val="32"/>
          <w:szCs w:val="32"/>
          <w:highlight w:val="none"/>
          <w:lang w:val="zh-CN" w:eastAsia="zh-CN"/>
        </w:rPr>
      </w:pPr>
      <w:r>
        <w:rPr>
          <w:rFonts w:hint="eastAsia" w:ascii="仿宋_GB2312" w:eastAsia="仿宋_GB2312"/>
          <w:spacing w:val="0"/>
          <w:sz w:val="32"/>
          <w:szCs w:val="32"/>
          <w:highlight w:val="none"/>
          <w:lang w:val="en-US" w:eastAsia="zh-CN"/>
        </w:rPr>
        <w:t>1.卫生健康支出（类）行政事业单位医疗（款）事业单位医疗（项）:支出决算数为52.70万元，比上年决算增加1.64万元，增长3.21%，主要原因是：在职人员缴费基数调整增加</w:t>
      </w:r>
      <w:r>
        <w:rPr>
          <w:rFonts w:hint="eastAsia" w:ascii="仿宋_GB2312" w:eastAsia="仿宋_GB2312"/>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pacing w:val="0"/>
          <w:sz w:val="32"/>
          <w:szCs w:val="32"/>
          <w:highlight w:val="none"/>
          <w:lang w:val="zh-CN" w:eastAsia="zh-CN"/>
        </w:rPr>
      </w:pPr>
      <w:r>
        <w:rPr>
          <w:rFonts w:hint="eastAsia" w:ascii="仿宋_GB2312" w:eastAsia="仿宋_GB2312"/>
          <w:spacing w:val="0"/>
          <w:sz w:val="32"/>
          <w:szCs w:val="32"/>
          <w:highlight w:val="none"/>
          <w:lang w:val="en-US" w:eastAsia="zh-CN"/>
        </w:rPr>
        <w:t>2.卫生健康支出（类）行政事业单位医疗（款）公务员医疗补助（项）:支出决算数为44.40万元，比上年决算增加4.69万元，增长11.81%，主要原因是：在职人员缴费基数调整增加</w:t>
      </w:r>
      <w:r>
        <w:rPr>
          <w:rFonts w:hint="eastAsia" w:ascii="仿宋_GB2312" w:eastAsia="仿宋_GB2312"/>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pacing w:val="0"/>
          <w:sz w:val="32"/>
          <w:szCs w:val="32"/>
          <w:highlight w:val="none"/>
          <w:lang w:val="zh-CN" w:eastAsia="zh-CN"/>
        </w:rPr>
      </w:pPr>
      <w:r>
        <w:rPr>
          <w:rFonts w:hint="eastAsia" w:ascii="仿宋_GB2312" w:eastAsia="仿宋_GB2312"/>
          <w:spacing w:val="0"/>
          <w:sz w:val="32"/>
          <w:szCs w:val="32"/>
          <w:highlight w:val="none"/>
          <w:lang w:val="en-US" w:eastAsia="zh-CN"/>
        </w:rPr>
        <w:t>3.住房保障支出（类）住房改革支出（款）住房公积金（项）:支出决算数为79.42万元，比上年决算增加8.44万元，增长11.89%，主要原因是：在职人员缴费基数调整增加</w:t>
      </w:r>
      <w:r>
        <w:rPr>
          <w:rFonts w:hint="eastAsia" w:ascii="仿宋_GB2312" w:eastAsia="仿宋_GB2312"/>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pacing w:val="0"/>
          <w:sz w:val="32"/>
          <w:szCs w:val="32"/>
          <w:highlight w:val="none"/>
          <w:lang w:val="zh-CN" w:eastAsia="zh-CN"/>
        </w:rPr>
      </w:pPr>
      <w:r>
        <w:rPr>
          <w:rFonts w:hint="eastAsia" w:ascii="仿宋_GB2312" w:eastAsia="仿宋_GB2312"/>
          <w:spacing w:val="0"/>
          <w:sz w:val="32"/>
          <w:szCs w:val="32"/>
          <w:highlight w:val="none"/>
          <w:lang w:val="en-US" w:eastAsia="zh-CN"/>
        </w:rPr>
        <w:t>4.资源勘探工业信息等支出（类）工业和信息产业监管（款）机关服务（项）:支出决算数为930.39万元，比上年决算减少103.36万元，下降10.00%，主要原因是：2023年在职转退休6人造成当年支出统发工资数减少</w:t>
      </w:r>
      <w:r>
        <w:rPr>
          <w:rFonts w:hint="eastAsia" w:ascii="仿宋_GB2312" w:eastAsia="仿宋_GB2312"/>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pacing w:val="0"/>
          <w:sz w:val="32"/>
          <w:szCs w:val="32"/>
          <w:highlight w:val="none"/>
          <w:lang w:val="zh-CN" w:eastAsia="zh-CN"/>
        </w:rPr>
      </w:pPr>
      <w:r>
        <w:rPr>
          <w:rFonts w:hint="eastAsia" w:ascii="仿宋_GB2312" w:eastAsia="仿宋_GB2312"/>
          <w:spacing w:val="0"/>
          <w:sz w:val="32"/>
          <w:szCs w:val="32"/>
          <w:highlight w:val="none"/>
          <w:lang w:val="en-US" w:eastAsia="zh-CN"/>
        </w:rPr>
        <w:t>5.社会保障和就业支出（类）行政事业单位养老支出（款）事业单位离退休（项）:支出决算数为261.44万元，比上年决算减少3.43万元，下降1.29%，主要原因是：2023年离休人员死亡1人造成支出减少</w:t>
      </w:r>
      <w:r>
        <w:rPr>
          <w:rFonts w:hint="eastAsia" w:ascii="仿宋_GB2312" w:eastAsia="仿宋_GB2312"/>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pacing w:val="0"/>
          <w:sz w:val="32"/>
          <w:szCs w:val="32"/>
          <w:highlight w:val="none"/>
          <w:lang w:val="zh-CN" w:eastAsia="zh-CN"/>
        </w:rPr>
      </w:pPr>
      <w:r>
        <w:rPr>
          <w:rFonts w:hint="eastAsia" w:ascii="仿宋_GB2312" w:eastAsia="仿宋_GB2312"/>
          <w:spacing w:val="0"/>
          <w:sz w:val="32"/>
          <w:szCs w:val="32"/>
          <w:highlight w:val="none"/>
          <w:lang w:val="en-US" w:eastAsia="zh-CN"/>
        </w:rPr>
        <w:t>6.社会保障和就业支出（类）行政事业单位养老支出（款）机关事业单位职业年金缴费支出（项）:支出决算数为52.97万元，比上年决算增加24.07万元，增长83.29%，主要原因是：2023年退休人数比2022年退休人数增加账户记实金额增加</w:t>
      </w:r>
      <w:r>
        <w:rPr>
          <w:rFonts w:hint="eastAsia" w:ascii="仿宋_GB2312" w:eastAsia="仿宋_GB2312"/>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pacing w:val="0"/>
          <w:sz w:val="32"/>
          <w:szCs w:val="32"/>
          <w:highlight w:val="none"/>
          <w:lang w:val="zh-CN" w:eastAsia="zh-CN"/>
        </w:rPr>
      </w:pPr>
      <w:r>
        <w:rPr>
          <w:rFonts w:hint="eastAsia" w:ascii="仿宋_GB2312" w:eastAsia="仿宋_GB2312"/>
          <w:spacing w:val="0"/>
          <w:sz w:val="32"/>
          <w:szCs w:val="32"/>
          <w:highlight w:val="none"/>
          <w:lang w:val="en-US" w:eastAsia="zh-CN"/>
        </w:rPr>
        <w:t>7.社会保障和就业支出（类）行政事业单位养老支出（款）机关事业单位基本养老保险缴费支出（项）:支出决算数为94.28万元，比上年决算增加6.56万元，增长7.48%，主要原因是：在职人员缴费基数调整增加</w:t>
      </w:r>
      <w:r>
        <w:rPr>
          <w:rFonts w:hint="eastAsia" w:ascii="仿宋_GB2312" w:eastAsia="仿宋_GB2312"/>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spacing w:val="0"/>
          <w:sz w:val="32"/>
          <w:szCs w:val="32"/>
          <w:highlight w:val="none"/>
          <w:lang w:val="en-US" w:eastAsia="zh-CN"/>
        </w:rPr>
      </w:pPr>
      <w:r>
        <w:rPr>
          <w:rFonts w:hint="eastAsia" w:ascii="仿宋_GB2312" w:eastAsia="仿宋_GB2312"/>
          <w:spacing w:val="0"/>
          <w:sz w:val="32"/>
          <w:szCs w:val="32"/>
          <w:highlight w:val="none"/>
          <w:lang w:val="en-US" w:eastAsia="zh-CN"/>
        </w:rPr>
        <w:t>8.社会保障和就业支出（类）抚恤（款）死亡抚恤（项）:支出决算数为0.00万元，比上年决算减少11.27万元，降低100%，主要原因是：2023年基本支出中此科目调整到社会保障和就业支出（类）行政事业单位养老支出（款）事业单位离退休（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pacing w:val="0"/>
          <w:sz w:val="32"/>
          <w:szCs w:val="32"/>
          <w:highlight w:val="none"/>
          <w:lang w:eastAsia="zh-CN"/>
        </w:rPr>
        <w:t>2023年度</w:t>
      </w:r>
      <w:r>
        <w:rPr>
          <w:rFonts w:hint="eastAsia" w:ascii="仿宋_GB2312" w:eastAsia="仿宋_GB2312"/>
          <w:sz w:val="32"/>
          <w:szCs w:val="32"/>
          <w:highlight w:val="none"/>
        </w:rPr>
        <w:t>一般公共预算财政拨款基本支出</w:t>
      </w:r>
      <w:r>
        <w:rPr>
          <w:rFonts w:hint="eastAsia" w:ascii="仿宋_GB2312" w:eastAsia="仿宋_GB2312"/>
          <w:sz w:val="32"/>
          <w:szCs w:val="32"/>
          <w:highlight w:val="none"/>
          <w:lang w:eastAsia="zh-CN"/>
        </w:rPr>
        <w:t>1,395.61</w:t>
      </w:r>
      <w:r>
        <w:rPr>
          <w:rFonts w:hint="eastAsia" w:ascii="仿宋_GB2312" w:eastAsia="仿宋_GB2312"/>
          <w:sz w:val="32"/>
          <w:szCs w:val="32"/>
          <w:highlight w:val="none"/>
        </w:rPr>
        <w:t>万元，其中：</w:t>
      </w:r>
      <w:r>
        <w:rPr>
          <w:rFonts w:hint="eastAsia" w:ascii="仿宋_GB2312" w:eastAsia="仿宋_GB2312"/>
          <w:b/>
          <w:bCs/>
          <w:sz w:val="32"/>
          <w:szCs w:val="32"/>
          <w:highlight w:val="none"/>
        </w:rPr>
        <w:t>人员经费</w:t>
      </w:r>
      <w:r>
        <w:rPr>
          <w:rFonts w:hint="eastAsia" w:ascii="仿宋_GB2312" w:eastAsia="仿宋_GB2312"/>
          <w:b/>
          <w:bCs/>
          <w:sz w:val="32"/>
          <w:szCs w:val="32"/>
          <w:highlight w:val="none"/>
          <w:lang w:eastAsia="zh-CN"/>
        </w:rPr>
        <w:t>1,322.55</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w:t>
      </w:r>
      <w:r>
        <w:rPr>
          <w:rFonts w:hint="eastAsia" w:ascii="仿宋_GB2312" w:eastAsia="仿宋_GB2312"/>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sz w:val="32"/>
          <w:szCs w:val="32"/>
          <w:highlight w:val="red"/>
          <w:lang w:val="en-US" w:eastAsia="zh-CN"/>
        </w:rPr>
      </w:pPr>
      <w:r>
        <w:rPr>
          <w:rFonts w:hint="eastAsia" w:ascii="仿宋_GB2312" w:eastAsia="仿宋_GB2312"/>
          <w:b/>
          <w:bCs/>
          <w:sz w:val="32"/>
          <w:szCs w:val="32"/>
          <w:highlight w:val="none"/>
        </w:rPr>
        <w:t>公用经费</w:t>
      </w:r>
      <w:r>
        <w:rPr>
          <w:rFonts w:hint="eastAsia" w:ascii="仿宋_GB2312" w:eastAsia="仿宋_GB2312"/>
          <w:b/>
          <w:bCs/>
          <w:sz w:val="32"/>
          <w:szCs w:val="32"/>
          <w:highlight w:val="none"/>
          <w:lang w:eastAsia="zh-CN"/>
        </w:rPr>
        <w:t>73.06</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w:t>
      </w:r>
      <w:r>
        <w:rPr>
          <w:rFonts w:hint="eastAsia" w:ascii="仿宋_GB2312" w:eastAsia="仿宋_GB2312"/>
          <w:sz w:val="32"/>
          <w:szCs w:val="32"/>
          <w:highlight w:val="none"/>
          <w:lang w:val="en-US" w:eastAsia="zh-CN"/>
        </w:rPr>
        <w:t>办公费、电费、差旅费、工会经费、福利费、公务用车运行维护费、其他商品和服务支出。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b/>
          <w:bCs/>
          <w:sz w:val="32"/>
          <w:szCs w:val="32"/>
          <w:highlight w:val="none"/>
          <w:lang w:val="zh-CN" w:eastAsia="zh-CN"/>
        </w:rPr>
        <w:t>2023年度</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lang w:val="zh-CN" w:eastAsia="zh-CN"/>
        </w:rPr>
        <w:t>“三公”经费支出</w:t>
      </w:r>
      <w:r>
        <w:rPr>
          <w:rFonts w:hint="eastAsia" w:ascii="仿宋_GB2312" w:eastAsia="仿宋_GB2312"/>
          <w:b/>
          <w:bCs/>
          <w:sz w:val="32"/>
          <w:szCs w:val="32"/>
          <w:highlight w:val="none"/>
          <w:lang w:val="en-US" w:eastAsia="zh-CN"/>
        </w:rPr>
        <w:t>决算</w:t>
      </w:r>
      <w:r>
        <w:rPr>
          <w:rFonts w:hint="eastAsia" w:ascii="仿宋_GB2312" w:eastAsia="仿宋_GB2312"/>
          <w:b/>
          <w:bCs/>
          <w:sz w:val="32"/>
          <w:szCs w:val="32"/>
          <w:highlight w:val="none"/>
          <w:lang w:val="zh-CN" w:eastAsia="zh-CN"/>
        </w:rPr>
        <w:t>4.29万元，</w:t>
      </w:r>
      <w:r>
        <w:rPr>
          <w:rFonts w:hint="eastAsia" w:ascii="仿宋_GB2312" w:eastAsia="仿宋_GB2312"/>
          <w:sz w:val="32"/>
          <w:szCs w:val="32"/>
          <w:highlight w:val="none"/>
          <w:lang w:val="en-US" w:eastAsia="zh-CN"/>
        </w:rPr>
        <w:t>比上年</w:t>
      </w:r>
      <w:r>
        <w:rPr>
          <w:rFonts w:hint="eastAsia" w:ascii="仿宋_GB2312" w:eastAsia="仿宋_GB2312"/>
          <w:sz w:val="32"/>
          <w:szCs w:val="32"/>
          <w:highlight w:val="none"/>
          <w:lang w:val="zh-CN" w:eastAsia="zh-CN"/>
        </w:rPr>
        <w:t>增加4.27万元，增长21350.00%，主要原因是：</w:t>
      </w:r>
      <w:r>
        <w:rPr>
          <w:rFonts w:hint="eastAsia" w:ascii="仿宋_GB2312" w:eastAsia="仿宋_GB2312"/>
          <w:sz w:val="32"/>
          <w:szCs w:val="32"/>
          <w:highlight w:val="none"/>
          <w:lang w:val="en-US" w:eastAsia="zh-CN"/>
        </w:rPr>
        <w:t>2023年</w:t>
      </w:r>
      <w:r>
        <w:rPr>
          <w:rFonts w:hint="eastAsia" w:ascii="仿宋_GB2312" w:eastAsia="仿宋_GB2312"/>
          <w:sz w:val="32"/>
          <w:szCs w:val="32"/>
          <w:highlight w:val="none"/>
          <w:lang w:val="zh-CN" w:eastAsia="zh-CN"/>
        </w:rPr>
        <w:t>公务用车购置及运行维护费支出4.29万元</w:t>
      </w:r>
      <w:r>
        <w:rPr>
          <w:rFonts w:hint="eastAsia" w:ascii="仿宋_GB2312" w:eastAsia="仿宋_GB2312"/>
          <w:sz w:val="32"/>
          <w:szCs w:val="32"/>
          <w:highlight w:val="none"/>
          <w:lang w:val="en-US" w:eastAsia="zh-CN"/>
        </w:rPr>
        <w:t>形成</w:t>
      </w:r>
      <w:r>
        <w:rPr>
          <w:rFonts w:hint="eastAsia" w:ascii="仿宋_GB2312" w:eastAsia="仿宋_GB2312"/>
          <w:sz w:val="32"/>
          <w:szCs w:val="32"/>
          <w:highlight w:val="none"/>
          <w:lang w:val="zh-CN" w:eastAsia="zh-CN"/>
        </w:rPr>
        <w:t>，我单位3辆公务用车</w:t>
      </w:r>
      <w:r>
        <w:rPr>
          <w:rFonts w:hint="eastAsia" w:ascii="仿宋_GB2312" w:eastAsia="仿宋_GB2312"/>
          <w:sz w:val="32"/>
          <w:szCs w:val="32"/>
          <w:highlight w:val="none"/>
          <w:lang w:val="en-US" w:eastAsia="zh-CN"/>
        </w:rPr>
        <w:t>2022</w:t>
      </w:r>
      <w:r>
        <w:rPr>
          <w:rFonts w:hint="eastAsia" w:ascii="仿宋_GB2312" w:eastAsia="仿宋_GB2312"/>
          <w:sz w:val="32"/>
          <w:szCs w:val="32"/>
          <w:highlight w:val="none"/>
          <w:lang w:val="zh-CN" w:eastAsia="zh-CN"/>
        </w:rPr>
        <w:t>年</w:t>
      </w:r>
      <w:r>
        <w:rPr>
          <w:rFonts w:hint="eastAsia" w:ascii="仿宋_GB2312" w:eastAsia="仿宋_GB2312"/>
          <w:sz w:val="32"/>
          <w:szCs w:val="32"/>
          <w:highlight w:val="none"/>
          <w:lang w:val="en-US" w:eastAsia="zh-CN"/>
        </w:rPr>
        <w:t>发生</w:t>
      </w:r>
      <w:r>
        <w:rPr>
          <w:rFonts w:hint="eastAsia" w:ascii="仿宋_GB2312" w:eastAsia="仿宋_GB2312"/>
          <w:sz w:val="32"/>
          <w:szCs w:val="32"/>
          <w:highlight w:val="none"/>
          <w:lang w:val="zh-CN" w:eastAsia="zh-CN"/>
        </w:rPr>
        <w:t>费用</w:t>
      </w:r>
      <w:r>
        <w:rPr>
          <w:rFonts w:hint="eastAsia" w:ascii="仿宋_GB2312" w:eastAsia="仿宋_GB2312"/>
          <w:sz w:val="32"/>
          <w:szCs w:val="32"/>
          <w:highlight w:val="none"/>
          <w:lang w:val="en-US" w:eastAsia="zh-CN"/>
        </w:rPr>
        <w:t>除审车费以外均在</w:t>
      </w:r>
      <w:r>
        <w:rPr>
          <w:rFonts w:hint="eastAsia" w:ascii="仿宋_GB2312" w:eastAsia="仿宋_GB2312"/>
          <w:sz w:val="32"/>
          <w:szCs w:val="32"/>
          <w:highlight w:val="none"/>
          <w:lang w:val="zh-CN" w:eastAsia="zh-CN"/>
        </w:rPr>
        <w:t>厅机关支出，</w:t>
      </w:r>
      <w:r>
        <w:rPr>
          <w:rFonts w:hint="eastAsia" w:ascii="仿宋_GB2312" w:eastAsia="仿宋_GB2312"/>
          <w:sz w:val="32"/>
          <w:szCs w:val="32"/>
          <w:highlight w:val="none"/>
          <w:lang w:val="en-US" w:eastAsia="zh-CN"/>
        </w:rPr>
        <w:t>2023</w:t>
      </w:r>
      <w:r>
        <w:rPr>
          <w:rFonts w:hint="eastAsia" w:ascii="仿宋_GB2312" w:eastAsia="仿宋_GB2312"/>
          <w:sz w:val="32"/>
          <w:szCs w:val="32"/>
          <w:highlight w:val="none"/>
          <w:lang w:val="zh-CN" w:eastAsia="zh-CN"/>
        </w:rPr>
        <w:t>年</w:t>
      </w:r>
      <w:r>
        <w:rPr>
          <w:rFonts w:hint="eastAsia" w:ascii="仿宋_GB2312" w:eastAsia="仿宋_GB2312"/>
          <w:sz w:val="32"/>
          <w:szCs w:val="32"/>
          <w:highlight w:val="none"/>
          <w:lang w:val="en-US" w:eastAsia="zh-CN"/>
        </w:rPr>
        <w:t>度</w:t>
      </w:r>
      <w:r>
        <w:rPr>
          <w:rFonts w:hint="eastAsia" w:ascii="仿宋_GB2312" w:eastAsia="仿宋_GB2312"/>
          <w:sz w:val="32"/>
          <w:szCs w:val="32"/>
          <w:highlight w:val="none"/>
          <w:lang w:val="zh-CN" w:eastAsia="zh-CN"/>
        </w:rPr>
        <w:t>费用在我单位</w:t>
      </w:r>
      <w:r>
        <w:rPr>
          <w:rFonts w:hint="eastAsia" w:ascii="仿宋_GB2312" w:eastAsia="仿宋_GB2312"/>
          <w:sz w:val="32"/>
          <w:szCs w:val="32"/>
          <w:highlight w:val="none"/>
          <w:lang w:val="en-US" w:eastAsia="zh-CN"/>
        </w:rPr>
        <w:t>列支</w:t>
      </w:r>
      <w:r>
        <w:rPr>
          <w:rFonts w:hint="eastAsia" w:ascii="仿宋_GB2312" w:eastAsia="仿宋_GB2312"/>
          <w:sz w:val="32"/>
          <w:szCs w:val="32"/>
          <w:highlight w:val="none"/>
          <w:lang w:val="zh-CN" w:eastAsia="zh-CN"/>
        </w:rPr>
        <w:t>。其中：因公出国（境）费支出0.00万元，占0.00%，比上年增加0.00万元，增长0.00%，主要原因是：</w:t>
      </w:r>
      <w:r>
        <w:rPr>
          <w:rFonts w:hint="eastAsia" w:ascii="仿宋_GB2312" w:eastAsia="仿宋_GB2312"/>
          <w:sz w:val="32"/>
          <w:szCs w:val="32"/>
          <w:highlight w:val="none"/>
          <w:lang w:val="en-US" w:eastAsia="zh-CN"/>
        </w:rPr>
        <w:t>我单位未发生此类费用；</w:t>
      </w:r>
      <w:r>
        <w:rPr>
          <w:rFonts w:hint="eastAsia" w:ascii="仿宋_GB2312" w:eastAsia="仿宋_GB2312"/>
          <w:sz w:val="32"/>
          <w:szCs w:val="32"/>
          <w:highlight w:val="none"/>
          <w:lang w:val="zh-CN" w:eastAsia="zh-CN"/>
        </w:rPr>
        <w:t>公务用车购置及运行维护费支出4.29万元，占100.00%，比上年增加4.27万元，增长21350.00%，主要原因是：我单位3辆公务用车</w:t>
      </w:r>
      <w:r>
        <w:rPr>
          <w:rFonts w:hint="eastAsia" w:ascii="仿宋_GB2312" w:eastAsia="仿宋_GB2312"/>
          <w:sz w:val="32"/>
          <w:szCs w:val="32"/>
          <w:highlight w:val="none"/>
          <w:lang w:val="en-US" w:eastAsia="zh-CN"/>
        </w:rPr>
        <w:t>2022</w:t>
      </w:r>
      <w:r>
        <w:rPr>
          <w:rFonts w:hint="eastAsia" w:ascii="仿宋_GB2312" w:eastAsia="仿宋_GB2312"/>
          <w:sz w:val="32"/>
          <w:szCs w:val="32"/>
          <w:highlight w:val="none"/>
          <w:lang w:val="zh-CN" w:eastAsia="zh-CN"/>
        </w:rPr>
        <w:t>年</w:t>
      </w:r>
      <w:r>
        <w:rPr>
          <w:rFonts w:hint="eastAsia" w:ascii="仿宋_GB2312" w:eastAsia="仿宋_GB2312"/>
          <w:sz w:val="32"/>
          <w:szCs w:val="32"/>
          <w:highlight w:val="none"/>
          <w:lang w:val="en-US" w:eastAsia="zh-CN"/>
        </w:rPr>
        <w:t>发生</w:t>
      </w:r>
      <w:r>
        <w:rPr>
          <w:rFonts w:hint="eastAsia" w:ascii="仿宋_GB2312" w:eastAsia="仿宋_GB2312"/>
          <w:sz w:val="32"/>
          <w:szCs w:val="32"/>
          <w:highlight w:val="none"/>
          <w:lang w:val="zh-CN" w:eastAsia="zh-CN"/>
        </w:rPr>
        <w:t>费用</w:t>
      </w:r>
      <w:r>
        <w:rPr>
          <w:rFonts w:hint="eastAsia" w:ascii="仿宋_GB2312" w:eastAsia="仿宋_GB2312"/>
          <w:sz w:val="32"/>
          <w:szCs w:val="32"/>
          <w:highlight w:val="none"/>
          <w:lang w:val="en-US" w:eastAsia="zh-CN"/>
        </w:rPr>
        <w:t>除审车费以外均在</w:t>
      </w:r>
      <w:r>
        <w:rPr>
          <w:rFonts w:hint="eastAsia" w:ascii="仿宋_GB2312" w:eastAsia="仿宋_GB2312"/>
          <w:sz w:val="32"/>
          <w:szCs w:val="32"/>
          <w:highlight w:val="none"/>
          <w:lang w:val="zh-CN" w:eastAsia="zh-CN"/>
        </w:rPr>
        <w:t>厅机关支出，</w:t>
      </w:r>
      <w:r>
        <w:rPr>
          <w:rFonts w:hint="eastAsia" w:ascii="仿宋_GB2312" w:eastAsia="仿宋_GB2312"/>
          <w:sz w:val="32"/>
          <w:szCs w:val="32"/>
          <w:highlight w:val="none"/>
          <w:lang w:val="en-US" w:eastAsia="zh-CN"/>
        </w:rPr>
        <w:t>2023</w:t>
      </w:r>
      <w:r>
        <w:rPr>
          <w:rFonts w:hint="eastAsia" w:ascii="仿宋_GB2312" w:eastAsia="仿宋_GB2312"/>
          <w:sz w:val="32"/>
          <w:szCs w:val="32"/>
          <w:highlight w:val="none"/>
          <w:lang w:val="zh-CN" w:eastAsia="zh-CN"/>
        </w:rPr>
        <w:t>年</w:t>
      </w:r>
      <w:r>
        <w:rPr>
          <w:rFonts w:hint="eastAsia" w:ascii="仿宋_GB2312" w:eastAsia="仿宋_GB2312"/>
          <w:sz w:val="32"/>
          <w:szCs w:val="32"/>
          <w:highlight w:val="none"/>
          <w:lang w:val="en-US" w:eastAsia="zh-CN"/>
        </w:rPr>
        <w:t>度</w:t>
      </w:r>
      <w:r>
        <w:rPr>
          <w:rFonts w:hint="eastAsia" w:ascii="仿宋_GB2312" w:eastAsia="仿宋_GB2312"/>
          <w:sz w:val="32"/>
          <w:szCs w:val="32"/>
          <w:highlight w:val="none"/>
          <w:lang w:val="zh-CN" w:eastAsia="zh-CN"/>
        </w:rPr>
        <w:t>费用在我单位</w:t>
      </w:r>
      <w:r>
        <w:rPr>
          <w:rFonts w:hint="eastAsia" w:ascii="仿宋_GB2312" w:eastAsia="仿宋_GB2312"/>
          <w:sz w:val="32"/>
          <w:szCs w:val="32"/>
          <w:highlight w:val="none"/>
          <w:lang w:val="en-US" w:eastAsia="zh-CN"/>
        </w:rPr>
        <w:t>列支</w:t>
      </w:r>
      <w:r>
        <w:rPr>
          <w:rFonts w:hint="eastAsia" w:ascii="仿宋_GB2312" w:eastAsia="仿宋_GB2312"/>
          <w:sz w:val="32"/>
          <w:szCs w:val="32"/>
          <w:highlight w:val="none"/>
          <w:lang w:val="zh-CN" w:eastAsia="zh-CN"/>
        </w:rPr>
        <w:t>；公务接待费支出0.00万元，占0.00%，比上年增加0.00万元，增长0.00%，主要原因是：</w:t>
      </w:r>
      <w:r>
        <w:rPr>
          <w:rFonts w:hint="eastAsia" w:ascii="仿宋_GB2312" w:eastAsia="仿宋_GB2312"/>
          <w:sz w:val="32"/>
          <w:szCs w:val="32"/>
          <w:highlight w:val="none"/>
          <w:lang w:val="en-US" w:eastAsia="zh-CN"/>
        </w:rPr>
        <w:t>我单位未发生此类费用</w:t>
      </w:r>
      <w:r>
        <w:rPr>
          <w:rFonts w:hint="eastAsia" w:ascii="仿宋_GB2312" w:eastAsia="仿宋_GB2312"/>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sz w:val="32"/>
          <w:szCs w:val="32"/>
          <w:highlight w:val="none"/>
          <w:lang w:val="zh-CN" w:eastAsia="zh-CN"/>
        </w:rPr>
      </w:pPr>
      <w:r>
        <w:rPr>
          <w:rFonts w:hint="eastAsia" w:ascii="仿宋_GB2312" w:eastAsia="仿宋_GB2312"/>
          <w:b/>
          <w:bCs/>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因公出国（境）费支出0.00万元，</w:t>
      </w:r>
      <w:r>
        <w:rPr>
          <w:rFonts w:hint="eastAsia" w:ascii="仿宋_GB2312" w:eastAsia="仿宋_GB2312"/>
          <w:sz w:val="32"/>
          <w:szCs w:val="32"/>
          <w:highlight w:val="none"/>
          <w:lang w:val="en-US" w:eastAsia="zh-CN"/>
        </w:rPr>
        <w:t>开支内容包括我单位无</w:t>
      </w:r>
      <w:r>
        <w:rPr>
          <w:rFonts w:hint="eastAsia" w:ascii="仿宋_GB2312" w:eastAsia="仿宋_GB2312"/>
          <w:sz w:val="32"/>
          <w:szCs w:val="32"/>
          <w:highlight w:val="none"/>
          <w:lang w:val="zh-CN" w:eastAsia="zh-CN"/>
        </w:rPr>
        <w:t>因公出国（境）</w:t>
      </w:r>
      <w:r>
        <w:rPr>
          <w:rFonts w:hint="eastAsia" w:ascii="仿宋_GB2312" w:eastAsia="仿宋_GB2312"/>
          <w:sz w:val="32"/>
          <w:szCs w:val="32"/>
          <w:highlight w:val="none"/>
          <w:lang w:val="en-US" w:eastAsia="zh-CN"/>
        </w:rPr>
        <w:t>费</w:t>
      </w:r>
      <w:r>
        <w:rPr>
          <w:rFonts w:hint="eastAsia" w:ascii="仿宋_GB2312" w:eastAsia="仿宋_GB2312"/>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zh-CN" w:eastAsia="zh-CN"/>
        </w:rPr>
        <w:t>公务用车购置及运行维护费4.29万元，其中：公务用车购置费0.00万元，公务用车运行维护费4.29万元。公务用车运行维护费开支内容包括</w:t>
      </w:r>
      <w:r>
        <w:rPr>
          <w:rFonts w:hint="eastAsia" w:ascii="仿宋_GB2312" w:eastAsia="仿宋_GB2312"/>
          <w:sz w:val="32"/>
          <w:szCs w:val="32"/>
          <w:highlight w:val="none"/>
          <w:lang w:val="en-US" w:eastAsia="zh-CN"/>
        </w:rPr>
        <w:t>车辆燃油费、车辆保险费、车辆修理费</w:t>
      </w:r>
      <w:r>
        <w:rPr>
          <w:rFonts w:hint="eastAsia" w:ascii="仿宋_GB2312" w:eastAsia="仿宋_GB2312"/>
          <w:sz w:val="32"/>
          <w:szCs w:val="32"/>
          <w:highlight w:val="none"/>
          <w:lang w:val="zh-CN" w:eastAsia="zh-CN"/>
        </w:rPr>
        <w:t>。公务用车购置数0辆，公务用车保有量3辆。国有资产占用情况</w:t>
      </w:r>
      <w:r>
        <w:rPr>
          <w:rFonts w:hint="eastAsia" w:ascii="仿宋_GB2312" w:eastAsia="仿宋_GB2312"/>
          <w:sz w:val="32"/>
          <w:szCs w:val="32"/>
          <w:highlight w:val="none"/>
          <w:lang w:val="en-US" w:eastAsia="zh-CN"/>
        </w:rPr>
        <w:t>中固定资产车辆</w:t>
      </w:r>
      <w:r>
        <w:rPr>
          <w:rFonts w:hint="eastAsia" w:ascii="仿宋_GB2312" w:eastAsia="仿宋_GB2312"/>
          <w:sz w:val="32"/>
          <w:szCs w:val="32"/>
          <w:highlight w:val="none"/>
          <w:lang w:val="zh-CN" w:eastAsia="zh-CN"/>
        </w:rPr>
        <w:t>3辆，</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lang w:val="zh-CN" w:eastAsia="zh-CN"/>
        </w:rPr>
        <w:t>公务用车</w:t>
      </w:r>
      <w:r>
        <w:rPr>
          <w:rFonts w:hint="eastAsia" w:ascii="仿宋_GB2312" w:eastAsia="仿宋_GB2312"/>
          <w:sz w:val="32"/>
          <w:szCs w:val="32"/>
          <w:highlight w:val="none"/>
          <w:lang w:val="en-US" w:eastAsia="zh-CN"/>
        </w:rPr>
        <w:t>保有量无差异。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公务接待费0.00万元，</w:t>
      </w:r>
      <w:r>
        <w:rPr>
          <w:rFonts w:hint="eastAsia" w:ascii="仿宋_GB2312" w:eastAsia="仿宋_GB2312"/>
          <w:sz w:val="32"/>
          <w:szCs w:val="32"/>
          <w:highlight w:val="none"/>
          <w:lang w:val="en-US" w:eastAsia="zh-CN"/>
        </w:rPr>
        <w:t>开支内容包括我单位无</w:t>
      </w:r>
      <w:r>
        <w:rPr>
          <w:rFonts w:hint="eastAsia" w:ascii="仿宋_GB2312" w:eastAsia="仿宋_GB2312"/>
          <w:sz w:val="32"/>
          <w:szCs w:val="32"/>
          <w:highlight w:val="none"/>
          <w:lang w:val="zh-CN" w:eastAsia="zh-CN"/>
        </w:rPr>
        <w:t>公务接待</w:t>
      </w:r>
      <w:bookmarkStart w:id="48" w:name="_GoBack"/>
      <w:bookmarkEnd w:id="48"/>
      <w:r>
        <w:rPr>
          <w:rFonts w:hint="eastAsia" w:ascii="仿宋_GB2312" w:eastAsia="仿宋_GB2312"/>
          <w:sz w:val="32"/>
          <w:szCs w:val="32"/>
          <w:highlight w:val="none"/>
          <w:lang w:val="en-US" w:eastAsia="zh-CN"/>
        </w:rPr>
        <w:t>费</w:t>
      </w:r>
      <w:r>
        <w:rPr>
          <w:rFonts w:hint="eastAsia" w:ascii="仿宋_GB2312" w:eastAsia="仿宋_GB2312"/>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b/>
          <w:bCs/>
          <w:sz w:val="32"/>
          <w:szCs w:val="32"/>
          <w:highlight w:val="none"/>
          <w:lang w:val="zh-CN" w:eastAsia="zh-CN"/>
        </w:rPr>
        <w:t>与</w:t>
      </w:r>
      <w:r>
        <w:rPr>
          <w:rFonts w:hint="eastAsia" w:ascii="仿宋_GB2312" w:eastAsia="仿宋_GB2312"/>
          <w:b/>
          <w:bCs/>
          <w:sz w:val="32"/>
          <w:szCs w:val="32"/>
          <w:highlight w:val="none"/>
          <w:lang w:val="en-US" w:eastAsia="zh-CN"/>
        </w:rPr>
        <w:t>全年</w:t>
      </w:r>
      <w:r>
        <w:rPr>
          <w:rFonts w:hint="eastAsia" w:ascii="仿宋_GB2312" w:eastAsia="仿宋_GB2312"/>
          <w:b/>
          <w:bCs/>
          <w:sz w:val="32"/>
          <w:szCs w:val="32"/>
          <w:highlight w:val="none"/>
          <w:lang w:val="zh-CN" w:eastAsia="zh-CN"/>
        </w:rPr>
        <w:t>预算相比</w:t>
      </w:r>
      <w:r>
        <w:rPr>
          <w:rFonts w:hint="eastAsia" w:ascii="仿宋_GB2312" w:eastAsia="仿宋_GB2312"/>
          <w:b/>
          <w:bCs/>
          <w:sz w:val="32"/>
          <w:szCs w:val="32"/>
          <w:highlight w:val="none"/>
          <w:lang w:val="en-US" w:eastAsia="zh-CN"/>
        </w:rPr>
        <w:t>,</w:t>
      </w:r>
      <w:r>
        <w:rPr>
          <w:rFonts w:hint="eastAsia" w:ascii="仿宋_GB2312" w:eastAsia="仿宋_GB2312"/>
          <w:sz w:val="32"/>
          <w:szCs w:val="32"/>
          <w:highlight w:val="none"/>
          <w:lang w:val="zh-CN" w:eastAsia="zh-CN"/>
        </w:rPr>
        <w:t>财政拨款“三公”经费支出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预算数4.29万元，决算数4.29万元，预决算差异率0.00%，主要原因是：</w:t>
      </w:r>
      <w:r>
        <w:rPr>
          <w:rFonts w:hint="eastAsia" w:ascii="仿宋_GB2312" w:eastAsia="仿宋_GB2312"/>
          <w:sz w:val="32"/>
          <w:szCs w:val="32"/>
          <w:highlight w:val="none"/>
          <w:lang w:val="en-US" w:eastAsia="zh-CN"/>
        </w:rPr>
        <w:t>在预算执行过程中严格做到无预算不支出</w:t>
      </w:r>
      <w:r>
        <w:rPr>
          <w:rFonts w:hint="eastAsia" w:ascii="仿宋_GB2312" w:eastAsia="仿宋_GB2312"/>
          <w:sz w:val="32"/>
          <w:szCs w:val="32"/>
          <w:highlight w:val="none"/>
          <w:lang w:val="zh-CN" w:eastAsia="zh-CN"/>
        </w:rPr>
        <w:t>。其中：因公出国（境）费</w:t>
      </w:r>
      <w:r>
        <w:rPr>
          <w:rFonts w:hint="eastAsia" w:ascii="仿宋_GB2312" w:eastAsia="仿宋_GB2312"/>
          <w:sz w:val="32"/>
          <w:szCs w:val="32"/>
          <w:highlight w:val="none"/>
          <w:lang w:val="en-US" w:eastAsia="zh-CN"/>
        </w:rPr>
        <w:t>全年预算数</w:t>
      </w:r>
      <w:r>
        <w:rPr>
          <w:rFonts w:hint="eastAsia" w:ascii="仿宋_GB2312" w:eastAsia="仿宋_GB2312"/>
          <w:sz w:val="32"/>
          <w:szCs w:val="32"/>
          <w:highlight w:val="none"/>
          <w:lang w:val="zh-CN" w:eastAsia="zh-CN"/>
        </w:rPr>
        <w:t>0.00万元，决算数0.00万元，预决算差异率0.00%，主要原因是：</w:t>
      </w:r>
      <w:r>
        <w:rPr>
          <w:rFonts w:hint="eastAsia" w:ascii="仿宋_GB2312" w:eastAsia="仿宋_GB2312"/>
          <w:sz w:val="32"/>
          <w:szCs w:val="32"/>
          <w:highlight w:val="none"/>
          <w:lang w:val="en-US" w:eastAsia="zh-CN"/>
        </w:rPr>
        <w:t>我单位未发生此类费用</w:t>
      </w:r>
      <w:r>
        <w:rPr>
          <w:rFonts w:hint="eastAsia" w:ascii="仿宋_GB2312" w:eastAsia="仿宋_GB2312"/>
          <w:sz w:val="32"/>
          <w:szCs w:val="32"/>
          <w:highlight w:val="none"/>
          <w:lang w:val="zh-CN" w:eastAsia="zh-CN"/>
        </w:rPr>
        <w:t>；公务用车购置费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我单位未发生此类费用</w:t>
      </w:r>
      <w:r>
        <w:rPr>
          <w:rFonts w:hint="eastAsia" w:ascii="仿宋_GB2312" w:eastAsia="仿宋_GB2312"/>
          <w:sz w:val="32"/>
          <w:szCs w:val="32"/>
          <w:highlight w:val="none"/>
          <w:lang w:val="zh-CN" w:eastAsia="zh-CN"/>
        </w:rPr>
        <w:t>；公务用车运行费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预算数4.29万元，决算数4.29万元，预决算差异率0.00%，主要原因是：</w:t>
      </w:r>
      <w:r>
        <w:rPr>
          <w:rFonts w:hint="eastAsia" w:ascii="仿宋_GB2312" w:eastAsia="仿宋_GB2312"/>
          <w:sz w:val="32"/>
          <w:szCs w:val="32"/>
          <w:highlight w:val="none"/>
          <w:lang w:val="en-US" w:eastAsia="zh-CN"/>
        </w:rPr>
        <w:t>在预算执行过程中严格做到无预算不支出</w:t>
      </w:r>
      <w:r>
        <w:rPr>
          <w:rFonts w:hint="eastAsia" w:ascii="仿宋_GB2312" w:eastAsia="仿宋_GB2312"/>
          <w:sz w:val="32"/>
          <w:szCs w:val="32"/>
          <w:highlight w:val="none"/>
          <w:lang w:val="zh-CN" w:eastAsia="zh-CN"/>
        </w:rPr>
        <w:t>；公务接待费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我单位未发生此类费用</w:t>
      </w:r>
      <w:r>
        <w:rPr>
          <w:rFonts w:hint="eastAsia" w:ascii="仿宋_GB2312" w:eastAsia="仿宋_GB2312"/>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8" w:name="_Toc7927"/>
      <w:bookmarkStart w:id="19" w:name="_Toc5810"/>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本年度无政府性基金预算财政拨款收入、支出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本年度无国有资本经营预算财政拨款收入、支出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，国有资本经营</w:t>
      </w:r>
      <w:r>
        <w:rPr>
          <w:rFonts w:hint="eastAsia" w:ascii="仿宋_GB2312" w:eastAsia="仿宋_GB2312"/>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20" w:name="_Toc7314"/>
      <w:bookmarkStart w:id="21" w:name="_Toc123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rPr>
      </w:pPr>
      <w:bookmarkStart w:id="22" w:name="_Toc14519"/>
      <w:bookmarkStart w:id="23" w:name="_Toc13105"/>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sz w:val="32"/>
          <w:szCs w:val="32"/>
          <w:highlight w:val="none"/>
          <w:lang w:val="zh-CN" w:eastAsia="zh-CN"/>
        </w:rPr>
      </w:pPr>
      <w:bookmarkStart w:id="24" w:name="_Toc26704"/>
      <w:bookmarkStart w:id="25" w:name="_Toc227"/>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en-US" w:eastAsia="zh-CN"/>
        </w:rPr>
        <w:t>新疆维吾尔自治区工业和信息化厅机关服务中心</w:t>
      </w:r>
      <w:r>
        <w:rPr>
          <w:rFonts w:hint="eastAsia" w:ascii="Times New Roman" w:hAnsi="Times New Roman" w:eastAsia="仿宋_GB2312" w:cs="Times New Roman"/>
          <w:sz w:val="32"/>
          <w:szCs w:val="32"/>
          <w:highlight w:val="none"/>
          <w:lang w:val="zh-CN" w:eastAsia="zh-CN"/>
        </w:rPr>
        <w:t>（事业单位）公用经费支出73.06万元，比上年增加19.92万元，增长37.49%，主要原因是：</w:t>
      </w:r>
      <w:r>
        <w:rPr>
          <w:rFonts w:hint="eastAsia" w:eastAsia="仿宋_GB2312" w:cs="Times New Roman"/>
          <w:sz w:val="32"/>
          <w:szCs w:val="32"/>
          <w:highlight w:val="none"/>
          <w:lang w:val="en-US" w:eastAsia="zh-CN"/>
        </w:rPr>
        <w:t>2022</w:t>
      </w:r>
      <w:r>
        <w:rPr>
          <w:rFonts w:hint="eastAsia" w:ascii="Times New Roman" w:hAnsi="Times New Roman" w:eastAsia="仿宋_GB2312" w:cs="Times New Roman"/>
          <w:sz w:val="32"/>
          <w:szCs w:val="32"/>
          <w:highlight w:val="none"/>
          <w:lang w:val="zh-CN" w:eastAsia="zh-CN"/>
        </w:rPr>
        <w:t>年预算</w:t>
      </w:r>
      <w:r>
        <w:rPr>
          <w:rFonts w:hint="eastAsia" w:eastAsia="仿宋_GB2312" w:cs="Times New Roman"/>
          <w:sz w:val="32"/>
          <w:szCs w:val="32"/>
          <w:highlight w:val="none"/>
          <w:lang w:val="en-US" w:eastAsia="zh-CN"/>
        </w:rPr>
        <w:t>支出</w:t>
      </w:r>
      <w:r>
        <w:rPr>
          <w:rFonts w:hint="eastAsia" w:ascii="Times New Roman" w:hAnsi="Times New Roman" w:eastAsia="仿宋_GB2312" w:cs="Times New Roman"/>
          <w:sz w:val="32"/>
          <w:szCs w:val="32"/>
          <w:highlight w:val="none"/>
          <w:lang w:val="zh-CN" w:eastAsia="zh-CN"/>
        </w:rPr>
        <w:t>没有执行完</w:t>
      </w:r>
      <w:r>
        <w:rPr>
          <w:rFonts w:hint="eastAsia"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zh-CN" w:eastAsia="zh-CN"/>
        </w:rPr>
        <w:t>造成</w:t>
      </w:r>
      <w:r>
        <w:rPr>
          <w:rFonts w:hint="eastAsia" w:eastAsia="仿宋_GB2312" w:cs="Times New Roman"/>
          <w:sz w:val="32"/>
          <w:szCs w:val="32"/>
          <w:highlight w:val="none"/>
          <w:lang w:val="en-US" w:eastAsia="zh-CN"/>
        </w:rPr>
        <w:t>2023</w:t>
      </w:r>
      <w:r>
        <w:rPr>
          <w:rFonts w:hint="eastAsia" w:ascii="Times New Roman" w:hAnsi="Times New Roman" w:eastAsia="仿宋_GB2312" w:cs="Times New Roman"/>
          <w:sz w:val="32"/>
          <w:szCs w:val="32"/>
          <w:highlight w:val="none"/>
          <w:lang w:val="zh-CN" w:eastAsia="zh-CN"/>
        </w:rPr>
        <w:t>年支出虚高。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sz w:val="32"/>
          <w:szCs w:val="30"/>
          <w:highlight w:val="none"/>
          <w:lang w:val="zh-CN" w:eastAsia="zh-CN"/>
        </w:rPr>
      </w:pPr>
      <w:r>
        <w:rPr>
          <w:rFonts w:hint="eastAsia" w:ascii="Times New Roman" w:hAnsi="Times New Roman" w:eastAsia="黑体" w:cs="Times New Roman"/>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rPr>
      </w:pPr>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zh-CN"/>
        </w:rPr>
        <w:t>政府采购支出总额</w:t>
      </w:r>
      <w:r>
        <w:rPr>
          <w:rFonts w:hint="eastAsia" w:ascii="Times New Roman" w:hAnsi="Times New Roman" w:eastAsia="仿宋_GB2312" w:cs="Times New Roman"/>
          <w:sz w:val="32"/>
          <w:szCs w:val="32"/>
          <w:highlight w:val="none"/>
          <w:lang w:val="zh-CN" w:eastAsia="zh-CN"/>
        </w:rPr>
        <w:t>41.90万元</w:t>
      </w:r>
      <w:r>
        <w:rPr>
          <w:rFonts w:hint="eastAsia" w:ascii="Times New Roman" w:hAnsi="Times New Roman" w:eastAsia="仿宋_GB2312" w:cs="Times New Roman"/>
          <w:sz w:val="32"/>
          <w:szCs w:val="32"/>
          <w:highlight w:val="none"/>
          <w:lang w:val="zh-CN"/>
        </w:rPr>
        <w:t>，</w:t>
      </w:r>
      <w:r>
        <w:rPr>
          <w:rFonts w:hint="eastAsia" w:ascii="Times New Roman" w:hAnsi="Times New Roman" w:eastAsia="仿宋_GB2312" w:cs="Times New Roman"/>
          <w:sz w:val="32"/>
          <w:szCs w:val="32"/>
          <w:highlight w:val="none"/>
          <w:lang w:val="zh-CN" w:eastAsia="zh-CN"/>
        </w:rPr>
        <w:t>其中：政府采购货物支出30.11万元、政府采购工程支出9.50万元、政府采购服务支出2.29万元。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zh-CN" w:eastAsia="zh-CN"/>
        </w:rPr>
        <w:t>授予中小企业合同金额40.82万元，占政府采购支出总额的97.43</w:t>
      </w:r>
      <w:r>
        <w:rPr>
          <w:rFonts w:hint="default"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zh-CN" w:eastAsia="zh-CN"/>
        </w:rPr>
        <w:t>，其中：授予小微企业合同金额40.82万元，占政府采购支出总额的97.43</w:t>
      </w:r>
      <w:r>
        <w:rPr>
          <w:rFonts w:hint="default"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sz w:val="32"/>
          <w:szCs w:val="30"/>
          <w:highlight w:val="none"/>
          <w:lang w:val="zh-CN" w:eastAsia="zh-CN"/>
        </w:rPr>
      </w:pPr>
      <w:bookmarkStart w:id="26" w:name="_Toc4591"/>
      <w:bookmarkStart w:id="27" w:name="_Toc8391"/>
      <w:r>
        <w:rPr>
          <w:rFonts w:hint="eastAsia" w:ascii="Times New Roman" w:hAnsi="Times New Roman" w:eastAsia="黑体" w:cs="Times New Roman"/>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截至2023</w:t>
      </w:r>
      <w:r>
        <w:rPr>
          <w:rFonts w:hint="eastAsia" w:ascii="Times New Roman" w:hAnsi="Times New Roman" w:eastAsia="仿宋_GB2312" w:cs="Times New Roman"/>
          <w:sz w:val="32"/>
          <w:szCs w:val="32"/>
          <w:highlight w:val="none"/>
          <w:lang w:val="zh-CN" w:eastAsia="zh-CN"/>
        </w:rPr>
        <w:t>年</w:t>
      </w:r>
      <w:r>
        <w:rPr>
          <w:rFonts w:hint="eastAsia" w:ascii="Times New Roman" w:hAnsi="Times New Roman" w:eastAsia="仿宋_GB2312" w:cs="Times New Roman"/>
          <w:sz w:val="32"/>
          <w:szCs w:val="32"/>
          <w:highlight w:val="none"/>
          <w:lang w:val="en-US" w:eastAsia="zh-CN"/>
        </w:rPr>
        <w:t>12月31日</w:t>
      </w:r>
      <w:r>
        <w:rPr>
          <w:rFonts w:hint="eastAsia"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固定资产原值</w:t>
      </w:r>
      <w:r>
        <w:rPr>
          <w:rFonts w:hint="eastAsia" w:ascii="Times New Roman" w:hAnsi="Times New Roman" w:eastAsia="仿宋_GB2312" w:cs="Times New Roman"/>
          <w:sz w:val="32"/>
          <w:szCs w:val="32"/>
          <w:highlight w:val="none"/>
          <w:lang w:val="zh-CN" w:eastAsia="zh-CN"/>
        </w:rPr>
        <w:t>154.41</w:t>
      </w:r>
      <w:r>
        <w:rPr>
          <w:rFonts w:hint="eastAsia" w:ascii="Times New Roman" w:hAnsi="Times New Roman" w:eastAsia="仿宋_GB2312" w:cs="Times New Roman"/>
          <w:sz w:val="32"/>
          <w:szCs w:val="32"/>
          <w:highlight w:val="none"/>
          <w:lang w:val="en-US" w:eastAsia="zh-CN"/>
        </w:rPr>
        <w:t>万元，房</w:t>
      </w:r>
      <w:r>
        <w:rPr>
          <w:rFonts w:hint="eastAsia" w:ascii="Times New Roman" w:hAnsi="Times New Roman" w:eastAsia="仿宋_GB2312" w:cs="Times New Roman"/>
          <w:sz w:val="32"/>
          <w:szCs w:val="32"/>
          <w:highlight w:val="none"/>
          <w:lang w:val="zh-CN" w:eastAsia="zh-CN"/>
        </w:rPr>
        <w:t>屋0.0平方米，价值0.00万元。车辆3辆，价值72.14万元，其中：副部（省）级及以上领导用车0辆、主要</w:t>
      </w:r>
      <w:r>
        <w:rPr>
          <w:rFonts w:hint="eastAsia" w:ascii="Times New Roman" w:hAnsi="Times New Roman" w:eastAsia="仿宋_GB2312" w:cs="Times New Roman"/>
          <w:sz w:val="32"/>
          <w:szCs w:val="32"/>
          <w:highlight w:val="none"/>
          <w:lang w:val="en-US" w:eastAsia="zh-CN"/>
        </w:rPr>
        <w:t>负责人</w:t>
      </w:r>
      <w:r>
        <w:rPr>
          <w:rFonts w:hint="eastAsia" w:ascii="Times New Roman" w:hAnsi="Times New Roman" w:eastAsia="仿宋_GB2312" w:cs="Times New Roman"/>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sz w:val="32"/>
          <w:szCs w:val="32"/>
          <w:highlight w:val="none"/>
          <w:lang w:val="en-US" w:eastAsia="zh-CN"/>
        </w:rPr>
        <w:t>服务</w:t>
      </w:r>
      <w:r>
        <w:rPr>
          <w:rFonts w:hint="eastAsia" w:ascii="Times New Roman" w:hAnsi="Times New Roman" w:eastAsia="仿宋_GB2312" w:cs="Times New Roman"/>
          <w:sz w:val="32"/>
          <w:szCs w:val="32"/>
          <w:highlight w:val="none"/>
          <w:lang w:val="zh-CN" w:eastAsia="zh-CN"/>
        </w:rPr>
        <w:t>用车0辆、其他用车3辆，其他用车主要是：</w:t>
      </w:r>
      <w:r>
        <w:rPr>
          <w:rFonts w:hint="eastAsia" w:eastAsia="仿宋_GB2312" w:cs="Times New Roman"/>
          <w:sz w:val="32"/>
          <w:szCs w:val="32"/>
          <w:highlight w:val="none"/>
          <w:lang w:val="en-US" w:eastAsia="zh-CN"/>
        </w:rPr>
        <w:t>日常办公使用公务用车</w:t>
      </w:r>
      <w:r>
        <w:rPr>
          <w:rFonts w:hint="eastAsia" w:ascii="Times New Roman" w:hAnsi="Times New Roman" w:eastAsia="仿宋_GB2312" w:cs="Times New Roman"/>
          <w:sz w:val="32"/>
          <w:szCs w:val="32"/>
          <w:highlight w:val="none"/>
          <w:lang w:val="zh-CN" w:eastAsia="zh-CN"/>
        </w:rPr>
        <w:t>；单价100万元（含）以上设备（不含车辆）0</w:t>
      </w:r>
      <w:r>
        <w:rPr>
          <w:rFonts w:hint="eastAsia" w:ascii="Times New Roman" w:hAnsi="Times New Roman" w:eastAsia="仿宋_GB2312" w:cs="Times New Roman"/>
          <w:sz w:val="32"/>
          <w:szCs w:val="32"/>
          <w:highlight w:val="none"/>
          <w:lang w:val="en-US" w:eastAsia="zh-CN"/>
        </w:rPr>
        <w:t>台（</w:t>
      </w:r>
      <w:r>
        <w:rPr>
          <w:rFonts w:hint="eastAsia" w:ascii="Times New Roman" w:hAnsi="Times New Roman" w:eastAsia="仿宋_GB2312" w:cs="Times New Roman"/>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28" w:name="_Toc11283"/>
      <w:bookmarkStart w:id="29" w:name="_Toc43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28"/>
      <w:bookmarkEnd w:id="29"/>
    </w:p>
    <w:p>
      <w:pPr>
        <w:shd w:val="clear" w:color="auto" w:fill="auto"/>
        <w:spacing w:line="600" w:lineRule="exact"/>
        <w:ind w:firstLine="640" w:firstLineChars="200"/>
        <w:outlineLvl w:val="0"/>
        <w:rPr>
          <w:rFonts w:hint="eastAsia" w:ascii="仿宋_GB2312" w:eastAsia="仿宋_GB2312"/>
          <w:sz w:val="32"/>
          <w:szCs w:val="32"/>
          <w:highlight w:val="none"/>
        </w:rPr>
      </w:pPr>
      <w:r>
        <w:rPr>
          <w:rFonts w:hint="eastAsia" w:ascii="仿宋_GB2312" w:eastAsia="仿宋_GB2312"/>
          <w:sz w:val="32"/>
          <w:szCs w:val="32"/>
          <w:highlight w:val="none"/>
          <w:lang w:eastAsia="zh-CN"/>
        </w:rPr>
        <w:t>根据预算绩效管理要求，我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sz w:val="32"/>
          <w:szCs w:val="32"/>
          <w:highlight w:val="none"/>
          <w:lang w:val="en-US" w:eastAsia="zh-CN"/>
        </w:rPr>
        <w:t>预算总额</w:t>
      </w:r>
      <w:r>
        <w:rPr>
          <w:rFonts w:hint="eastAsia" w:ascii="仿宋_GB2312" w:eastAsia="仿宋_GB2312"/>
          <w:spacing w:val="0"/>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实际执行总额0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sz w:val="32"/>
          <w:szCs w:val="32"/>
          <w:highlight w:val="none"/>
          <w:lang w:eastAsia="zh-CN"/>
        </w:rPr>
        <w:t>预算绩效评价项目</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lang w:eastAsia="zh-CN"/>
        </w:rPr>
        <w:t>个，</w:t>
      </w:r>
      <w:r>
        <w:rPr>
          <w:rFonts w:hint="eastAsia" w:ascii="仿宋_GB2312" w:eastAsia="仿宋_GB2312"/>
          <w:sz w:val="32"/>
          <w:szCs w:val="32"/>
          <w:highlight w:val="none"/>
          <w:lang w:val="en-US" w:eastAsia="zh-CN"/>
        </w:rPr>
        <w:t>全年预算数120.00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全年执行数120.00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。预算绩效管理取得的成效：</w:t>
      </w:r>
      <w:r>
        <w:rPr>
          <w:rStyle w:val="13"/>
          <w:rFonts w:hint="eastAsia" w:ascii="仿宋_GB2312" w:hAnsi="仿宋_GB2312" w:eastAsia="仿宋_GB2312" w:cs="仿宋_GB2312"/>
          <w:b w:val="0"/>
          <w:spacing w:val="-4"/>
          <w:sz w:val="32"/>
          <w:szCs w:val="32"/>
        </w:rPr>
        <w:t>一是领导高度重视，成立绩效自评工作领导小组，主要领导负总责，分管领导具体负责，安排专人具体办理，形成一级抓一级，层层抓落实；二是严格执行相关财经法律法规，项目经费专款专用，抓好项目实施和绩效评价；三是科学制定方案</w:t>
      </w:r>
      <w:r>
        <w:rPr>
          <w:rStyle w:val="13"/>
          <w:rFonts w:hint="eastAsia" w:ascii="仿宋_GB2312" w:hAnsi="仿宋_GB2312" w:eastAsia="仿宋_GB2312" w:cs="仿宋_GB2312"/>
          <w:b w:val="0"/>
          <w:spacing w:val="-4"/>
          <w:sz w:val="32"/>
          <w:szCs w:val="32"/>
          <w:lang w:eastAsia="zh-CN"/>
        </w:rPr>
        <w:t>，</w:t>
      </w:r>
      <w:r>
        <w:rPr>
          <w:rStyle w:val="13"/>
          <w:rFonts w:hint="eastAsia" w:ascii="仿宋_GB2312" w:hAnsi="仿宋_GB2312" w:eastAsia="仿宋_GB2312" w:cs="仿宋_GB2312"/>
          <w:b w:val="0"/>
          <w:spacing w:val="-4"/>
          <w:sz w:val="32"/>
          <w:szCs w:val="32"/>
        </w:rPr>
        <w:t>为使绩效评价工作平稳有序进行，在正式评价开展前拟定了详细的工作方案，方案内容包括评价内容、评价方法、评价依据、时间安排、工作步骤、工作要求等方面；四是业务人员工作积极、认真负责，抓好项目实施的绩效评价。</w:t>
      </w:r>
      <w:r>
        <w:rPr>
          <w:rFonts w:hint="eastAsia" w:ascii="仿宋_GB2312" w:eastAsia="仿宋_GB2312"/>
          <w:sz w:val="32"/>
          <w:szCs w:val="32"/>
          <w:highlight w:val="none"/>
          <w:lang w:eastAsia="zh-CN"/>
        </w:rPr>
        <w:t>发现的问题及原因：一是</w:t>
      </w: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Fonts w:hint="eastAsia" w:ascii="仿宋_GB2312" w:eastAsia="仿宋_GB2312"/>
          <w:sz w:val="32"/>
          <w:szCs w:val="32"/>
          <w:highlight w:val="none"/>
          <w:lang w:eastAsia="zh-CN"/>
        </w:rPr>
        <w:t>二是</w:t>
      </w:r>
      <w:r>
        <w:rPr>
          <w:rFonts w:hint="eastAsia" w:ascii="仿宋_GB2312" w:hAnsi="仿宋_GB2312" w:eastAsia="仿宋_GB2312" w:cs="仿宋_GB2312"/>
          <w:sz w:val="32"/>
          <w:szCs w:val="32"/>
          <w:highlight w:val="none"/>
          <w:lang w:val="en-US" w:eastAsia="zh-CN"/>
        </w:rPr>
        <w:t>因轮岗、调动、等因素使我单位绩效工作人员流动频繁，造成了工作衔接不到位的情况。</w:t>
      </w:r>
      <w:r>
        <w:rPr>
          <w:rFonts w:hint="eastAsia" w:ascii="仿宋_GB2312" w:eastAsia="仿宋_GB2312"/>
          <w:sz w:val="32"/>
          <w:szCs w:val="32"/>
          <w:highlight w:val="none"/>
          <w:lang w:eastAsia="zh-CN"/>
        </w:rPr>
        <w:t>下一步改进措施：一是</w:t>
      </w:r>
      <w:r>
        <w:rPr>
          <w:rFonts w:hint="eastAsia" w:ascii="仿宋_GB2312" w:hAnsi="仿宋_GB2312" w:eastAsia="仿宋_GB2312" w:cs="仿宋_GB2312"/>
          <w:sz w:val="32"/>
          <w:szCs w:val="32"/>
          <w:highlight w:val="none"/>
          <w:lang w:val="en-US" w:eastAsia="zh-CN"/>
        </w:rPr>
        <w:t>多进行有关绩效管理工作方面的培训。积极组织第三方开展绩效管理工作培训，进一步夯实业务基础，提高我单位绩效人员水平</w:t>
      </w:r>
      <w:r>
        <w:rPr>
          <w:rFonts w:hint="eastAsia" w:ascii="仿宋_GB2312" w:eastAsia="仿宋_GB2312"/>
          <w:sz w:val="32"/>
          <w:szCs w:val="32"/>
          <w:highlight w:val="none"/>
          <w:lang w:eastAsia="zh-CN"/>
        </w:rPr>
        <w:t>；二是</w:t>
      </w:r>
      <w:r>
        <w:rPr>
          <w:rFonts w:hint="eastAsia" w:ascii="仿宋_GB2312" w:hAnsi="仿宋_GB2312" w:eastAsia="仿宋_GB2312" w:cs="仿宋_GB2312"/>
          <w:sz w:val="32"/>
          <w:szCs w:val="32"/>
          <w:highlight w:val="none"/>
          <w:lang w:val="en-US" w:eastAsia="zh-CN"/>
        </w:rPr>
        <w:t>专门设定对绩效工作人员定职、定岗、定责等相关制度措施，进一步提升我单位绩效管理工作业务水平，扎实做好绩效管理工作。</w:t>
      </w:r>
      <w:r>
        <w:rPr>
          <w:rFonts w:hint="eastAsia" w:ascii="仿宋_GB2312" w:eastAsia="仿宋_GB2312"/>
          <w:sz w:val="32"/>
          <w:szCs w:val="32"/>
          <w:highlight w:val="none"/>
          <w:lang w:eastAsia="zh-CN"/>
        </w:rPr>
        <w:t>具体</w:t>
      </w:r>
      <w:r>
        <w:rPr>
          <w:rFonts w:hint="eastAsia" w:ascii="仿宋_GB2312" w:eastAsia="仿宋_GB2312"/>
          <w:sz w:val="32"/>
          <w:szCs w:val="32"/>
          <w:highlight w:val="none"/>
        </w:rPr>
        <w:t>项目自评情况附绩效自评表</w:t>
      </w:r>
      <w:r>
        <w:rPr>
          <w:rFonts w:hint="eastAsia" w:ascii="仿宋_GB2312" w:eastAsia="仿宋_GB2312"/>
          <w:sz w:val="32"/>
          <w:szCs w:val="32"/>
          <w:highlight w:val="none"/>
          <w:lang w:val="en-US" w:eastAsia="zh-CN"/>
        </w:rPr>
        <w:t>及自评报告</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黑体" w:hAnsi="黑体" w:eastAsia="黑体" w:cs="宋体"/>
          <w:bCs/>
          <w:kern w:val="0"/>
          <w:sz w:val="32"/>
          <w:szCs w:val="32"/>
          <w:highlight w:val="none"/>
          <w:lang w:eastAsia="zh-CN"/>
        </w:rPr>
      </w:pPr>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30" w:name="_Toc24143"/>
      <w:bookmarkStart w:id="31" w:name="_Toc3250"/>
      <w:r>
        <w:rPr>
          <w:rFonts w:hint="eastAsia" w:ascii="黑体" w:hAnsi="黑体" w:eastAsia="黑体"/>
          <w:sz w:val="32"/>
          <w:szCs w:val="32"/>
          <w:highlight w:val="none"/>
        </w:rPr>
        <w:br w:type="page"/>
      </w: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r>
        <w:rPr>
          <w:rFonts w:hint="eastAsia" w:ascii="黑体" w:hAnsi="黑体" w:eastAsia="黑体"/>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2" w:name="_Toc6062"/>
      <w:bookmarkStart w:id="33" w:name="_Toc2183"/>
      <w:r>
        <w:rPr>
          <w:rFonts w:hint="eastAsia" w:ascii="黑体" w:hAnsi="黑体" w:eastAsia="仿宋_GB2312" w:cs="宋体"/>
          <w:bCs/>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4" w:name="_Toc30364"/>
      <w:bookmarkStart w:id="35" w:name="_Toc24532"/>
      <w:r>
        <w:rPr>
          <w:rFonts w:hint="eastAsia" w:ascii="黑体" w:hAnsi="黑体" w:eastAsia="仿宋_GB2312" w:cs="宋体"/>
          <w:bCs/>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6" w:name="_Toc32434"/>
      <w:bookmarkStart w:id="37" w:name="_Toc21304"/>
      <w:r>
        <w:rPr>
          <w:rFonts w:hint="eastAsia" w:ascii="黑体" w:hAnsi="黑体" w:eastAsia="仿宋_GB2312" w:cs="宋体"/>
          <w:bCs/>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8" w:name="_Toc28786"/>
      <w:bookmarkStart w:id="39" w:name="_Toc14238"/>
      <w:r>
        <w:rPr>
          <w:rFonts w:hint="eastAsia" w:ascii="黑体" w:hAnsi="黑体" w:eastAsia="仿宋_GB2312" w:cs="宋体"/>
          <w:bCs/>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0" w:name="_Toc10347"/>
      <w:bookmarkStart w:id="41" w:name="_Toc14869"/>
      <w:r>
        <w:rPr>
          <w:rFonts w:hint="eastAsia" w:ascii="黑体" w:hAnsi="黑体" w:eastAsia="仿宋_GB2312" w:cs="宋体"/>
          <w:bCs/>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2" w:name="_Toc8884"/>
      <w:bookmarkStart w:id="43" w:name="_Toc5626"/>
      <w:r>
        <w:rPr>
          <w:rFonts w:hint="eastAsia" w:ascii="黑体" w:hAnsi="黑体" w:eastAsia="仿宋_GB2312" w:cs="宋体"/>
          <w:bCs/>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rPr>
        <w:t>七、</w:t>
      </w:r>
      <w:bookmarkStart w:id="44" w:name="_Toc29106"/>
      <w:bookmarkStart w:id="45" w:name="_Toc32663"/>
      <w:r>
        <w:rPr>
          <w:rFonts w:hint="eastAsia" w:ascii="黑体" w:hAnsi="黑体" w:eastAsia="仿宋_GB2312" w:cs="宋体"/>
          <w:bCs/>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6" w:name="_Toc7643"/>
      <w:bookmarkStart w:id="47" w:name="_Toc5453"/>
      <w:r>
        <w:rPr>
          <w:rFonts w:hint="eastAsia" w:ascii="黑体" w:hAnsi="黑体" w:eastAsia="仿宋_GB2312" w:cs="宋体"/>
          <w:bCs/>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lang w:val="en-US" w:eastAsia="zh-CN"/>
        </w:rPr>
        <w:t>九</w:t>
      </w:r>
      <w:r>
        <w:rPr>
          <w:rFonts w:hint="eastAsia" w:ascii="黑体" w:hAnsi="黑体" w:eastAsia="仿宋_GB2312" w:cs="宋体"/>
          <w:bCs/>
          <w:kern w:val="0"/>
          <w:sz w:val="32"/>
          <w:szCs w:val="32"/>
          <w:highlight w:val="none"/>
        </w:rPr>
        <w:t>、《</w:t>
      </w:r>
      <w:r>
        <w:rPr>
          <w:rFonts w:hint="eastAsia" w:ascii="黑体" w:hAnsi="黑体" w:eastAsia="仿宋_GB2312" w:cs="宋体"/>
          <w:bCs/>
          <w:kern w:val="0"/>
          <w:sz w:val="32"/>
          <w:szCs w:val="32"/>
          <w:highlight w:val="none"/>
          <w:lang w:eastAsia="zh-CN"/>
        </w:rPr>
        <w:t>国有资本经营</w:t>
      </w:r>
      <w:r>
        <w:rPr>
          <w:rFonts w:hint="eastAsia" w:ascii="黑体" w:hAnsi="黑体" w:eastAsia="仿宋_GB2312" w:cs="宋体"/>
          <w:bCs/>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0213C59"/>
    <w:rsid w:val="003210CE"/>
    <w:rsid w:val="00B70D59"/>
    <w:rsid w:val="019404F8"/>
    <w:rsid w:val="02F73D26"/>
    <w:rsid w:val="031C5CEE"/>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422688"/>
    <w:rsid w:val="0879188F"/>
    <w:rsid w:val="08A0354D"/>
    <w:rsid w:val="08CD4C49"/>
    <w:rsid w:val="09114954"/>
    <w:rsid w:val="095A5B83"/>
    <w:rsid w:val="096466E3"/>
    <w:rsid w:val="0968304D"/>
    <w:rsid w:val="09AF3D17"/>
    <w:rsid w:val="0A7B4867"/>
    <w:rsid w:val="0A840954"/>
    <w:rsid w:val="0A9928ED"/>
    <w:rsid w:val="0B095AB3"/>
    <w:rsid w:val="0B8C3ECC"/>
    <w:rsid w:val="0B9C639D"/>
    <w:rsid w:val="0BB052B2"/>
    <w:rsid w:val="0BD33FFC"/>
    <w:rsid w:val="0BE97AC1"/>
    <w:rsid w:val="0C1C4780"/>
    <w:rsid w:val="0C3613A3"/>
    <w:rsid w:val="0C5E519C"/>
    <w:rsid w:val="0C7227A7"/>
    <w:rsid w:val="0CA52EE8"/>
    <w:rsid w:val="0CBD6988"/>
    <w:rsid w:val="0CD208AC"/>
    <w:rsid w:val="0D4903E8"/>
    <w:rsid w:val="0E640559"/>
    <w:rsid w:val="0F1113DA"/>
    <w:rsid w:val="0F78534A"/>
    <w:rsid w:val="0F89358A"/>
    <w:rsid w:val="0F8C6D51"/>
    <w:rsid w:val="105B0B5E"/>
    <w:rsid w:val="10E81560"/>
    <w:rsid w:val="112E58D0"/>
    <w:rsid w:val="11731CAC"/>
    <w:rsid w:val="119500A0"/>
    <w:rsid w:val="11C0733B"/>
    <w:rsid w:val="120E0809"/>
    <w:rsid w:val="127F665A"/>
    <w:rsid w:val="12F7068C"/>
    <w:rsid w:val="132A4818"/>
    <w:rsid w:val="14B932DA"/>
    <w:rsid w:val="154C1139"/>
    <w:rsid w:val="158C5B77"/>
    <w:rsid w:val="160D1149"/>
    <w:rsid w:val="163563C0"/>
    <w:rsid w:val="164315EF"/>
    <w:rsid w:val="167268FB"/>
    <w:rsid w:val="16D50C50"/>
    <w:rsid w:val="16E120E1"/>
    <w:rsid w:val="17385A05"/>
    <w:rsid w:val="173B3901"/>
    <w:rsid w:val="176747F9"/>
    <w:rsid w:val="17954A6E"/>
    <w:rsid w:val="180059E9"/>
    <w:rsid w:val="184510FD"/>
    <w:rsid w:val="190648B0"/>
    <w:rsid w:val="19071D6C"/>
    <w:rsid w:val="19A1335A"/>
    <w:rsid w:val="19D26CD4"/>
    <w:rsid w:val="19E60D19"/>
    <w:rsid w:val="1A3E3450"/>
    <w:rsid w:val="1AD807E5"/>
    <w:rsid w:val="1B39345B"/>
    <w:rsid w:val="1C290ED5"/>
    <w:rsid w:val="1C317E4F"/>
    <w:rsid w:val="1C472464"/>
    <w:rsid w:val="1D5C1A72"/>
    <w:rsid w:val="1DAF458D"/>
    <w:rsid w:val="1E086ACE"/>
    <w:rsid w:val="1E62130A"/>
    <w:rsid w:val="1E8E20FF"/>
    <w:rsid w:val="1E97358B"/>
    <w:rsid w:val="1EAA4A5F"/>
    <w:rsid w:val="1EE869A7"/>
    <w:rsid w:val="1FA15E62"/>
    <w:rsid w:val="1FED69B6"/>
    <w:rsid w:val="2064678E"/>
    <w:rsid w:val="20DC1AB9"/>
    <w:rsid w:val="20DD6197"/>
    <w:rsid w:val="212631E0"/>
    <w:rsid w:val="21A53757"/>
    <w:rsid w:val="221236C6"/>
    <w:rsid w:val="224611D0"/>
    <w:rsid w:val="23326B7F"/>
    <w:rsid w:val="237D0994"/>
    <w:rsid w:val="2380045B"/>
    <w:rsid w:val="23BC04D2"/>
    <w:rsid w:val="2483647E"/>
    <w:rsid w:val="24A32D55"/>
    <w:rsid w:val="25292727"/>
    <w:rsid w:val="256F7692"/>
    <w:rsid w:val="25BA2154"/>
    <w:rsid w:val="25C8773F"/>
    <w:rsid w:val="264A7253"/>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2916B9"/>
    <w:rsid w:val="2C6F314E"/>
    <w:rsid w:val="2CBC5FF3"/>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0B96557"/>
    <w:rsid w:val="314029C9"/>
    <w:rsid w:val="31C63837"/>
    <w:rsid w:val="31C82E39"/>
    <w:rsid w:val="32601BAD"/>
    <w:rsid w:val="3389023A"/>
    <w:rsid w:val="33CB74FA"/>
    <w:rsid w:val="343642F2"/>
    <w:rsid w:val="343F3010"/>
    <w:rsid w:val="345D0A00"/>
    <w:rsid w:val="34713BFD"/>
    <w:rsid w:val="34C13589"/>
    <w:rsid w:val="35E00D72"/>
    <w:rsid w:val="36965B9D"/>
    <w:rsid w:val="36C549FD"/>
    <w:rsid w:val="37A73C80"/>
    <w:rsid w:val="37A755DD"/>
    <w:rsid w:val="37F94FA0"/>
    <w:rsid w:val="38115B1F"/>
    <w:rsid w:val="385E3AC3"/>
    <w:rsid w:val="387D6B9E"/>
    <w:rsid w:val="38B75FF0"/>
    <w:rsid w:val="38D45016"/>
    <w:rsid w:val="38D90432"/>
    <w:rsid w:val="3914510A"/>
    <w:rsid w:val="3926770B"/>
    <w:rsid w:val="398D3668"/>
    <w:rsid w:val="39DA0497"/>
    <w:rsid w:val="3A893816"/>
    <w:rsid w:val="3A893B6D"/>
    <w:rsid w:val="3A917DCA"/>
    <w:rsid w:val="3AD1763A"/>
    <w:rsid w:val="3AE10884"/>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ED7F8A"/>
    <w:rsid w:val="40094AEF"/>
    <w:rsid w:val="405470BD"/>
    <w:rsid w:val="40794A29"/>
    <w:rsid w:val="40834692"/>
    <w:rsid w:val="40866A21"/>
    <w:rsid w:val="414B3C0F"/>
    <w:rsid w:val="417C1CE7"/>
    <w:rsid w:val="41900018"/>
    <w:rsid w:val="41944406"/>
    <w:rsid w:val="41BB295C"/>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D90D14"/>
    <w:rsid w:val="48387FB0"/>
    <w:rsid w:val="483A6114"/>
    <w:rsid w:val="488727DB"/>
    <w:rsid w:val="48C354B3"/>
    <w:rsid w:val="493D58B5"/>
    <w:rsid w:val="494A7A04"/>
    <w:rsid w:val="4A2019A5"/>
    <w:rsid w:val="4A241A0B"/>
    <w:rsid w:val="4A355D42"/>
    <w:rsid w:val="4A4844B6"/>
    <w:rsid w:val="4A7B2875"/>
    <w:rsid w:val="4A934476"/>
    <w:rsid w:val="4AAA220A"/>
    <w:rsid w:val="4AE12E67"/>
    <w:rsid w:val="4B4C0111"/>
    <w:rsid w:val="4BDB3730"/>
    <w:rsid w:val="4C200F7A"/>
    <w:rsid w:val="4CD174D7"/>
    <w:rsid w:val="4CEE3180"/>
    <w:rsid w:val="4DF94F37"/>
    <w:rsid w:val="4E0A1DD5"/>
    <w:rsid w:val="4E3160E5"/>
    <w:rsid w:val="4E4A12EF"/>
    <w:rsid w:val="4E4D37AF"/>
    <w:rsid w:val="4E8C6496"/>
    <w:rsid w:val="4EFD18DE"/>
    <w:rsid w:val="4F144236"/>
    <w:rsid w:val="4F663C87"/>
    <w:rsid w:val="4F7E29A8"/>
    <w:rsid w:val="4F9E1FFC"/>
    <w:rsid w:val="50447CC2"/>
    <w:rsid w:val="50874A7C"/>
    <w:rsid w:val="50895EE7"/>
    <w:rsid w:val="50921B9D"/>
    <w:rsid w:val="50DB5F45"/>
    <w:rsid w:val="51025EB1"/>
    <w:rsid w:val="51141503"/>
    <w:rsid w:val="512F2A1E"/>
    <w:rsid w:val="518D0ED5"/>
    <w:rsid w:val="52F647F7"/>
    <w:rsid w:val="52F92565"/>
    <w:rsid w:val="53D03877"/>
    <w:rsid w:val="542F73CA"/>
    <w:rsid w:val="5430786D"/>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D456CE"/>
    <w:rsid w:val="5C0D1F49"/>
    <w:rsid w:val="5C1835AC"/>
    <w:rsid w:val="5CBB0CE2"/>
    <w:rsid w:val="5CC17177"/>
    <w:rsid w:val="5CF306BC"/>
    <w:rsid w:val="5D3A4C25"/>
    <w:rsid w:val="5D3F3D64"/>
    <w:rsid w:val="5D833043"/>
    <w:rsid w:val="5DD92690"/>
    <w:rsid w:val="5DDB1CFD"/>
    <w:rsid w:val="5E7E6D93"/>
    <w:rsid w:val="5ED44800"/>
    <w:rsid w:val="5F350BDE"/>
    <w:rsid w:val="5FA17648"/>
    <w:rsid w:val="5FE705CB"/>
    <w:rsid w:val="603D5080"/>
    <w:rsid w:val="60D0261B"/>
    <w:rsid w:val="61947DCA"/>
    <w:rsid w:val="61A46A97"/>
    <w:rsid w:val="61D1382F"/>
    <w:rsid w:val="61F114A2"/>
    <w:rsid w:val="62512BB4"/>
    <w:rsid w:val="625D7D1A"/>
    <w:rsid w:val="62DD7D21"/>
    <w:rsid w:val="637D586B"/>
    <w:rsid w:val="63A5560B"/>
    <w:rsid w:val="63E9091F"/>
    <w:rsid w:val="64D6010D"/>
    <w:rsid w:val="64D82665"/>
    <w:rsid w:val="64E47C96"/>
    <w:rsid w:val="651E5741"/>
    <w:rsid w:val="658A4877"/>
    <w:rsid w:val="65A00902"/>
    <w:rsid w:val="65AC6EDD"/>
    <w:rsid w:val="65D97752"/>
    <w:rsid w:val="66085536"/>
    <w:rsid w:val="66105BF7"/>
    <w:rsid w:val="66150023"/>
    <w:rsid w:val="6628010D"/>
    <w:rsid w:val="668B38D5"/>
    <w:rsid w:val="669B4528"/>
    <w:rsid w:val="669F6E38"/>
    <w:rsid w:val="66A01EE7"/>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586DCB"/>
    <w:rsid w:val="6AE70829"/>
    <w:rsid w:val="6B68175F"/>
    <w:rsid w:val="6BFD799F"/>
    <w:rsid w:val="6C4A2E5A"/>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176F71"/>
    <w:rsid w:val="735F4CB9"/>
    <w:rsid w:val="73674C62"/>
    <w:rsid w:val="73845865"/>
    <w:rsid w:val="739B6D9E"/>
    <w:rsid w:val="73AE36E0"/>
    <w:rsid w:val="73BC1D76"/>
    <w:rsid w:val="73FB6630"/>
    <w:rsid w:val="748D790E"/>
    <w:rsid w:val="749820CC"/>
    <w:rsid w:val="74CE04EC"/>
    <w:rsid w:val="74E76DCD"/>
    <w:rsid w:val="75722D56"/>
    <w:rsid w:val="75DB5477"/>
    <w:rsid w:val="75FC6AC3"/>
    <w:rsid w:val="7616619B"/>
    <w:rsid w:val="76660D7C"/>
    <w:rsid w:val="766C5968"/>
    <w:rsid w:val="76BE0C8F"/>
    <w:rsid w:val="76CD53B2"/>
    <w:rsid w:val="770719AC"/>
    <w:rsid w:val="776526CC"/>
    <w:rsid w:val="77A262E1"/>
    <w:rsid w:val="77B13C33"/>
    <w:rsid w:val="77B754F4"/>
    <w:rsid w:val="77ED6F44"/>
    <w:rsid w:val="77F45548"/>
    <w:rsid w:val="784E7CA6"/>
    <w:rsid w:val="78574801"/>
    <w:rsid w:val="7873527F"/>
    <w:rsid w:val="78DD0B9E"/>
    <w:rsid w:val="790E2D96"/>
    <w:rsid w:val="791B54B2"/>
    <w:rsid w:val="795A0A34"/>
    <w:rsid w:val="79F00650"/>
    <w:rsid w:val="7A6242BF"/>
    <w:rsid w:val="7AE952D2"/>
    <w:rsid w:val="7C976D69"/>
    <w:rsid w:val="7CD752DA"/>
    <w:rsid w:val="7CDE40AB"/>
    <w:rsid w:val="7D1548B5"/>
    <w:rsid w:val="7D8D3868"/>
    <w:rsid w:val="7DF84014"/>
    <w:rsid w:val="7E207949"/>
    <w:rsid w:val="7E670C75"/>
    <w:rsid w:val="7EE24272"/>
    <w:rsid w:val="7EEA6053"/>
    <w:rsid w:val="7F487C04"/>
    <w:rsid w:val="7FB45F21"/>
    <w:rsid w:val="7FE570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rPr>
  </w:style>
  <w:style w:type="paragraph" w:styleId="4">
    <w:name w:val="annotation text"/>
    <w:basedOn w:val="1"/>
    <w:qFormat/>
    <w:uiPriority w:val="0"/>
    <w:pPr>
      <w:jc w:val="left"/>
    </w:pPr>
  </w:style>
  <w:style w:type="paragraph" w:styleId="5">
    <w:name w:val="Body Text"/>
    <w:basedOn w:val="1"/>
    <w:next w:val="1"/>
    <w:qFormat/>
    <w:uiPriority w:val="0"/>
    <w:pPr>
      <w:widowControl/>
      <w:spacing w:before="100" w:beforeAutospacing="1" w:after="100" w:afterAutospacing="1"/>
      <w:jc w:val="left"/>
    </w:pPr>
    <w:rPr>
      <w:rFonts w:ascii="宋体" w:hAnsi="宋体"/>
      <w:kern w:val="0"/>
      <w:sz w:val="24"/>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5813</Words>
  <Characters>6526</Characters>
  <Lines>0</Lines>
  <Paragraphs>0</Paragraphs>
  <TotalTime>0</TotalTime>
  <ScaleCrop>false</ScaleCrop>
  <LinksUpToDate>false</LinksUpToDate>
  <CharactersWithSpaces>6539</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2024-10-12T03:14:45Z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ICV">
    <vt:lpwstr>E232A3C28FD64188939FDA7535E6BECF_13</vt:lpwstr>
  </property>
</Properties>
</file>