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昌吉回族自治州无线电管理局2023年度</w:t>
      </w:r>
    </w:p>
    <w:p>
      <w:pPr>
        <w:jc w:val="center"/>
        <w:rPr>
          <w:rFonts w:ascii="方正小标宋_GBK" w:hAnsi="宋体" w:eastAsia="方正小标宋_GBK"/>
          <w:sz w:val="44"/>
          <w:szCs w:val="44"/>
        </w:rPr>
      </w:pPr>
      <w:r>
        <w:rPr>
          <w:rFonts w:hint="eastAsia" w:ascii="方正小标宋_GBK" w:hAnsi="宋体" w:eastAsia="方正小标宋_GBK"/>
          <w:sz w:val="44"/>
          <w:szCs w:val="44"/>
          <w:lang w:val="en-US" w:eastAsia="zh-CN"/>
        </w:rPr>
        <w:t>决算</w:t>
      </w: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宋体"/>
          <w:bCs/>
          <w:kern w:val="0"/>
          <w:sz w:val="32"/>
          <w:szCs w:val="32"/>
        </w:rPr>
      </w:pPr>
      <w:bookmarkStart w:id="4" w:name="_Toc31238"/>
      <w:bookmarkStart w:id="5" w:name="_Toc2151"/>
      <w:r>
        <w:rPr>
          <w:rFonts w:ascii="仿宋_GB2312" w:eastAsia="仿宋_GB2312"/>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昌吉回族自治州无线电管理局是新疆维吾尔自治区工业和信息化厅派驻昌吉州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b/>
          <w:sz w:val="32"/>
          <w:szCs w:val="32"/>
        </w:rPr>
      </w:pPr>
      <w:r>
        <w:rPr>
          <w:rFonts w:hint="eastAsia" w:ascii="仿宋_GB2312" w:eastAsia="仿宋_GB2312"/>
          <w:sz w:val="32"/>
          <w:szCs w:val="32"/>
        </w:rPr>
        <w:t>昌吉回族自治州无线电管理局2023年度，实有人数</w:t>
      </w:r>
      <w:r>
        <w:rPr>
          <w:rFonts w:hint="eastAsia" w:ascii="仿宋_GB2312" w:eastAsia="仿宋_GB2312"/>
          <w:sz w:val="32"/>
          <w:szCs w:val="32"/>
          <w:lang w:val="zh-CN"/>
        </w:rPr>
        <w:t>10</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bookmarkStart w:id="6" w:name="_Toc3092"/>
      <w:bookmarkStart w:id="7" w:name="_Toc29374"/>
      <w:r>
        <w:rPr>
          <w:rFonts w:hint="eastAsia" w:ascii="仿宋_GB2312" w:eastAsia="仿宋_GB2312"/>
          <w:sz w:val="32"/>
          <w:szCs w:val="32"/>
        </w:rPr>
        <w:t>新疆昌吉回族自治州无线电管理局</w:t>
      </w:r>
      <w:r>
        <w:rPr>
          <w:rFonts w:hint="eastAsia" w:ascii="仿宋_GB2312" w:hAnsi="黑体" w:eastAsia="仿宋_GB2312" w:cs="宋体"/>
          <w:bCs/>
          <w:kern w:val="0"/>
          <w:sz w:val="32"/>
          <w:szCs w:val="32"/>
        </w:rPr>
        <w:t>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个处室，分别是：监测站、综合科、业务科</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3" w:firstLineChars="200"/>
        <w:jc w:val="left"/>
        <w:rPr>
          <w:rFonts w:ascii="仿宋_GB2312" w:eastAsia="仿宋_GB2312"/>
          <w:sz w:val="32"/>
          <w:szCs w:val="32"/>
        </w:rPr>
      </w:pPr>
      <w:r>
        <w:rPr>
          <w:rFonts w:hint="eastAsia" w:ascii="仿宋_GB2312" w:eastAsia="仿宋_GB2312"/>
          <w:b/>
          <w:bCs/>
          <w:sz w:val="32"/>
          <w:szCs w:val="32"/>
        </w:rPr>
        <w:t>2023年度收入总计190.19万元，</w:t>
      </w:r>
      <w:r>
        <w:rPr>
          <w:rFonts w:hint="eastAsia" w:ascii="仿宋_GB2312" w:eastAsia="仿宋_GB2312"/>
          <w:sz w:val="32"/>
          <w:szCs w:val="32"/>
        </w:rPr>
        <w:t>其中：本年收入合计190.02万元，使用非财政拨款结余0.00万元，年初结转和结余0.17万元。</w:t>
      </w:r>
    </w:p>
    <w:p>
      <w:pPr>
        <w:ind w:firstLine="643" w:firstLineChars="200"/>
        <w:jc w:val="left"/>
        <w:rPr>
          <w:rFonts w:ascii="仿宋_GB2312" w:eastAsia="仿宋_GB2312"/>
          <w:sz w:val="32"/>
          <w:szCs w:val="32"/>
        </w:rPr>
      </w:pPr>
      <w:r>
        <w:rPr>
          <w:rFonts w:hint="eastAsia" w:ascii="仿宋_GB2312" w:eastAsia="仿宋_GB2312"/>
          <w:b/>
          <w:bCs/>
          <w:sz w:val="32"/>
          <w:szCs w:val="32"/>
        </w:rPr>
        <w:t>2023年度支出总计190.19万元，</w:t>
      </w:r>
      <w:r>
        <w:rPr>
          <w:rFonts w:hint="eastAsia" w:ascii="仿宋_GB2312" w:eastAsia="仿宋_GB2312"/>
          <w:sz w:val="32"/>
          <w:szCs w:val="32"/>
        </w:rPr>
        <w:t>其中：本年支出合计190.03万元，结余分配0.00万元，年末结转和结余0.16万元。</w:t>
      </w:r>
    </w:p>
    <w:p>
      <w:pPr>
        <w:numPr>
          <w:ilvl w:val="0"/>
          <w:numId w:val="0"/>
        </w:numPr>
        <w:ind w:left="0" w:leftChars="0" w:firstLine="643" w:firstLineChars="200"/>
        <w:rPr>
          <w:rFonts w:hint="default" w:ascii="仿宋_GB2312" w:eastAsia="仿宋_GB2312"/>
          <w:color w:val="auto"/>
          <w:sz w:val="32"/>
          <w:szCs w:val="32"/>
          <w:lang w:val="en-US" w:eastAsia="zh-CN"/>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增加23.08万元</w:t>
      </w:r>
      <w:r>
        <w:rPr>
          <w:rFonts w:hint="eastAsia" w:ascii="仿宋_GB2312" w:eastAsia="仿宋_GB2312"/>
          <w:sz w:val="32"/>
          <w:szCs w:val="32"/>
        </w:rPr>
        <w:t>，</w:t>
      </w:r>
      <w:r>
        <w:rPr>
          <w:rFonts w:hint="eastAsia" w:ascii="仿宋_GB2312" w:eastAsia="仿宋_GB2312"/>
          <w:sz w:val="32"/>
          <w:szCs w:val="32"/>
          <w:lang w:val="zh-CN"/>
        </w:rPr>
        <w:t>增长13.81%</w:t>
      </w:r>
      <w:r>
        <w:rPr>
          <w:rFonts w:hint="eastAsia" w:ascii="仿宋_GB2312" w:eastAsia="仿宋_GB2312"/>
          <w:sz w:val="32"/>
          <w:szCs w:val="32"/>
        </w:rPr>
        <w:t>，主要原因是：</w:t>
      </w:r>
      <w:r>
        <w:rPr>
          <w:rFonts w:hint="eastAsia" w:ascii="仿宋_GB2312" w:eastAsia="仿宋_GB2312"/>
          <w:sz w:val="32"/>
          <w:szCs w:val="32"/>
          <w:lang w:val="en-US" w:eastAsia="zh-CN"/>
        </w:rPr>
        <w:t>1、基本支出较上年减少13.83万元，其中机关事业单位基本养老保险缴费支出较上年增长1.75万元，主要为在职人员机关事业单位基本养老保险缴费增长。事业单位医疗较上年增长0.7万元，主要为在职人员基本医疗保险缴费增长。住房公积金较上年增加0.96万元，主要为在职人员住房公积金缴费增长。事业单位离退休较上年减少1.25万元，主要为2023年减少退休人员退休医疗费预算。机关事业单位职业年金缴费支出较上年减少10.66万元，主要为2023年单位无离职人员。</w:t>
      </w:r>
      <w:r>
        <w:rPr>
          <w:rFonts w:hint="eastAsia" w:ascii="仿宋_GB2312" w:eastAsia="仿宋_GB2312"/>
          <w:sz w:val="32"/>
          <w:szCs w:val="32"/>
        </w:rPr>
        <w:t>无线电及信息通信监管</w:t>
      </w:r>
      <w:r>
        <w:rPr>
          <w:rFonts w:hint="eastAsia" w:ascii="仿宋_GB2312" w:eastAsia="仿宋_GB2312"/>
          <w:sz w:val="32"/>
          <w:szCs w:val="32"/>
          <w:lang w:val="en-US" w:eastAsia="zh-CN"/>
        </w:rPr>
        <w:t>较上年减少5.33万元，</w:t>
      </w:r>
      <w:r>
        <w:rPr>
          <w:rFonts w:hint="eastAsia" w:ascii="仿宋_GB2312" w:eastAsia="仿宋_GB2312"/>
          <w:color w:val="auto"/>
          <w:sz w:val="32"/>
          <w:szCs w:val="32"/>
          <w:highlight w:val="none"/>
          <w:lang w:val="en-US" w:eastAsia="zh-CN"/>
        </w:rPr>
        <w:t>主要为日常公用经费减少，</w:t>
      </w:r>
      <w:r>
        <w:rPr>
          <w:rFonts w:hint="eastAsia" w:ascii="仿宋_GB2312" w:hAnsi="仿宋_GB2312" w:eastAsia="仿宋_GB2312" w:cs="仿宋_GB2312"/>
          <w:color w:val="auto"/>
          <w:kern w:val="2"/>
          <w:sz w:val="32"/>
          <w:szCs w:val="32"/>
          <w:highlight w:val="none"/>
          <w:lang w:val="en-US" w:eastAsia="zh-CN" w:bidi="ar-SA"/>
        </w:rPr>
        <w:t>2023年度减少购买防疫物资等需求降低</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lang w:val="en-US" w:eastAsia="zh-CN"/>
        </w:rPr>
        <w:t>、项目支出较上年增加36.47万元，其中2023年中央无线电</w:t>
      </w:r>
      <w:r>
        <w:rPr>
          <w:rFonts w:hint="eastAsia" w:ascii="仿宋_GB2312" w:hAnsi="仿宋" w:eastAsia="仿宋_GB2312" w:cs="仿宋"/>
          <w:bCs/>
          <w:color w:val="auto"/>
          <w:sz w:val="32"/>
          <w:szCs w:val="32"/>
        </w:rPr>
        <w:t>项目需求较上年</w:t>
      </w:r>
      <w:r>
        <w:rPr>
          <w:rFonts w:hint="eastAsia" w:ascii="仿宋_GB2312" w:hAnsi="仿宋" w:eastAsia="仿宋_GB2312" w:cs="仿宋"/>
          <w:bCs/>
          <w:color w:val="auto"/>
          <w:sz w:val="32"/>
          <w:szCs w:val="32"/>
          <w:lang w:val="en-US" w:eastAsia="zh-CN"/>
        </w:rPr>
        <w:t>增加，完成2022年度尚未完成的项目支出。3、其他收入较上年增加0.44万元，主要为</w:t>
      </w:r>
      <w:r>
        <w:rPr>
          <w:rFonts w:hint="eastAsia" w:ascii="仿宋_GB2312" w:hAnsi="仿宋" w:eastAsia="仿宋_GB2312" w:cs="仿宋"/>
          <w:color w:val="auto"/>
          <w:sz w:val="32"/>
          <w:szCs w:val="32"/>
          <w:lang w:val="en-US" w:eastAsia="zh-CN"/>
        </w:rPr>
        <w:t>2023年使用昌吉州直机关工委拨付的</w:t>
      </w:r>
      <w:r>
        <w:rPr>
          <w:rFonts w:hint="eastAsia" w:ascii="仿宋_GB2312" w:hAnsi="仿宋" w:eastAsia="仿宋_GB2312" w:cs="仿宋"/>
          <w:color w:val="auto"/>
          <w:sz w:val="32"/>
          <w:szCs w:val="32"/>
        </w:rPr>
        <w:t>党建活动</w:t>
      </w:r>
      <w:r>
        <w:rPr>
          <w:rFonts w:hint="eastAsia" w:ascii="仿宋_GB2312" w:hAnsi="仿宋" w:eastAsia="仿宋_GB2312" w:cs="仿宋"/>
          <w:color w:val="auto"/>
          <w:sz w:val="32"/>
          <w:szCs w:val="32"/>
          <w:lang w:val="en-US" w:eastAsia="zh-CN"/>
        </w:rPr>
        <w:t>经</w:t>
      </w:r>
      <w:r>
        <w:rPr>
          <w:rFonts w:hint="eastAsia" w:ascii="仿宋_GB2312" w:hAnsi="仿宋" w:eastAsia="仿宋_GB2312" w:cs="仿宋"/>
          <w:color w:val="auto"/>
          <w:sz w:val="32"/>
          <w:szCs w:val="32"/>
        </w:rPr>
        <w:t>费</w:t>
      </w:r>
      <w:r>
        <w:rPr>
          <w:rFonts w:hint="eastAsia" w:ascii="仿宋_GB2312" w:hAnsi="仿宋" w:eastAsia="仿宋_GB2312" w:cs="仿宋"/>
          <w:color w:val="auto"/>
          <w:sz w:val="32"/>
          <w:szCs w:val="32"/>
          <w:lang w:eastAsia="zh-CN"/>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3" w:firstLineChars="200"/>
        <w:jc w:val="left"/>
        <w:rPr>
          <w:rFonts w:ascii="仿宋_GB2312" w:eastAsia="仿宋_GB2312"/>
          <w:sz w:val="32"/>
          <w:szCs w:val="32"/>
        </w:rPr>
      </w:pPr>
      <w:r>
        <w:rPr>
          <w:rFonts w:hint="eastAsia" w:ascii="仿宋_GB2312" w:eastAsia="仿宋_GB2312"/>
          <w:b/>
          <w:bCs/>
          <w:sz w:val="32"/>
          <w:szCs w:val="32"/>
        </w:rPr>
        <w:t>本年收入190.02万元，</w:t>
      </w:r>
      <w:r>
        <w:rPr>
          <w:rFonts w:hint="eastAsia" w:ascii="仿宋_GB2312" w:eastAsia="仿宋_GB2312"/>
          <w:sz w:val="32"/>
          <w:szCs w:val="32"/>
        </w:rPr>
        <w:t>其中：财政拨款收入</w:t>
      </w:r>
      <w:r>
        <w:rPr>
          <w:rFonts w:hint="eastAsia" w:ascii="仿宋_GB2312" w:eastAsia="仿宋_GB2312"/>
          <w:sz w:val="32"/>
          <w:szCs w:val="32"/>
          <w:lang w:val="zh-CN"/>
        </w:rPr>
        <w:t>189.58</w:t>
      </w:r>
      <w:r>
        <w:rPr>
          <w:rFonts w:hint="eastAsia" w:ascii="仿宋_GB2312" w:eastAsia="仿宋_GB2312"/>
          <w:sz w:val="32"/>
          <w:szCs w:val="32"/>
        </w:rPr>
        <w:t>万元，占</w:t>
      </w:r>
      <w:r>
        <w:rPr>
          <w:rFonts w:hint="eastAsia" w:ascii="仿宋_GB2312" w:eastAsia="仿宋_GB2312"/>
          <w:sz w:val="32"/>
          <w:szCs w:val="32"/>
          <w:lang w:val="zh-CN"/>
        </w:rPr>
        <w:t>99.77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0.44</w:t>
      </w:r>
      <w:r>
        <w:rPr>
          <w:rFonts w:hint="eastAsia" w:ascii="仿宋_GB2312" w:eastAsia="仿宋_GB2312"/>
          <w:sz w:val="32"/>
          <w:szCs w:val="32"/>
        </w:rPr>
        <w:t>万元，占</w:t>
      </w:r>
      <w:r>
        <w:rPr>
          <w:rFonts w:hint="eastAsia" w:ascii="仿宋_GB2312" w:eastAsia="仿宋_GB2312"/>
          <w:sz w:val="32"/>
          <w:szCs w:val="32"/>
          <w:lang w:val="zh-CN"/>
        </w:rPr>
        <w:t>0.23</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3" w:firstLineChars="200"/>
        <w:jc w:val="left"/>
        <w:rPr>
          <w:rFonts w:eastAsia="仿宋_GB2312" w:cs="仿宋_GB2312"/>
          <w:sz w:val="30"/>
          <w:szCs w:val="30"/>
          <w:lang w:val="zh-CN"/>
        </w:rPr>
      </w:pPr>
      <w:r>
        <w:rPr>
          <w:rFonts w:hint="eastAsia" w:eastAsia="仿宋_GB2312" w:cs="仿宋_GB2312"/>
          <w:b/>
          <w:bCs/>
          <w:sz w:val="32"/>
          <w:szCs w:val="32"/>
          <w:lang w:val="zh-CN"/>
        </w:rPr>
        <w:t>本年支出190.03万元，</w:t>
      </w:r>
      <w:r>
        <w:rPr>
          <w:rFonts w:hint="eastAsia" w:eastAsia="仿宋_GB2312" w:cs="仿宋_GB2312"/>
          <w:sz w:val="32"/>
          <w:szCs w:val="32"/>
          <w:lang w:val="zh-CN"/>
        </w:rPr>
        <w:t>其中：基本支出120.09万元，占63.19%；项目支出69.94万元，占36.81%；上缴上级支出0.00万元，占0.00%；经营支出0.00万元，占0.00%；对附属单位补助支出0.00万元，占0.00%。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3" w:firstLineChars="200"/>
        <w:jc w:val="left"/>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189.58</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189.58</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189.58</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189.58</w:t>
      </w:r>
      <w:r>
        <w:rPr>
          <w:rFonts w:hint="eastAsia" w:ascii="仿宋_GB2312" w:eastAsia="仿宋_GB2312"/>
          <w:sz w:val="32"/>
          <w:szCs w:val="32"/>
        </w:rPr>
        <w:t>万元。</w:t>
      </w:r>
    </w:p>
    <w:p>
      <w:pPr>
        <w:numPr>
          <w:ilvl w:val="0"/>
          <w:numId w:val="0"/>
        </w:numPr>
        <w:ind w:left="0" w:leftChars="0" w:firstLine="643" w:firstLineChars="200"/>
        <w:rPr>
          <w:rFonts w:hint="default" w:ascii="仿宋_GB2312" w:eastAsia="仿宋_GB2312"/>
          <w:color w:val="auto"/>
          <w:sz w:val="32"/>
          <w:szCs w:val="32"/>
          <w:lang w:val="en-US" w:eastAsia="zh-CN"/>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增加22.64万元</w:t>
      </w:r>
      <w:r>
        <w:rPr>
          <w:rFonts w:hint="eastAsia" w:ascii="仿宋_GB2312" w:eastAsia="仿宋_GB2312"/>
          <w:sz w:val="32"/>
          <w:szCs w:val="32"/>
        </w:rPr>
        <w:t>，</w:t>
      </w:r>
      <w:r>
        <w:rPr>
          <w:rFonts w:hint="eastAsia" w:ascii="仿宋_GB2312" w:eastAsia="仿宋_GB2312"/>
          <w:sz w:val="32"/>
          <w:szCs w:val="32"/>
          <w:lang w:val="zh-CN"/>
        </w:rPr>
        <w:t>增长13.56%，</w:t>
      </w:r>
      <w:r>
        <w:rPr>
          <w:rFonts w:hint="eastAsia" w:ascii="仿宋_GB2312" w:eastAsia="仿宋_GB2312"/>
          <w:sz w:val="32"/>
          <w:szCs w:val="32"/>
        </w:rPr>
        <w:t>主要原因是：</w:t>
      </w:r>
      <w:r>
        <w:rPr>
          <w:rFonts w:hint="eastAsia" w:ascii="仿宋_GB2312" w:eastAsia="仿宋_GB2312"/>
          <w:sz w:val="32"/>
          <w:szCs w:val="32"/>
          <w:lang w:val="en-US" w:eastAsia="zh-CN"/>
        </w:rPr>
        <w:t>1、基本支出较上年减少13.83万元，其中机关事业单位基本养老保险缴费支出较上年增长1.75万元，主要为在职人员机关事业单位基本养老保险缴费增长。事业单位医疗较上年增长0.7万元，主要为在职人员基本医疗保险缴费增长。住房公积金较上年增加0.96万元，主要为在职人员住房公积金缴费增长。事业单位离退休较上年减少1.25万元，主要为2023年减少退休人员退休医疗费预算。机关事业单位职业年金缴费支出较上年减少10.66万元，主要为2023年单位无离职人员。</w:t>
      </w:r>
      <w:r>
        <w:rPr>
          <w:rFonts w:hint="eastAsia" w:ascii="仿宋_GB2312" w:eastAsia="仿宋_GB2312"/>
          <w:sz w:val="32"/>
          <w:szCs w:val="32"/>
        </w:rPr>
        <w:t>无线电及信息通信监管</w:t>
      </w:r>
      <w:r>
        <w:rPr>
          <w:rFonts w:hint="eastAsia" w:ascii="仿宋_GB2312" w:eastAsia="仿宋_GB2312"/>
          <w:sz w:val="32"/>
          <w:szCs w:val="32"/>
          <w:lang w:val="en-US" w:eastAsia="zh-CN"/>
        </w:rPr>
        <w:t>较上年减少5.33万元，</w:t>
      </w:r>
      <w:r>
        <w:rPr>
          <w:rFonts w:hint="eastAsia" w:ascii="仿宋_GB2312" w:eastAsia="仿宋_GB2312"/>
          <w:color w:val="auto"/>
          <w:sz w:val="32"/>
          <w:szCs w:val="32"/>
          <w:highlight w:val="none"/>
          <w:lang w:val="en-US" w:eastAsia="zh-CN"/>
        </w:rPr>
        <w:t>主要为日常公用经费减少，</w:t>
      </w:r>
      <w:r>
        <w:rPr>
          <w:rFonts w:hint="eastAsia" w:ascii="仿宋_GB2312" w:hAnsi="仿宋_GB2312" w:eastAsia="仿宋_GB2312" w:cs="仿宋_GB2312"/>
          <w:color w:val="auto"/>
          <w:kern w:val="2"/>
          <w:sz w:val="32"/>
          <w:szCs w:val="32"/>
          <w:highlight w:val="none"/>
          <w:lang w:val="en-US" w:eastAsia="zh-CN" w:bidi="ar-SA"/>
        </w:rPr>
        <w:t>2023年度减少购买防疫物资等需求降低</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lang w:val="en-US" w:eastAsia="zh-CN"/>
        </w:rPr>
        <w:t>、项目支出较上年增加36.47万元，其中2023年中央无线电</w:t>
      </w:r>
      <w:r>
        <w:rPr>
          <w:rFonts w:hint="eastAsia" w:ascii="仿宋_GB2312" w:hAnsi="仿宋" w:eastAsia="仿宋_GB2312" w:cs="仿宋"/>
          <w:bCs/>
          <w:color w:val="auto"/>
          <w:sz w:val="32"/>
          <w:szCs w:val="32"/>
        </w:rPr>
        <w:t>项目需求较上年</w:t>
      </w:r>
      <w:r>
        <w:rPr>
          <w:rFonts w:hint="eastAsia" w:ascii="仿宋_GB2312" w:hAnsi="仿宋" w:eastAsia="仿宋_GB2312" w:cs="仿宋"/>
          <w:bCs/>
          <w:color w:val="auto"/>
          <w:sz w:val="32"/>
          <w:szCs w:val="32"/>
          <w:lang w:val="en-US" w:eastAsia="zh-CN"/>
        </w:rPr>
        <w:t>增加，完成2022年度尚未完成的项目支出。</w:t>
      </w:r>
    </w:p>
    <w:p>
      <w:pPr>
        <w:pStyle w:val="15"/>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 w:eastAsia="仿宋_GB2312" w:cs="仿宋"/>
          <w:bCs/>
          <w:color w:val="auto"/>
          <w:kern w:val="2"/>
          <w:sz w:val="32"/>
          <w:szCs w:val="32"/>
          <w:lang w:val="en-US" w:eastAsia="zh-CN" w:bidi="ar-SA"/>
        </w:rPr>
      </w:pPr>
      <w:r>
        <w:rPr>
          <w:rFonts w:hint="eastAsia" w:ascii="仿宋_GB2312" w:hAnsi="仿宋" w:eastAsia="仿宋_GB2312" w:cs="仿宋"/>
          <w:b/>
          <w:bCs w:val="0"/>
          <w:color w:val="auto"/>
          <w:kern w:val="2"/>
          <w:sz w:val="32"/>
          <w:szCs w:val="32"/>
          <w:lang w:val="en-US" w:eastAsia="zh-CN" w:bidi="ar-SA"/>
        </w:rPr>
        <w:t>与年初预算相比，</w:t>
      </w:r>
      <w:r>
        <w:rPr>
          <w:rFonts w:hint="eastAsia" w:ascii="仿宋_GB2312" w:hAnsi="仿宋" w:eastAsia="仿宋_GB2312" w:cs="仿宋"/>
          <w:bCs/>
          <w:color w:val="auto"/>
          <w:kern w:val="2"/>
          <w:sz w:val="32"/>
          <w:szCs w:val="32"/>
          <w:lang w:val="en-US" w:eastAsia="zh-CN" w:bidi="ar-SA"/>
        </w:rPr>
        <w:t>年初预算数</w:t>
      </w:r>
      <w:r>
        <w:rPr>
          <w:rFonts w:hint="eastAsia" w:ascii="仿宋_GB2312" w:hAnsi="仿宋" w:eastAsia="仿宋_GB2312" w:cs="仿宋"/>
          <w:bCs/>
          <w:color w:val="auto"/>
          <w:kern w:val="2"/>
          <w:sz w:val="32"/>
          <w:szCs w:val="32"/>
          <w:lang w:val="zh-CN" w:eastAsia="zh-CN" w:bidi="ar-SA"/>
        </w:rPr>
        <w:t>194.14</w:t>
      </w:r>
      <w:r>
        <w:rPr>
          <w:rFonts w:hint="eastAsia" w:ascii="仿宋_GB2312" w:hAnsi="仿宋" w:eastAsia="仿宋_GB2312" w:cs="仿宋"/>
          <w:bCs/>
          <w:color w:val="auto"/>
          <w:kern w:val="2"/>
          <w:sz w:val="32"/>
          <w:szCs w:val="32"/>
          <w:lang w:val="en-US" w:eastAsia="zh-CN" w:bidi="ar-SA"/>
        </w:rPr>
        <w:t>万元，决算数</w:t>
      </w:r>
      <w:r>
        <w:rPr>
          <w:rFonts w:hint="eastAsia" w:ascii="仿宋_GB2312" w:hAnsi="仿宋" w:eastAsia="仿宋_GB2312" w:cs="仿宋"/>
          <w:bCs/>
          <w:color w:val="auto"/>
          <w:kern w:val="2"/>
          <w:sz w:val="32"/>
          <w:szCs w:val="32"/>
          <w:lang w:val="zh-CN" w:eastAsia="zh-CN" w:bidi="ar-SA"/>
        </w:rPr>
        <w:t>189.58</w:t>
      </w:r>
      <w:r>
        <w:rPr>
          <w:rFonts w:hint="eastAsia" w:ascii="仿宋_GB2312" w:hAnsi="仿宋" w:eastAsia="仿宋_GB2312" w:cs="仿宋"/>
          <w:bCs/>
          <w:color w:val="auto"/>
          <w:kern w:val="2"/>
          <w:sz w:val="32"/>
          <w:szCs w:val="32"/>
          <w:lang w:val="en-US" w:eastAsia="zh-CN" w:bidi="ar-SA"/>
        </w:rPr>
        <w:t>万元，预决算差异率-2.35%，</w:t>
      </w:r>
      <w:r>
        <w:rPr>
          <w:rFonts w:hint="eastAsia" w:hAnsi="仿宋" w:cs="仿宋"/>
          <w:bCs/>
          <w:color w:val="auto"/>
          <w:kern w:val="2"/>
          <w:sz w:val="32"/>
          <w:szCs w:val="32"/>
          <w:lang w:val="en-US" w:eastAsia="zh-CN" w:bidi="ar-SA"/>
        </w:rPr>
        <w:t>主要原因是</w:t>
      </w:r>
      <w:r>
        <w:rPr>
          <w:rFonts w:hint="eastAsia" w:ascii="仿宋_GB2312" w:hAnsi="仿宋" w:eastAsia="仿宋_GB2312" w:cs="仿宋"/>
          <w:bCs/>
          <w:color w:val="auto"/>
          <w:kern w:val="2"/>
          <w:sz w:val="32"/>
          <w:szCs w:val="32"/>
          <w:lang w:val="en-US" w:eastAsia="zh-CN" w:bidi="ar-SA"/>
        </w:rPr>
        <w:t>：2023年存在中央无线电资金未使用完毕，结转到2024年使用。</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numPr>
          <w:ilvl w:val="0"/>
          <w:numId w:val="0"/>
        </w:numPr>
        <w:ind w:left="0" w:leftChars="0" w:firstLine="643" w:firstLineChars="200"/>
        <w:rPr>
          <w:rFonts w:hint="default" w:ascii="仿宋_GB2312" w:eastAsia="仿宋_GB2312"/>
          <w:color w:val="auto"/>
          <w:sz w:val="32"/>
          <w:szCs w:val="32"/>
          <w:lang w:val="en-US" w:eastAsia="zh-CN"/>
        </w:rPr>
      </w:pPr>
      <w:r>
        <w:rPr>
          <w:rFonts w:hint="eastAsia" w:ascii="仿宋_GB2312" w:eastAsia="仿宋_GB2312"/>
          <w:b/>
          <w:bCs/>
          <w:sz w:val="32"/>
          <w:szCs w:val="32"/>
        </w:rPr>
        <w:t>2023年度一般公共预算财政拨款支出189.58万元，</w:t>
      </w:r>
      <w:r>
        <w:rPr>
          <w:rFonts w:hint="eastAsia" w:ascii="仿宋_GB2312" w:eastAsia="仿宋_GB2312"/>
          <w:sz w:val="32"/>
          <w:szCs w:val="32"/>
        </w:rPr>
        <w:t>占本年支出合计的</w:t>
      </w:r>
      <w:r>
        <w:rPr>
          <w:rFonts w:hint="eastAsia" w:ascii="仿宋_GB2312" w:eastAsia="仿宋_GB2312"/>
          <w:sz w:val="32"/>
          <w:szCs w:val="32"/>
          <w:lang w:val="zh-CN"/>
        </w:rPr>
        <w:t>99.76%</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增加22.64万元</w:t>
      </w:r>
      <w:r>
        <w:rPr>
          <w:rFonts w:hint="eastAsia" w:ascii="仿宋_GB2312" w:eastAsia="仿宋_GB2312"/>
          <w:sz w:val="32"/>
          <w:szCs w:val="32"/>
        </w:rPr>
        <w:t>，</w:t>
      </w:r>
      <w:r>
        <w:rPr>
          <w:rFonts w:hint="eastAsia" w:ascii="仿宋_GB2312" w:eastAsia="仿宋_GB2312"/>
          <w:sz w:val="32"/>
          <w:szCs w:val="32"/>
          <w:lang w:val="zh-CN"/>
        </w:rPr>
        <w:t>增长13.56%，</w:t>
      </w:r>
      <w:r>
        <w:rPr>
          <w:rFonts w:hint="eastAsia" w:ascii="仿宋_GB2312" w:eastAsia="仿宋_GB2312"/>
          <w:sz w:val="32"/>
          <w:szCs w:val="32"/>
        </w:rPr>
        <w:t>主要原因是：</w:t>
      </w:r>
      <w:r>
        <w:rPr>
          <w:rFonts w:hint="eastAsia" w:ascii="仿宋_GB2312" w:eastAsia="仿宋_GB2312"/>
          <w:sz w:val="32"/>
          <w:szCs w:val="32"/>
          <w:lang w:val="en-US" w:eastAsia="zh-CN"/>
        </w:rPr>
        <w:t>1、基本支出较上年减少13.83万元，其中机关事业单位基本养老保险缴费支出较上年增长1.75万元，主要为在职人员机关事业单位基本养老保险缴费增长。事业单位医疗较上年增长0.7万元，主要为在职人员基本医疗保险缴费增长。住房公积金较上年增加0.96万元，主要为在职人员住房公积金缴费增长。事业单位离退休较上年减少1.25万元，主要为2023年减少退休人员退休医疗费预算。机关事业单位职业年金缴费支出较上年减少10.66万元，主要为2023年单位无离职人员。</w:t>
      </w:r>
      <w:r>
        <w:rPr>
          <w:rFonts w:hint="eastAsia" w:ascii="仿宋_GB2312" w:eastAsia="仿宋_GB2312"/>
          <w:sz w:val="32"/>
          <w:szCs w:val="32"/>
        </w:rPr>
        <w:t>无线电及信息通信监管</w:t>
      </w:r>
      <w:r>
        <w:rPr>
          <w:rFonts w:hint="eastAsia" w:ascii="仿宋_GB2312" w:eastAsia="仿宋_GB2312"/>
          <w:sz w:val="32"/>
          <w:szCs w:val="32"/>
          <w:lang w:val="en-US" w:eastAsia="zh-CN"/>
        </w:rPr>
        <w:t>较上年减少5.33万元，</w:t>
      </w:r>
      <w:r>
        <w:rPr>
          <w:rFonts w:hint="eastAsia" w:ascii="仿宋_GB2312" w:eastAsia="仿宋_GB2312"/>
          <w:color w:val="auto"/>
          <w:sz w:val="32"/>
          <w:szCs w:val="32"/>
          <w:highlight w:val="none"/>
          <w:lang w:val="en-US" w:eastAsia="zh-CN"/>
        </w:rPr>
        <w:t>主要为日常公用经费减少，</w:t>
      </w:r>
      <w:r>
        <w:rPr>
          <w:rFonts w:hint="eastAsia" w:ascii="仿宋_GB2312" w:hAnsi="仿宋_GB2312" w:eastAsia="仿宋_GB2312" w:cs="仿宋_GB2312"/>
          <w:color w:val="auto"/>
          <w:kern w:val="2"/>
          <w:sz w:val="32"/>
          <w:szCs w:val="32"/>
          <w:highlight w:val="none"/>
          <w:lang w:val="en-US" w:eastAsia="zh-CN" w:bidi="ar-SA"/>
        </w:rPr>
        <w:t>2023年度减少购买防疫物资等需求降低</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lang w:val="en-US" w:eastAsia="zh-CN"/>
        </w:rPr>
        <w:t>、项目支出较上年增加36.47万元，其中2023年中央无线电</w:t>
      </w:r>
      <w:r>
        <w:rPr>
          <w:rFonts w:hint="eastAsia" w:ascii="仿宋_GB2312" w:hAnsi="仿宋" w:eastAsia="仿宋_GB2312" w:cs="仿宋"/>
          <w:bCs/>
          <w:color w:val="auto"/>
          <w:sz w:val="32"/>
          <w:szCs w:val="32"/>
        </w:rPr>
        <w:t>项目需求较上年</w:t>
      </w:r>
      <w:r>
        <w:rPr>
          <w:rFonts w:hint="eastAsia" w:ascii="仿宋_GB2312" w:hAnsi="仿宋" w:eastAsia="仿宋_GB2312" w:cs="仿宋"/>
          <w:bCs/>
          <w:color w:val="auto"/>
          <w:sz w:val="32"/>
          <w:szCs w:val="32"/>
          <w:lang w:val="en-US" w:eastAsia="zh-CN"/>
        </w:rPr>
        <w:t>增加，并完成2022年度尚未完成的项目支出。</w:t>
      </w:r>
    </w:p>
    <w:p>
      <w:pPr>
        <w:spacing w:line="600" w:lineRule="exact"/>
        <w:ind w:firstLine="643" w:firstLineChars="200"/>
        <w:jc w:val="left"/>
        <w:rPr>
          <w:rFonts w:ascii="仿宋_GB2312" w:eastAsia="仿宋_GB2312"/>
          <w:sz w:val="32"/>
          <w:szCs w:val="32"/>
        </w:rPr>
      </w:pP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194.14</w:t>
      </w:r>
      <w:r>
        <w:rPr>
          <w:rFonts w:hint="eastAsia" w:ascii="仿宋_GB2312" w:eastAsia="仿宋_GB2312"/>
          <w:sz w:val="32"/>
          <w:szCs w:val="32"/>
        </w:rPr>
        <w:t>万元，决算数</w:t>
      </w:r>
      <w:r>
        <w:rPr>
          <w:rFonts w:hint="eastAsia" w:ascii="仿宋_GB2312" w:eastAsia="仿宋_GB2312"/>
          <w:sz w:val="32"/>
          <w:szCs w:val="32"/>
          <w:lang w:val="zh-CN"/>
        </w:rPr>
        <w:t>189.58</w:t>
      </w:r>
      <w:r>
        <w:rPr>
          <w:rFonts w:hint="eastAsia" w:ascii="仿宋_GB2312" w:eastAsia="仿宋_GB2312"/>
          <w:sz w:val="32"/>
          <w:szCs w:val="32"/>
        </w:rPr>
        <w:t>万元，预决算差异率</w:t>
      </w:r>
      <w:r>
        <w:rPr>
          <w:rFonts w:hint="eastAsia" w:ascii="仿宋_GB2312" w:eastAsia="仿宋_GB2312"/>
          <w:sz w:val="32"/>
          <w:szCs w:val="32"/>
          <w:lang w:val="zh-CN"/>
        </w:rPr>
        <w:t>-2.35%</w:t>
      </w:r>
      <w:r>
        <w:rPr>
          <w:rFonts w:hint="eastAsia" w:ascii="仿宋_GB2312" w:eastAsia="仿宋_GB2312"/>
          <w:sz w:val="32"/>
          <w:szCs w:val="32"/>
        </w:rPr>
        <w:t>，主要原</w:t>
      </w:r>
      <w:r>
        <w:rPr>
          <w:rFonts w:hint="eastAsia" w:ascii="仿宋_GB2312" w:hAnsi="仿宋_GB2312" w:eastAsia="仿宋_GB2312" w:cs="仿宋_GB2312"/>
          <w:color w:val="auto"/>
          <w:kern w:val="2"/>
          <w:sz w:val="32"/>
          <w:szCs w:val="32"/>
          <w:highlight w:val="none"/>
          <w:lang w:val="en-US" w:eastAsia="zh-CN" w:bidi="ar-SA"/>
        </w:rPr>
        <w:t>因是：2023年存在中央无线电资金未使用完，结转到2024年使用。</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16.97</w:t>
      </w:r>
      <w:r>
        <w:rPr>
          <w:rFonts w:ascii="仿宋_GB2312" w:eastAsia="仿宋_GB2312"/>
          <w:kern w:val="2"/>
          <w:sz w:val="32"/>
          <w:szCs w:val="32"/>
          <w:lang w:val="zh-CN"/>
        </w:rPr>
        <w:t>万元，占</w:t>
      </w:r>
      <w:r>
        <w:rPr>
          <w:rFonts w:hint="eastAsia" w:ascii="仿宋_GB2312" w:eastAsia="仿宋_GB2312"/>
          <w:kern w:val="2"/>
          <w:sz w:val="32"/>
          <w:szCs w:val="32"/>
          <w:lang w:val="zh-CN"/>
        </w:rPr>
        <w:t>8.95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4.97</w:t>
      </w:r>
      <w:r>
        <w:rPr>
          <w:rFonts w:ascii="仿宋_GB2312" w:eastAsia="仿宋_GB2312"/>
          <w:kern w:val="2"/>
          <w:sz w:val="32"/>
          <w:szCs w:val="32"/>
          <w:lang w:val="zh-CN"/>
        </w:rPr>
        <w:t>万元，占</w:t>
      </w:r>
      <w:r>
        <w:rPr>
          <w:rFonts w:hint="eastAsia" w:ascii="仿宋_GB2312" w:eastAsia="仿宋_GB2312"/>
          <w:kern w:val="2"/>
          <w:sz w:val="32"/>
          <w:szCs w:val="32"/>
          <w:lang w:val="zh-CN"/>
        </w:rPr>
        <w:t>2.62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.资源勘探信息等支出（类）</w:t>
      </w:r>
      <w:r>
        <w:rPr>
          <w:rFonts w:hint="eastAsia" w:ascii="仿宋_GB2312" w:eastAsia="仿宋_GB2312"/>
          <w:kern w:val="2"/>
          <w:sz w:val="32"/>
          <w:szCs w:val="32"/>
          <w:lang w:val="zh-CN"/>
        </w:rPr>
        <w:t>160.03</w:t>
      </w:r>
      <w:r>
        <w:rPr>
          <w:rFonts w:ascii="仿宋_GB2312" w:eastAsia="仿宋_GB2312"/>
          <w:kern w:val="2"/>
          <w:sz w:val="32"/>
          <w:szCs w:val="32"/>
          <w:lang w:val="zh-CN"/>
        </w:rPr>
        <w:t>万元，占</w:t>
      </w:r>
      <w:r>
        <w:rPr>
          <w:rFonts w:hint="eastAsia" w:ascii="仿宋_GB2312" w:eastAsia="仿宋_GB2312"/>
          <w:kern w:val="2"/>
          <w:sz w:val="32"/>
          <w:szCs w:val="32"/>
          <w:lang w:val="zh-CN"/>
        </w:rPr>
        <w:t>84.41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7.62</w:t>
      </w:r>
      <w:r>
        <w:rPr>
          <w:rFonts w:ascii="仿宋_GB2312" w:eastAsia="仿宋_GB2312"/>
          <w:kern w:val="2"/>
          <w:sz w:val="32"/>
          <w:szCs w:val="32"/>
          <w:lang w:val="zh-CN"/>
        </w:rPr>
        <w:t>万元，占</w:t>
      </w:r>
      <w:r>
        <w:rPr>
          <w:rFonts w:hint="eastAsia" w:ascii="仿宋_GB2312" w:eastAsia="仿宋_GB2312"/>
          <w:kern w:val="2"/>
          <w:sz w:val="32"/>
          <w:szCs w:val="32"/>
          <w:lang w:val="zh-CN"/>
        </w:rPr>
        <w:t>4.02</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1.卫生健康支出（类）行政事业单位医疗（款）事业单位医疗（项）:支出决算数为4.97万元，比上年决算增加0.70万元，增长16.</w:t>
      </w:r>
      <w:r>
        <w:rPr>
          <w:rFonts w:hint="eastAsia" w:eastAsia="仿宋_GB2312"/>
          <w:sz w:val="32"/>
          <w:szCs w:val="32"/>
          <w:lang w:val="en-US" w:eastAsia="zh-CN"/>
        </w:rPr>
        <w:t>39</w:t>
      </w:r>
      <w:r>
        <w:rPr>
          <w:rFonts w:hint="eastAsia" w:eastAsia="仿宋_GB2312"/>
          <w:sz w:val="32"/>
          <w:szCs w:val="32"/>
        </w:rPr>
        <w:t>%，主要原因是：</w:t>
      </w:r>
      <w:r>
        <w:rPr>
          <w:rFonts w:hint="eastAsia" w:eastAsia="仿宋_GB2312"/>
          <w:sz w:val="32"/>
          <w:szCs w:val="32"/>
          <w:lang w:val="en-US" w:eastAsia="zh-CN"/>
        </w:rPr>
        <w:t>单位在职人员医疗费用每年正常递增</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2.资源勘探工业信息等支出（类）工业和信息产业监管（款）无线电及信息通信监管（项）:支出决算数为160.03万元，比上年决算增加31.14万元，增长24.16%，主要原因是：</w:t>
      </w:r>
      <w:r>
        <w:rPr>
          <w:rFonts w:hint="eastAsia" w:eastAsia="仿宋_GB2312"/>
          <w:sz w:val="32"/>
          <w:szCs w:val="32"/>
          <w:lang w:val="en-US" w:eastAsia="zh-CN"/>
        </w:rPr>
        <w:t>2023年</w:t>
      </w:r>
      <w:r>
        <w:rPr>
          <w:rFonts w:hint="eastAsia" w:eastAsia="仿宋_GB2312"/>
          <w:sz w:val="32"/>
          <w:szCs w:val="32"/>
        </w:rPr>
        <w:t>新增无线电项目支出费用</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3.住房保障支出（类）住房改革支出（款）住房公积金（项）:支出决算数为7.62万元，比上年决算增加0.96万元，增长14.</w:t>
      </w:r>
      <w:r>
        <w:rPr>
          <w:rFonts w:hint="eastAsia" w:eastAsia="仿宋_GB2312"/>
          <w:sz w:val="32"/>
          <w:szCs w:val="32"/>
          <w:lang w:val="en-US" w:eastAsia="zh-CN"/>
        </w:rPr>
        <w:t>41</w:t>
      </w:r>
      <w:r>
        <w:rPr>
          <w:rFonts w:hint="eastAsia" w:eastAsia="仿宋_GB2312"/>
          <w:sz w:val="32"/>
          <w:szCs w:val="32"/>
        </w:rPr>
        <w:t>%，主要原因是：</w:t>
      </w:r>
      <w:r>
        <w:rPr>
          <w:rFonts w:hint="eastAsia" w:eastAsia="仿宋_GB2312"/>
          <w:sz w:val="32"/>
          <w:szCs w:val="32"/>
          <w:lang w:val="en-US" w:eastAsia="zh-CN"/>
        </w:rPr>
        <w:t>单位在职人员</w:t>
      </w:r>
      <w:r>
        <w:rPr>
          <w:rFonts w:hint="eastAsia" w:eastAsia="仿宋_GB2312"/>
          <w:sz w:val="32"/>
          <w:szCs w:val="32"/>
        </w:rPr>
        <w:t>住房公积金支出每年度正常递增</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4.社会保障和就业支出（类）行政事业单位养老支出（款）事业单位离退休（项）:支出决算数为7.66万元，比上年决算减少1.25万元，下降14.03%，主要原因是：</w:t>
      </w:r>
      <w:r>
        <w:rPr>
          <w:rFonts w:hint="eastAsia" w:eastAsia="仿宋_GB2312"/>
          <w:sz w:val="32"/>
          <w:szCs w:val="32"/>
          <w:lang w:val="en-US" w:eastAsia="zh-CN"/>
        </w:rPr>
        <w:t>2023年减少</w:t>
      </w:r>
      <w:r>
        <w:rPr>
          <w:rFonts w:hint="eastAsia" w:eastAsia="仿宋_GB2312"/>
          <w:sz w:val="32"/>
          <w:szCs w:val="32"/>
        </w:rPr>
        <w:t>退休人员退休医疗费</w:t>
      </w:r>
      <w:r>
        <w:rPr>
          <w:rFonts w:hint="eastAsia" w:eastAsia="仿宋_GB2312"/>
          <w:sz w:val="32"/>
          <w:szCs w:val="32"/>
          <w:lang w:val="en-US" w:eastAsia="zh-CN"/>
        </w:rPr>
        <w:t>支出</w:t>
      </w:r>
      <w:r>
        <w:rPr>
          <w:rFonts w:hint="eastAsia" w:eastAsia="仿宋_GB2312"/>
          <w:sz w:val="32"/>
          <w:szCs w:val="32"/>
          <w:lang w:val="zh-CN"/>
        </w:rPr>
        <w:t>。</w:t>
      </w:r>
    </w:p>
    <w:p>
      <w:pPr>
        <w:ind w:firstLine="640" w:firstLineChars="200"/>
        <w:rPr>
          <w:rFonts w:hint="eastAsia" w:eastAsia="仿宋_GB2312"/>
          <w:sz w:val="32"/>
          <w:szCs w:val="32"/>
        </w:rPr>
      </w:pPr>
      <w:r>
        <w:rPr>
          <w:rFonts w:hint="eastAsia" w:eastAsia="仿宋_GB2312"/>
          <w:sz w:val="32"/>
          <w:szCs w:val="32"/>
        </w:rPr>
        <w:t>5.社会保障和就业支出（类）行政事业单位养老支出（款）机关事业单位基本养老保险缴费支出（项）:支出决算数为9.31万元，比上年决算增加1.75万元，增长23.</w:t>
      </w:r>
      <w:r>
        <w:rPr>
          <w:rFonts w:hint="eastAsia" w:eastAsia="仿宋_GB2312"/>
          <w:sz w:val="32"/>
          <w:szCs w:val="32"/>
          <w:lang w:val="en-US" w:eastAsia="zh-CN"/>
        </w:rPr>
        <w:t>15</w:t>
      </w:r>
      <w:r>
        <w:rPr>
          <w:rFonts w:hint="eastAsia" w:eastAsia="仿宋_GB2312"/>
          <w:sz w:val="32"/>
          <w:szCs w:val="32"/>
        </w:rPr>
        <w:t>%，主要原因是：</w:t>
      </w:r>
      <w:r>
        <w:rPr>
          <w:rFonts w:hint="eastAsia" w:eastAsia="仿宋_GB2312"/>
          <w:sz w:val="32"/>
          <w:szCs w:val="32"/>
          <w:lang w:val="en-US" w:eastAsia="zh-CN"/>
        </w:rPr>
        <w:t>单位在职人员</w:t>
      </w:r>
      <w:r>
        <w:rPr>
          <w:rFonts w:hint="eastAsia" w:eastAsia="仿宋_GB2312"/>
          <w:sz w:val="32"/>
          <w:szCs w:val="32"/>
        </w:rPr>
        <w:t>基本养老保险缴费支出每年度正常递增。</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6.社会保障和就业支出（类）行政事业单位养老支出（款）机关事业单位职业年金缴费支出（项）:支出决算数为0.00万元，比上年决算减少10.66万元，下降100%，主要原因是：</w:t>
      </w:r>
      <w:r>
        <w:rPr>
          <w:rFonts w:hint="eastAsia" w:eastAsia="仿宋_GB2312"/>
          <w:sz w:val="32"/>
          <w:szCs w:val="32"/>
          <w:lang w:val="en-US" w:eastAsia="zh-CN"/>
        </w:rPr>
        <w:t>本年单位无离职人员。</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2023年度一般公共预算财政拨款基本支出120.09万元，其中：</w:t>
      </w:r>
      <w:r>
        <w:rPr>
          <w:rFonts w:hint="eastAsia" w:ascii="仿宋_GB2312" w:eastAsia="仿宋_GB2312"/>
          <w:b/>
          <w:bCs/>
          <w:sz w:val="32"/>
          <w:szCs w:val="32"/>
        </w:rPr>
        <w:t>人员经费100.49万元，</w:t>
      </w:r>
      <w:r>
        <w:rPr>
          <w:rFonts w:hint="eastAsia" w:ascii="仿宋_GB2312" w:eastAsia="仿宋_GB2312"/>
          <w:sz w:val="32"/>
          <w:szCs w:val="32"/>
        </w:rPr>
        <w:t>包括：基本工资、津贴补贴、奖金、绩效工资、机关事业单位基本养老保险缴费、职工基本医疗保险缴费、其他社会保障缴费、住房公积金、其他工资福利支出、退休费、其他对个人和家庭的补助。</w:t>
      </w:r>
    </w:p>
    <w:p>
      <w:pPr>
        <w:ind w:firstLine="643" w:firstLineChars="200"/>
        <w:jc w:val="left"/>
        <w:rPr>
          <w:rFonts w:ascii="仿宋_GB2312" w:hAnsi="宋体" w:eastAsia="仿宋_GB2312" w:cs="宋体"/>
          <w:kern w:val="0"/>
          <w:sz w:val="32"/>
          <w:szCs w:val="32"/>
        </w:rPr>
      </w:pPr>
      <w:r>
        <w:rPr>
          <w:rFonts w:hint="eastAsia" w:ascii="仿宋_GB2312" w:eastAsia="仿宋_GB2312"/>
          <w:b/>
          <w:bCs/>
          <w:sz w:val="32"/>
          <w:szCs w:val="32"/>
        </w:rPr>
        <w:t>公用经费19.60万元，</w:t>
      </w:r>
      <w:r>
        <w:rPr>
          <w:rFonts w:hint="eastAsia" w:ascii="仿宋_GB2312" w:eastAsia="仿宋_GB2312"/>
          <w:sz w:val="32"/>
          <w:szCs w:val="32"/>
        </w:rPr>
        <w:t>包括：办公费、水费、邮电费、取暖费、差旅费、工会经费、福利费、公务用车运行维护费、其他商品和服务支出</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3" w:firstLineChars="200"/>
        <w:jc w:val="left"/>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“三公”经费支出9.78万元，</w:t>
      </w:r>
      <w:r>
        <w:rPr>
          <w:rFonts w:hint="eastAsia" w:ascii="仿宋_GB2312" w:eastAsia="仿宋_GB2312"/>
          <w:sz w:val="32"/>
          <w:szCs w:val="32"/>
        </w:rPr>
        <w:t>比上年</w:t>
      </w:r>
      <w:r>
        <w:rPr>
          <w:rFonts w:hint="eastAsia" w:ascii="仿宋_GB2312" w:eastAsia="仿宋_GB2312"/>
          <w:sz w:val="32"/>
          <w:szCs w:val="32"/>
          <w:lang w:val="zh-CN"/>
        </w:rPr>
        <w:t>减少0.19万元，下降1.9</w:t>
      </w:r>
      <w:r>
        <w:rPr>
          <w:rFonts w:hint="eastAsia" w:ascii="仿宋_GB2312" w:eastAsia="仿宋_GB2312"/>
          <w:sz w:val="32"/>
          <w:szCs w:val="32"/>
          <w:lang w:val="en-US" w:eastAsia="zh-CN"/>
        </w:rPr>
        <w:t>1</w:t>
      </w:r>
      <w:r>
        <w:rPr>
          <w:rFonts w:hint="eastAsia" w:ascii="仿宋_GB2312" w:eastAsia="仿宋_GB2312"/>
          <w:sz w:val="32"/>
          <w:szCs w:val="32"/>
          <w:lang w:val="zh-CN"/>
        </w:rPr>
        <w:t>%，主要原因是：</w:t>
      </w:r>
      <w:r>
        <w:rPr>
          <w:rFonts w:ascii="仿宋_GB2312" w:eastAsia="仿宋_GB2312"/>
          <w:sz w:val="32"/>
          <w:szCs w:val="32"/>
        </w:rPr>
        <w:t>严格执行中央八项规定及相关细则，合理</w:t>
      </w:r>
      <w:r>
        <w:rPr>
          <w:rFonts w:hint="eastAsia" w:ascii="仿宋_GB2312" w:eastAsia="仿宋_GB2312"/>
          <w:sz w:val="32"/>
          <w:szCs w:val="32"/>
          <w:lang w:val="en-US" w:eastAsia="zh-CN"/>
        </w:rPr>
        <w:t>控制</w:t>
      </w:r>
      <w:r>
        <w:rPr>
          <w:rFonts w:ascii="仿宋_GB2312" w:eastAsia="仿宋_GB2312"/>
          <w:sz w:val="32"/>
          <w:szCs w:val="32"/>
        </w:rPr>
        <w:t>“三公”经费支出，做到“三公”经费只减不增，无预算不支出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；公务用车购置及运行维护费支出9.78万元，占100.00%，比上年减少0.19万元，下降1.9</w:t>
      </w:r>
      <w:r>
        <w:rPr>
          <w:rFonts w:hint="eastAsia" w:ascii="仿宋_GB2312" w:eastAsia="仿宋_GB2312"/>
          <w:sz w:val="32"/>
          <w:szCs w:val="32"/>
          <w:lang w:val="en-US" w:eastAsia="zh-CN"/>
        </w:rPr>
        <w:t>1</w:t>
      </w:r>
      <w:r>
        <w:rPr>
          <w:rFonts w:hint="eastAsia" w:ascii="仿宋_GB2312" w:eastAsia="仿宋_GB2312"/>
          <w:sz w:val="32"/>
          <w:szCs w:val="32"/>
          <w:lang w:val="zh-CN"/>
        </w:rPr>
        <w:t>%，主要原因是：</w:t>
      </w:r>
      <w:r>
        <w:rPr>
          <w:rFonts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ascii="仿宋_GB2312" w:eastAsia="仿宋_GB2312"/>
          <w:sz w:val="32"/>
          <w:szCs w:val="32"/>
        </w:rPr>
        <w:t>公务用车运行费用，做到公务用车运行费用只减不增</w:t>
      </w:r>
      <w:r>
        <w:rPr>
          <w:rFonts w:hint="eastAsia" w:ascii="仿宋_GB2312" w:eastAsia="仿宋_GB2312"/>
          <w:sz w:val="32"/>
          <w:szCs w:val="32"/>
          <w:lang w:val="zh-CN"/>
        </w:rPr>
        <w:t>；公务接待费支出0.00万元，占0.00%，比上年增加0.00万元，增长0.00%，主要原因是：</w:t>
      </w:r>
      <w:r>
        <w:rPr>
          <w:rFonts w:ascii="仿宋_GB2312" w:eastAsia="仿宋_GB2312"/>
          <w:sz w:val="32"/>
          <w:szCs w:val="32"/>
        </w:rPr>
        <w:t>单位无公务接待费</w:t>
      </w:r>
      <w:r>
        <w:rPr>
          <w:rFonts w:hint="eastAsia" w:ascii="仿宋_GB2312" w:eastAsia="仿宋_GB2312"/>
          <w:sz w:val="32"/>
          <w:szCs w:val="32"/>
          <w:lang w:val="zh-CN"/>
        </w:rPr>
        <w:t>。</w:t>
      </w:r>
    </w:p>
    <w:p>
      <w:pPr>
        <w:ind w:firstLine="643" w:firstLineChars="200"/>
        <w:jc w:val="left"/>
        <w:rPr>
          <w:rFonts w:ascii="仿宋_GB2312" w:eastAsia="仿宋_GB2312"/>
          <w:sz w:val="32"/>
          <w:szCs w:val="32"/>
          <w:lang w:val="zh-CN"/>
        </w:rPr>
      </w:pPr>
      <w:r>
        <w:rPr>
          <w:rFonts w:hint="eastAsia" w:ascii="仿宋_GB2312" w:eastAsia="仿宋_GB2312"/>
          <w:b/>
          <w:bCs/>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公务用车购置及运行维护费9.78万元，其中：公务用车购置费0.00万元，公务用车运行维护费9.78万元。公务用车运行维护费开支内容</w:t>
      </w:r>
      <w:r>
        <w:rPr>
          <w:rFonts w:hint="eastAsia" w:ascii="仿宋_GB2312" w:eastAsia="仿宋_GB2312"/>
          <w:sz w:val="32"/>
          <w:szCs w:val="32"/>
        </w:rPr>
        <w:t>包括车辆燃料费、维修费、过路过桥费、车辆审验费、保险费</w:t>
      </w:r>
      <w:r>
        <w:rPr>
          <w:rFonts w:hint="eastAsia" w:ascii="仿宋_GB2312" w:eastAsia="仿宋_GB2312"/>
          <w:sz w:val="32"/>
          <w:szCs w:val="32"/>
          <w:lang w:val="zh-CN"/>
        </w:rPr>
        <w:t>。公务用车购置数0辆，公务用车保有量6辆。国有资产占用情况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w:t>
      </w:r>
      <w:r>
        <w:rPr>
          <w:rFonts w:hint="eastAsia" w:ascii="仿宋_GB2312" w:eastAsia="仿宋_GB2312"/>
          <w:sz w:val="32"/>
          <w:szCs w:val="32"/>
          <w:lang w:val="en-US" w:eastAsia="zh-CN"/>
        </w:rPr>
        <w:t>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3" w:firstLineChars="200"/>
        <w:jc w:val="left"/>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预算数10.73万元，决算数9.78万元，预决算差异率-8.8</w:t>
      </w:r>
      <w:r>
        <w:rPr>
          <w:rFonts w:hint="eastAsia" w:ascii="仿宋_GB2312" w:eastAsia="仿宋_GB2312"/>
          <w:sz w:val="32"/>
          <w:szCs w:val="32"/>
          <w:lang w:val="en-US" w:eastAsia="zh-CN"/>
        </w:rPr>
        <w:t>5</w:t>
      </w:r>
      <w:r>
        <w:rPr>
          <w:rFonts w:hint="eastAsia" w:ascii="仿宋_GB2312" w:eastAsia="仿宋_GB2312"/>
          <w:sz w:val="32"/>
          <w:szCs w:val="32"/>
          <w:lang w:val="zh-CN"/>
        </w:rPr>
        <w:t>%，主要原因是：</w:t>
      </w:r>
      <w:r>
        <w:rPr>
          <w:rFonts w:hint="eastAsia"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hint="eastAsia" w:ascii="仿宋_GB2312" w:eastAsia="仿宋_GB2312"/>
          <w:sz w:val="32"/>
          <w:szCs w:val="32"/>
        </w:rPr>
        <w:t>公务用车运行费用</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预算数10.73万元，决算数9.78万元，预决算差异率-8.8</w:t>
      </w:r>
      <w:r>
        <w:rPr>
          <w:rFonts w:hint="eastAsia" w:ascii="仿宋_GB2312" w:eastAsia="仿宋_GB2312"/>
          <w:sz w:val="32"/>
          <w:szCs w:val="32"/>
          <w:lang w:val="en-US" w:eastAsia="zh-CN"/>
        </w:rPr>
        <w:t>5</w:t>
      </w:r>
      <w:r>
        <w:rPr>
          <w:rFonts w:hint="eastAsia" w:ascii="仿宋_GB2312" w:eastAsia="仿宋_GB2312"/>
          <w:sz w:val="32"/>
          <w:szCs w:val="32"/>
          <w:lang w:val="zh-CN"/>
        </w:rPr>
        <w:t>%，主要原因是：</w:t>
      </w:r>
      <w:r>
        <w:rPr>
          <w:rFonts w:hint="eastAsia" w:ascii="仿宋_GB2312" w:eastAsia="仿宋_GB2312"/>
          <w:sz w:val="32"/>
          <w:szCs w:val="32"/>
        </w:rPr>
        <w:t>严格执行中央八项规定及相关细则，合理</w:t>
      </w:r>
      <w:r>
        <w:rPr>
          <w:rFonts w:hint="eastAsia" w:ascii="仿宋_GB2312" w:eastAsia="仿宋_GB2312"/>
          <w:sz w:val="32"/>
          <w:szCs w:val="32"/>
          <w:lang w:val="en-US" w:eastAsia="zh-CN"/>
        </w:rPr>
        <w:t>控制</w:t>
      </w:r>
      <w:r>
        <w:rPr>
          <w:rFonts w:hint="eastAsia" w:ascii="仿宋_GB2312" w:eastAsia="仿宋_GB2312"/>
          <w:sz w:val="32"/>
          <w:szCs w:val="32"/>
        </w:rPr>
        <w:t>“三公”经费支出，做到“三公”经费只减不增，无预算不支出</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sz w:val="32"/>
          <w:szCs w:val="32"/>
          <w:lang w:val="en-US" w:eastAsia="zh-CN"/>
        </w:rPr>
        <w:t>公务接待</w:t>
      </w:r>
      <w:r>
        <w:rPr>
          <w:rFonts w:hint="eastAsia" w:ascii="仿宋_GB2312" w:eastAsia="仿宋_GB2312"/>
          <w:sz w:val="32"/>
          <w:szCs w:val="32"/>
        </w:rPr>
        <w:t>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昌吉回族自治州无线电管理局</w:t>
      </w:r>
      <w:r>
        <w:rPr>
          <w:rFonts w:hint="eastAsia" w:eastAsia="仿宋_GB2312"/>
          <w:sz w:val="32"/>
          <w:szCs w:val="32"/>
          <w:lang w:val="zh-CN"/>
        </w:rPr>
        <w:t>（事业单位）公用经费支出19.60万元，比上年减少6.20万元，下降24.0</w:t>
      </w:r>
      <w:r>
        <w:rPr>
          <w:rFonts w:hint="eastAsia" w:eastAsia="仿宋_GB2312"/>
          <w:sz w:val="32"/>
          <w:szCs w:val="32"/>
          <w:lang w:val="en-US" w:eastAsia="zh-CN"/>
        </w:rPr>
        <w:t>3</w:t>
      </w:r>
      <w:r>
        <w:rPr>
          <w:rFonts w:hint="eastAsia" w:eastAsia="仿宋_GB2312"/>
          <w:sz w:val="32"/>
          <w:szCs w:val="32"/>
          <w:lang w:val="zh-CN"/>
        </w:rPr>
        <w:t>%，主要原因是：</w:t>
      </w:r>
      <w:r>
        <w:rPr>
          <w:rFonts w:hint="eastAsia" w:eastAsia="仿宋_GB2312"/>
          <w:sz w:val="32"/>
          <w:szCs w:val="32"/>
          <w:lang w:val="en-US" w:eastAsia="zh-CN"/>
        </w:rPr>
        <w:t>2023年</w:t>
      </w:r>
      <w:r>
        <w:rPr>
          <w:rFonts w:hint="eastAsia" w:ascii="仿宋_GB2312" w:hAnsi="仿宋_GB2312" w:eastAsia="仿宋_GB2312" w:cs="仿宋_GB2312"/>
          <w:color w:val="auto"/>
          <w:kern w:val="2"/>
          <w:sz w:val="32"/>
          <w:szCs w:val="32"/>
          <w:highlight w:val="none"/>
          <w:lang w:val="en-US" w:eastAsia="zh-CN" w:bidi="ar-SA"/>
        </w:rPr>
        <w:t>减少购买防疫物资等需求降低</w:t>
      </w:r>
      <w:r>
        <w:rPr>
          <w:rFonts w:hint="eastAsia" w:eastAsia="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2023年度政府采购支出总额22.62万元，其中：政府采购货物支出0.30万元、政府采购工程支出0.00万元、政府采购服务支出22.32万元。</w:t>
      </w:r>
    </w:p>
    <w:p>
      <w:pPr>
        <w:ind w:firstLine="640" w:firstLineChars="200"/>
        <w:jc w:val="left"/>
        <w:rPr>
          <w:rFonts w:eastAsia="仿宋_GB2312"/>
          <w:sz w:val="32"/>
          <w:szCs w:val="32"/>
        </w:rPr>
      </w:pPr>
      <w:r>
        <w:rPr>
          <w:rFonts w:hint="eastAsia" w:eastAsia="仿宋_GB2312"/>
          <w:sz w:val="32"/>
          <w:szCs w:val="32"/>
          <w:lang w:val="zh-CN"/>
        </w:rPr>
        <w:t>授予中小企业合同金额21.24万元，占政府采购支出总额的93.</w:t>
      </w:r>
      <w:r>
        <w:rPr>
          <w:rFonts w:hint="eastAsia" w:eastAsia="仿宋_GB2312"/>
          <w:sz w:val="32"/>
          <w:szCs w:val="32"/>
          <w:lang w:val="en-US" w:eastAsia="zh-CN"/>
        </w:rPr>
        <w:t>90</w:t>
      </w:r>
      <w:bookmarkStart w:id="48" w:name="_GoBack"/>
      <w:bookmarkEnd w:id="48"/>
      <w:r>
        <w:rPr>
          <w:rFonts w:eastAsia="仿宋_GB2312"/>
          <w:sz w:val="32"/>
          <w:szCs w:val="32"/>
          <w:lang w:val="zh-CN"/>
        </w:rPr>
        <w:t>%</w:t>
      </w:r>
      <w:r>
        <w:rPr>
          <w:rFonts w:hint="eastAsia" w:eastAsia="仿宋_GB2312"/>
          <w:sz w:val="32"/>
          <w:szCs w:val="32"/>
          <w:lang w:val="zh-CN"/>
        </w:rPr>
        <w:t>，其中：授予小微企业合同金额20.94万元，占政府采购支出总额的92.56</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4,313.30</w:t>
      </w:r>
      <w:r>
        <w:rPr>
          <w:rFonts w:hint="eastAsia" w:eastAsia="仿宋_GB2312"/>
          <w:sz w:val="32"/>
          <w:szCs w:val="32"/>
        </w:rPr>
        <w:t>万元，房</w:t>
      </w:r>
      <w:r>
        <w:rPr>
          <w:rFonts w:hint="eastAsia" w:eastAsia="仿宋_GB2312"/>
          <w:sz w:val="32"/>
          <w:szCs w:val="32"/>
          <w:lang w:val="zh-CN"/>
        </w:rPr>
        <w:t>屋2802.59平方米，价值669.63万元。车辆6辆，价值338.59万元，其中：副部（省）级及以上领导用车0辆、主要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用车0辆、机要通信用车0辆、应急保障用车0辆、执法执勤用车1辆、特种专业技术用车5辆、离退休干部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eastAsia="仿宋_GB2312"/>
          <w:sz w:val="32"/>
          <w:szCs w:val="32"/>
          <w:lang w:val="en-US" w:eastAsia="zh-CN"/>
        </w:rPr>
        <w:t>我单位无其他用车</w:t>
      </w:r>
      <w:r>
        <w:rPr>
          <w:rFonts w:hint="eastAsia" w:eastAsia="仿宋_GB2312"/>
          <w:sz w:val="32"/>
          <w:szCs w:val="32"/>
          <w:lang w:val="zh-CN"/>
        </w:rPr>
        <w:t>；单价100万元（含）以上设备（不含车辆）11</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highlight w:val="none"/>
          <w:lang w:eastAsia="zh-CN"/>
        </w:rPr>
        <w:t>根据预算绩效管理要求，我单位2023年度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rPr>
        <w:t>预算绩效评价项目</w:t>
      </w:r>
      <w:r>
        <w:rPr>
          <w:rFonts w:ascii="仿宋_GB2312" w:eastAsia="仿宋_GB2312"/>
          <w:sz w:val="32"/>
          <w:szCs w:val="32"/>
        </w:rPr>
        <w:t>1</w:t>
      </w:r>
      <w:r>
        <w:rPr>
          <w:rFonts w:hint="eastAsia" w:ascii="仿宋_GB2312" w:eastAsia="仿宋_GB2312"/>
          <w:sz w:val="32"/>
          <w:szCs w:val="32"/>
        </w:rPr>
        <w:t>个，全年预算总额</w:t>
      </w:r>
      <w:r>
        <w:rPr>
          <w:rFonts w:hint="eastAsia" w:ascii="仿宋_GB2312" w:eastAsia="仿宋_GB2312"/>
          <w:sz w:val="32"/>
          <w:szCs w:val="32"/>
          <w:lang w:val="en-US" w:eastAsia="zh-CN"/>
        </w:rPr>
        <w:t>0.45</w:t>
      </w:r>
      <w:r>
        <w:rPr>
          <w:rFonts w:hint="eastAsia" w:ascii="仿宋_GB2312" w:eastAsia="仿宋_GB2312"/>
          <w:sz w:val="32"/>
          <w:szCs w:val="32"/>
        </w:rPr>
        <w:t>万元，实际执行总额</w:t>
      </w:r>
      <w:r>
        <w:rPr>
          <w:rFonts w:hint="eastAsia" w:ascii="仿宋_GB2312" w:eastAsia="仿宋_GB2312"/>
          <w:sz w:val="32"/>
          <w:szCs w:val="32"/>
          <w:lang w:val="en-US" w:eastAsia="zh-CN"/>
        </w:rPr>
        <w:t>0.45万</w:t>
      </w:r>
      <w:r>
        <w:rPr>
          <w:rFonts w:hint="eastAsia" w:ascii="仿宋_GB2312" w:eastAsia="仿宋_GB2312"/>
          <w:sz w:val="32"/>
          <w:szCs w:val="32"/>
        </w:rPr>
        <w:t>元</w:t>
      </w:r>
      <w:r>
        <w:rPr>
          <w:rFonts w:hint="eastAsia" w:ascii="仿宋_GB2312" w:eastAsia="仿宋_GB2312"/>
          <w:color w:val="auto"/>
          <w:sz w:val="32"/>
          <w:szCs w:val="32"/>
          <w:lang w:eastAsia="zh-CN"/>
        </w:rPr>
        <w:t>。</w:t>
      </w:r>
      <w:r>
        <w:rPr>
          <w:rFonts w:hint="eastAsia" w:ascii="仿宋_GB2312" w:eastAsia="仿宋_GB2312"/>
          <w:sz w:val="32"/>
          <w:szCs w:val="32"/>
          <w:highlight w:val="none"/>
          <w:lang w:eastAsia="zh-CN"/>
        </w:rPr>
        <w:t>预算绩效管理取得的成效：</w:t>
      </w:r>
      <w:r>
        <w:rPr>
          <w:rFonts w:ascii="仿宋_GB2312" w:eastAsia="仿宋_GB2312"/>
          <w:sz w:val="32"/>
          <w:szCs w:val="32"/>
        </w:rPr>
        <w:t>一是严格执行《工信厅全面预算绩效管理办法》，日常对项目资金加快预算执行，确保绩效监控和绩效评价执行率，规范各项预算执行活动,确保预算执行的准确性、及时性和规范性,发挥财政资金的最大效用,取得了良好的绩效成果；二是各项工作实施及资金使用情况均在绩效目标设定时限完成，在项目经费的使用上，在保证各项任务顺利完成的同时，严格落实厉行节约的原则</w:t>
      </w:r>
      <w:r>
        <w:rPr>
          <w:rFonts w:hint="eastAsia" w:ascii="仿宋_GB2312" w:eastAsia="仿宋_GB2312"/>
          <w:sz w:val="32"/>
          <w:szCs w:val="32"/>
          <w:lang w:eastAsia="zh-CN"/>
        </w:rPr>
        <w:t>。</w:t>
      </w:r>
      <w:r>
        <w:rPr>
          <w:rFonts w:hint="eastAsia" w:ascii="仿宋_GB2312" w:eastAsia="仿宋_GB2312"/>
          <w:sz w:val="32"/>
          <w:szCs w:val="32"/>
        </w:rPr>
        <w:t>发现的问题及原因：</w:t>
      </w:r>
      <w:r>
        <w:rPr>
          <w:rFonts w:ascii="仿宋_GB2312" w:eastAsia="仿宋_GB2312"/>
          <w:sz w:val="32"/>
          <w:szCs w:val="32"/>
        </w:rPr>
        <w:t>一是绩效目标设置不够科学，编制的项目自评指标体系不够精细，绩效目标不具体，绩效目标未完全细化；二是预算绩效观念不强，工作质量待提高，部分预算单位对预算绩效管理工作重视程度还不足，工作缺乏主动性，对预算绩效管理工作的意义、框架、思路、操作规程认识不够深入 ，申报绩效目标不够明确，设计的评价指标体系不科学、不严谨</w:t>
      </w:r>
      <w:r>
        <w:rPr>
          <w:rFonts w:hint="eastAsia" w:ascii="仿宋_GB2312" w:eastAsia="仿宋_GB2312"/>
          <w:sz w:val="32"/>
          <w:szCs w:val="32"/>
        </w:rPr>
        <w:t>。下一步改进措施：</w:t>
      </w:r>
      <w:r>
        <w:rPr>
          <w:rFonts w:ascii="仿宋_GB2312" w:eastAsia="仿宋_GB2312"/>
          <w:sz w:val="32"/>
          <w:szCs w:val="32"/>
        </w:rPr>
        <w:t>在今后的预算绩效申报时，应将全年工作任务细化分解为具体的工作目标，并尽量采取定量的方式制定清晰、可衡量的绩效指标，提高项目的使用经济功能精确度；完善各项内控制度，建立上下协调，部门联动、层层落实的工作责任制，将绩效管理责任分解落实到具体科室、明确到具体责任人，确保每一笔资金花的安全、用的高效；加强对专项资金预算执行力度的考核，确保项目执行按期完成。</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both"/>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MxMmQ1NDBhMzMzYTFjYmNlMmRiNGMwYWEzYWZjODQifQ=="/>
    <w:docVar w:name="KSO_WPS_MARK_KEY" w:val="41ee2a61-2d54-4f93-83be-afdb9a40d732"/>
  </w:docVars>
  <w:rsids>
    <w:rsidRoot w:val="004C523E"/>
    <w:rsid w:val="00213C59"/>
    <w:rsid w:val="003210CE"/>
    <w:rsid w:val="004C523E"/>
    <w:rsid w:val="006E1456"/>
    <w:rsid w:val="00B70D59"/>
    <w:rsid w:val="00D03BC3"/>
    <w:rsid w:val="00F52A8D"/>
    <w:rsid w:val="019404F8"/>
    <w:rsid w:val="02BD3108"/>
    <w:rsid w:val="02F73D26"/>
    <w:rsid w:val="034D4FEF"/>
    <w:rsid w:val="035D1785"/>
    <w:rsid w:val="039F47CE"/>
    <w:rsid w:val="03E05CE8"/>
    <w:rsid w:val="03F973EE"/>
    <w:rsid w:val="043E5B56"/>
    <w:rsid w:val="04C04386"/>
    <w:rsid w:val="04FA68C4"/>
    <w:rsid w:val="04FF1044"/>
    <w:rsid w:val="053F5AE6"/>
    <w:rsid w:val="057C0B0F"/>
    <w:rsid w:val="05EF4B48"/>
    <w:rsid w:val="05F76ECA"/>
    <w:rsid w:val="06792773"/>
    <w:rsid w:val="07093795"/>
    <w:rsid w:val="07804730"/>
    <w:rsid w:val="079052BE"/>
    <w:rsid w:val="08145C21"/>
    <w:rsid w:val="08422688"/>
    <w:rsid w:val="085854ED"/>
    <w:rsid w:val="0865499C"/>
    <w:rsid w:val="0879188F"/>
    <w:rsid w:val="08A0354D"/>
    <w:rsid w:val="08CD4C49"/>
    <w:rsid w:val="09114954"/>
    <w:rsid w:val="095A5B83"/>
    <w:rsid w:val="096466E3"/>
    <w:rsid w:val="0968304D"/>
    <w:rsid w:val="09AF3D17"/>
    <w:rsid w:val="0A7809B7"/>
    <w:rsid w:val="0A7B4867"/>
    <w:rsid w:val="0A840954"/>
    <w:rsid w:val="0A9928ED"/>
    <w:rsid w:val="0AAD59F8"/>
    <w:rsid w:val="0B61769D"/>
    <w:rsid w:val="0B8C3ECC"/>
    <w:rsid w:val="0B9C639D"/>
    <w:rsid w:val="0BB052B2"/>
    <w:rsid w:val="0BD33FFC"/>
    <w:rsid w:val="0BE97AC1"/>
    <w:rsid w:val="0C1C4780"/>
    <w:rsid w:val="0C3613A3"/>
    <w:rsid w:val="0C5E519C"/>
    <w:rsid w:val="0C7227A7"/>
    <w:rsid w:val="0CA52EE8"/>
    <w:rsid w:val="0CBD6988"/>
    <w:rsid w:val="0CD208AC"/>
    <w:rsid w:val="0CF14A50"/>
    <w:rsid w:val="0D4903E8"/>
    <w:rsid w:val="0D7A4A46"/>
    <w:rsid w:val="0DEB14A0"/>
    <w:rsid w:val="0E640559"/>
    <w:rsid w:val="0F1113DA"/>
    <w:rsid w:val="0F78534A"/>
    <w:rsid w:val="0F89358A"/>
    <w:rsid w:val="0F8C6D51"/>
    <w:rsid w:val="105B0B5E"/>
    <w:rsid w:val="10C90A5A"/>
    <w:rsid w:val="10CA5CE4"/>
    <w:rsid w:val="112E58D0"/>
    <w:rsid w:val="11731CAC"/>
    <w:rsid w:val="11837C33"/>
    <w:rsid w:val="119500A0"/>
    <w:rsid w:val="11C0733B"/>
    <w:rsid w:val="11C35C5C"/>
    <w:rsid w:val="11D50D17"/>
    <w:rsid w:val="120E0809"/>
    <w:rsid w:val="127F665A"/>
    <w:rsid w:val="1292638E"/>
    <w:rsid w:val="12F7068C"/>
    <w:rsid w:val="13A508C1"/>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A95057"/>
    <w:rsid w:val="20DC1AB9"/>
    <w:rsid w:val="20DD6197"/>
    <w:rsid w:val="212631E0"/>
    <w:rsid w:val="21A53757"/>
    <w:rsid w:val="221236C6"/>
    <w:rsid w:val="22D7662C"/>
    <w:rsid w:val="23326B7F"/>
    <w:rsid w:val="23531352"/>
    <w:rsid w:val="236B0C61"/>
    <w:rsid w:val="2380045B"/>
    <w:rsid w:val="23BC04D2"/>
    <w:rsid w:val="23EF1892"/>
    <w:rsid w:val="2483647E"/>
    <w:rsid w:val="24A32D55"/>
    <w:rsid w:val="25292727"/>
    <w:rsid w:val="252E5CA9"/>
    <w:rsid w:val="2547012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0A6FB1"/>
    <w:rsid w:val="2BB94DBF"/>
    <w:rsid w:val="2C536736"/>
    <w:rsid w:val="2C6F314E"/>
    <w:rsid w:val="2CC206BE"/>
    <w:rsid w:val="2D1136DF"/>
    <w:rsid w:val="2D20606D"/>
    <w:rsid w:val="2DB476A8"/>
    <w:rsid w:val="2DB87198"/>
    <w:rsid w:val="2DB93C54"/>
    <w:rsid w:val="2E3D144C"/>
    <w:rsid w:val="2E891204"/>
    <w:rsid w:val="2EEB0EA8"/>
    <w:rsid w:val="2F3F0A28"/>
    <w:rsid w:val="2FBF7029"/>
    <w:rsid w:val="2FD0187F"/>
    <w:rsid w:val="2FD27414"/>
    <w:rsid w:val="2FFE4BB0"/>
    <w:rsid w:val="300E7B60"/>
    <w:rsid w:val="300F6E18"/>
    <w:rsid w:val="30862F5F"/>
    <w:rsid w:val="30FC739C"/>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0D302B"/>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0F0BE2"/>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1C5E07"/>
    <w:rsid w:val="452F5B3A"/>
    <w:rsid w:val="454E7FD2"/>
    <w:rsid w:val="46061BDC"/>
    <w:rsid w:val="461404F8"/>
    <w:rsid w:val="46413018"/>
    <w:rsid w:val="464B7E04"/>
    <w:rsid w:val="46601D2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F1382"/>
    <w:rsid w:val="4A0122E8"/>
    <w:rsid w:val="4A0A26D2"/>
    <w:rsid w:val="4A2019A5"/>
    <w:rsid w:val="4A241A0B"/>
    <w:rsid w:val="4A7B2875"/>
    <w:rsid w:val="4A934476"/>
    <w:rsid w:val="4AAA220A"/>
    <w:rsid w:val="4AE12E67"/>
    <w:rsid w:val="4B4C0111"/>
    <w:rsid w:val="4B8553A9"/>
    <w:rsid w:val="4BDB3730"/>
    <w:rsid w:val="4C200F7A"/>
    <w:rsid w:val="4C4102AA"/>
    <w:rsid w:val="4CEE3180"/>
    <w:rsid w:val="4D0F4AF6"/>
    <w:rsid w:val="4DF94F37"/>
    <w:rsid w:val="4E0A1DD5"/>
    <w:rsid w:val="4E3160E5"/>
    <w:rsid w:val="4E4D37AF"/>
    <w:rsid w:val="4E8C6496"/>
    <w:rsid w:val="4EC05A55"/>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2172AD"/>
    <w:rsid w:val="57540E7D"/>
    <w:rsid w:val="577B4878"/>
    <w:rsid w:val="57926973"/>
    <w:rsid w:val="58175352"/>
    <w:rsid w:val="581F2200"/>
    <w:rsid w:val="583059FA"/>
    <w:rsid w:val="584A0929"/>
    <w:rsid w:val="58CD2491"/>
    <w:rsid w:val="591B41B2"/>
    <w:rsid w:val="59254A26"/>
    <w:rsid w:val="59311277"/>
    <w:rsid w:val="59326325"/>
    <w:rsid w:val="595C505B"/>
    <w:rsid w:val="595E55C3"/>
    <w:rsid w:val="596E7E20"/>
    <w:rsid w:val="5A60780B"/>
    <w:rsid w:val="5AB34579"/>
    <w:rsid w:val="5AD07020"/>
    <w:rsid w:val="5AFC6609"/>
    <w:rsid w:val="5B113480"/>
    <w:rsid w:val="5B413A7A"/>
    <w:rsid w:val="5BD456CE"/>
    <w:rsid w:val="5C0D1F49"/>
    <w:rsid w:val="5CBB0CE2"/>
    <w:rsid w:val="5CC17177"/>
    <w:rsid w:val="5CF306BC"/>
    <w:rsid w:val="5D3D64C3"/>
    <w:rsid w:val="5D3F3D64"/>
    <w:rsid w:val="5D833043"/>
    <w:rsid w:val="5DD92690"/>
    <w:rsid w:val="5DDB1CFD"/>
    <w:rsid w:val="5E7E6D93"/>
    <w:rsid w:val="5ED44800"/>
    <w:rsid w:val="5F350BDE"/>
    <w:rsid w:val="5F61632C"/>
    <w:rsid w:val="5FA17648"/>
    <w:rsid w:val="5FE705CB"/>
    <w:rsid w:val="603D5080"/>
    <w:rsid w:val="608E59B3"/>
    <w:rsid w:val="60D0261B"/>
    <w:rsid w:val="618E3791"/>
    <w:rsid w:val="61947DCA"/>
    <w:rsid w:val="61A46A97"/>
    <w:rsid w:val="61D1382F"/>
    <w:rsid w:val="61F114A2"/>
    <w:rsid w:val="62512BB4"/>
    <w:rsid w:val="625D7D1A"/>
    <w:rsid w:val="62DD7D21"/>
    <w:rsid w:val="636E3AC4"/>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01750D"/>
    <w:rsid w:val="6D4B2604"/>
    <w:rsid w:val="6D8030E4"/>
    <w:rsid w:val="6E0E35C4"/>
    <w:rsid w:val="6E0F7A08"/>
    <w:rsid w:val="6E3947F5"/>
    <w:rsid w:val="6E9C74ED"/>
    <w:rsid w:val="6EF72976"/>
    <w:rsid w:val="6F795A80"/>
    <w:rsid w:val="6F7C1D2E"/>
    <w:rsid w:val="6F8E0407"/>
    <w:rsid w:val="6FDD069F"/>
    <w:rsid w:val="702B4D16"/>
    <w:rsid w:val="708C3591"/>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91D55"/>
    <w:rsid w:val="748D790E"/>
    <w:rsid w:val="749820CC"/>
    <w:rsid w:val="74CE04EC"/>
    <w:rsid w:val="74E76DCD"/>
    <w:rsid w:val="751D7C0A"/>
    <w:rsid w:val="75722D56"/>
    <w:rsid w:val="75DB5477"/>
    <w:rsid w:val="75FC6AC3"/>
    <w:rsid w:val="760F4A49"/>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CC3054"/>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customStyle="1" w:styleId="15">
    <w:name w:val="无间隔1"/>
    <w:qFormat/>
    <w:uiPriority w:val="1"/>
    <w:pPr>
      <w:widowControl w:val="0"/>
      <w:spacing w:line="660" w:lineRule="exact"/>
      <w:ind w:firstLine="560" w:firstLineChars="200"/>
    </w:pPr>
    <w:rPr>
      <w:rFonts w:ascii="仿宋_GB2312" w:hAnsi="仿宋_GB2312" w:eastAsia="仿宋_GB2312" w:cs="Times New Roman"/>
      <w:kern w:val="10"/>
      <w:sz w:val="32"/>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6518</Words>
  <Characters>7268</Characters>
  <Lines>54</Lines>
  <Paragraphs>15</Paragraphs>
  <TotalTime>3</TotalTime>
  <ScaleCrop>false</ScaleCrop>
  <LinksUpToDate>false</LinksUpToDate>
  <CharactersWithSpaces>7279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2024-08-13T09:41:00Z</dcterms:created>
  <dc:creator>GXR</dc:creator>
  <cp:lastModifiedBy>Administrator</cp:lastModifiedBy>
  <dcterms:modified xsi:type="dcterms:W3CDTF">2024-08-30T10:56:45Z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D624B15633CD43C8BF9435464A96BF70</vt:lpwstr>
  </property>
</Properties>
</file>