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新疆维吾尔自治区节能监察总队</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 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 一、主要职能</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hint="eastAsia" w:ascii="仿宋_GB2312" w:eastAsia="仿宋_GB2312"/>
          <w:b w:val="0"/>
          <w:sz w:val="32"/>
          <w:szCs w:val="32"/>
        </w:rPr>
        <w:t>承担工业和信息化领域碳达峰碳中和、节能降碳、绿色发展等相关法规、政策、规划及管理制度的分析研究、评估和宣传交流工作；推广工业和信息化领域节能环保新产品、新装备、新技术的应用</w:t>
      </w:r>
      <w:bookmarkStart w:id="0" w:name="_GoBack"/>
      <w:bookmarkEnd w:id="0"/>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新疆维吾尔自治区节能监察总队2024年度，实有人数2人，其中：在职人员2人，减少9人；离休人员0人，较上年无变化；退休人员0人，减少8人。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新疆维吾尔自治区节能监察总队无下属预算单位，下设5个科室，分别是：办公室、法制监督室、监察一室、监察二室、监察三室。</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2024年度收入总计367.94万元，其中：本年收入合计328.24万元，使用非财政拨款结余（含专用结余）0.00万元，年初结转和结余39.70万元。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2024年度支出总计367.94万元，其中：本年支出合计318.71万元，结余分配0.00万元，年末结转和结余49.23万元。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收入支出总体与上年相比，增加23.01万元，增长6.67%，主要原因是：增加自治区工业节能减排专项资金预算收入。</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本年收入328.24万元，其中：财政拨款收入280.29万元,占85.39%；上级补助收入0.00万元,占0.00%；事业收入0.00万元，占0.00%；经营收入0.00万元,占0.00%；附属单位上缴收入0.00万元，占0.00%；其他收入47.95万元，占14.61%。</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本年支出318.71万元，其中：基本支出210.29万元，占65.98%；项目支出108.43万元，占34.02%；上缴上级支出0.00万元，占0.00%；经营支出0.00万元，占0.00%；对附属单位补助支出0.00万元，占0.00%。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2024年度财政拨款收入总计280.29万元，其中：年初财政拨款结转和结余0.00万元，本年财政拨款收入280.29万元。财政拨款支出总计280.29万元，其中：年末财政拨款结转和结余0.00万元，本年财政拨款支出280.29万元。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18.56万元，增长7.09%，主要原因是：增加自治区工业节能减排专项资金预算收入。与年初预算相比，年初预算数292.60万元，决算数280.29万元，预决算差异率-4.21%，主要原因是：2024年我单位性质由参公转为事业，部分在职人员隶属关系划转至工信厅业务处室，在职人员减少9人，</w:t>
      </w:r>
      <w:r>
        <w:rPr>
          <w:rFonts w:hint="eastAsia" w:ascii="仿宋_GB2312" w:eastAsia="仿宋_GB2312"/>
          <w:b w:val="0"/>
          <w:sz w:val="32"/>
          <w:szCs w:val="32"/>
          <w:lang w:val="en-US" w:eastAsia="zh-CN"/>
        </w:rPr>
        <w:t>因此</w:t>
      </w:r>
      <w:r>
        <w:rPr>
          <w:rFonts w:ascii="仿宋_GB2312" w:eastAsia="仿宋_GB2312"/>
          <w:b w:val="0"/>
          <w:sz w:val="32"/>
          <w:szCs w:val="32"/>
        </w:rPr>
        <w:t>产生预决算差异率。</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280.29万元，占本年支出合计的87.95%。与上年相比，增加18.56万元，增长7.09%，主要原因是：增加自治区工业节能减排专项资金预算收入。与年初预算相比，年初预算数292.60万元，决算数280.29万元，预决算差异率-4.21%，主要原因是：2024年我单位性质由参公转为事业，部分在职人员隶属关系划转至工信厅业务处室，在职人员减少9人，</w:t>
      </w:r>
      <w:r>
        <w:rPr>
          <w:rFonts w:hint="eastAsia" w:ascii="仿宋_GB2312" w:eastAsia="仿宋_GB2312"/>
          <w:b w:val="0"/>
          <w:sz w:val="32"/>
          <w:szCs w:val="32"/>
          <w:lang w:val="en-US" w:eastAsia="zh-CN"/>
        </w:rPr>
        <w:t>因此</w:t>
      </w:r>
      <w:r>
        <w:rPr>
          <w:rFonts w:ascii="仿宋_GB2312" w:eastAsia="仿宋_GB2312"/>
          <w:b w:val="0"/>
          <w:sz w:val="32"/>
          <w:szCs w:val="32"/>
        </w:rPr>
        <w:t>产生预决算差异率​。</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社会保障和就业支出（类）70.59万元，占25.18%。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卫生健康支出（类）13.08万元，占4.67%。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节能环保支出（类）186.03万元，占66.37%。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住房保障支出（类）10.57万元，占3.77%。</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1、社会保障和就业支出（类）行政事业单位养老支出（款）行政单位离退休（项）：支出决算数为18.05万元，比上年决算增加2.03万元，增长12.67%，主要原因是：退休人员待遇调增，</w:t>
      </w:r>
      <w:r>
        <w:rPr>
          <w:rFonts w:hint="eastAsia" w:ascii="仿宋_GB2312" w:eastAsia="仿宋_GB2312"/>
          <w:b w:val="0"/>
          <w:sz w:val="32"/>
          <w:szCs w:val="32"/>
          <w:lang w:val="en-US" w:eastAsia="zh-CN"/>
        </w:rPr>
        <w:t>相应</w:t>
      </w:r>
      <w:r>
        <w:rPr>
          <w:rFonts w:ascii="仿宋_GB2312" w:eastAsia="仿宋_GB2312"/>
          <w:b w:val="0"/>
          <w:sz w:val="32"/>
          <w:szCs w:val="32"/>
        </w:rPr>
        <w:t>行政单位离退休缴费支出增加。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社会保障和就业支出（类）行政事业单位养老支出（款）机关事业单位基本养老保险缴费支出（项）：支出决算数为13.27万元，比上年决算减少3.97万元，下降23.03%，主要原因是：2024年我单位性质由参公转为事业，部分在职人员隶属关系划转至工信厅业务处室，在职人员减少9人，</w:t>
      </w:r>
      <w:r>
        <w:rPr>
          <w:rFonts w:hint="eastAsia" w:ascii="仿宋_GB2312" w:eastAsia="仿宋_GB2312"/>
          <w:b w:val="0"/>
          <w:sz w:val="32"/>
          <w:szCs w:val="32"/>
          <w:lang w:val="en-US" w:eastAsia="zh-CN"/>
        </w:rPr>
        <w:t>因此</w:t>
      </w:r>
      <w:r>
        <w:rPr>
          <w:rFonts w:ascii="仿宋_GB2312" w:eastAsia="仿宋_GB2312"/>
          <w:b w:val="0"/>
          <w:sz w:val="32"/>
          <w:szCs w:val="32"/>
        </w:rPr>
        <w:t>机关事业单位基本养老保险缴费支出减少。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3、社会保障和就业支出（类）行政事业单位养老支出（款）机关事业单位职业年金缴费支出（项）：支出决算数为13.51万元，比上年决算增加13.51万元，增长100.00%，主要原因是：2024年我单位在职转退休</w:t>
      </w:r>
      <w:r>
        <w:rPr>
          <w:rFonts w:hint="eastAsia" w:ascii="仿宋_GB2312" w:eastAsia="仿宋_GB2312"/>
          <w:b w:val="0"/>
          <w:sz w:val="32"/>
          <w:szCs w:val="32"/>
          <w:lang w:val="en-US" w:eastAsia="zh-CN"/>
        </w:rPr>
        <w:t>1</w:t>
      </w:r>
      <w:r>
        <w:rPr>
          <w:rFonts w:ascii="仿宋_GB2312" w:eastAsia="仿宋_GB2312"/>
          <w:b w:val="0"/>
          <w:sz w:val="32"/>
          <w:szCs w:val="32"/>
        </w:rPr>
        <w:t>人，</w:t>
      </w:r>
      <w:r>
        <w:rPr>
          <w:rFonts w:hint="eastAsia" w:ascii="仿宋_GB2312" w:eastAsia="仿宋_GB2312"/>
          <w:b w:val="0"/>
          <w:sz w:val="32"/>
          <w:szCs w:val="32"/>
          <w:lang w:val="en-US" w:eastAsia="zh-CN"/>
        </w:rPr>
        <w:t>因此</w:t>
      </w:r>
      <w:r>
        <w:rPr>
          <w:rFonts w:ascii="仿宋_GB2312" w:eastAsia="仿宋_GB2312"/>
          <w:b w:val="0"/>
          <w:sz w:val="32"/>
          <w:szCs w:val="32"/>
        </w:rPr>
        <w:t>机关事业单位职业年金缴费支出增加。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4、社会保障和就业支出（类）抚恤（款）死亡抚恤（项）：支出决算数为25.76万元，比上年决算增加25.76万元，增长100.00%，主要原因是：2024年我单位在职人员离世</w:t>
      </w:r>
      <w:r>
        <w:rPr>
          <w:rFonts w:hint="eastAsia" w:ascii="仿宋_GB2312" w:eastAsia="仿宋_GB2312"/>
          <w:b w:val="0"/>
          <w:sz w:val="32"/>
          <w:szCs w:val="32"/>
          <w:lang w:val="en-US" w:eastAsia="zh-CN"/>
        </w:rPr>
        <w:t>1</w:t>
      </w:r>
      <w:r>
        <w:rPr>
          <w:rFonts w:ascii="仿宋_GB2312" w:eastAsia="仿宋_GB2312"/>
          <w:b w:val="0"/>
          <w:sz w:val="32"/>
          <w:szCs w:val="32"/>
        </w:rPr>
        <w:t>人，</w:t>
      </w:r>
      <w:r>
        <w:rPr>
          <w:rFonts w:hint="eastAsia" w:ascii="仿宋_GB2312" w:eastAsia="仿宋_GB2312"/>
          <w:b w:val="0"/>
          <w:sz w:val="32"/>
          <w:szCs w:val="32"/>
          <w:lang w:val="en-US" w:eastAsia="zh-CN"/>
        </w:rPr>
        <w:t>因此</w:t>
      </w:r>
      <w:r>
        <w:rPr>
          <w:rFonts w:ascii="仿宋_GB2312" w:eastAsia="仿宋_GB2312"/>
          <w:b w:val="0"/>
          <w:sz w:val="32"/>
          <w:szCs w:val="32"/>
        </w:rPr>
        <w:t>死亡抚恤缴费支出增加。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卫生健康支出（类）行政事业单位医疗（款）行政单位医疗（项）：支出决算数为7.10万元，比上年决算减少2.30万元，下降24.47%，主要原因是：2024年我单位性质由参公转为事业，部分在职人员隶属关系划转至工信厅业务处室，在职人员减少9人，</w:t>
      </w:r>
      <w:r>
        <w:rPr>
          <w:rFonts w:hint="eastAsia" w:ascii="仿宋_GB2312" w:eastAsia="仿宋_GB2312"/>
          <w:b w:val="0"/>
          <w:sz w:val="32"/>
          <w:szCs w:val="32"/>
          <w:lang w:val="en-US" w:eastAsia="zh-CN"/>
        </w:rPr>
        <w:t>相应</w:t>
      </w:r>
      <w:r>
        <w:rPr>
          <w:rFonts w:ascii="仿宋_GB2312" w:eastAsia="仿宋_GB2312"/>
          <w:b w:val="0"/>
          <w:sz w:val="32"/>
          <w:szCs w:val="32"/>
        </w:rPr>
        <w:t>行政单位医疗缴费支出减少。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卫生健康支出（类）行政事业单位医疗（款）公务员医疗补助（项）：支出决算数为5.99万元，比上年决算减少1.93万元，下降24.37%，主要原因是：2024年我单位性质由参公转为事业，部分在职人员隶属关系划转至工信厅业务处室，在职人员减少9人，</w:t>
      </w:r>
      <w:r>
        <w:rPr>
          <w:rFonts w:hint="eastAsia" w:ascii="仿宋_GB2312" w:eastAsia="仿宋_GB2312"/>
          <w:b w:val="0"/>
          <w:sz w:val="32"/>
          <w:szCs w:val="32"/>
          <w:lang w:val="en-US" w:eastAsia="zh-CN"/>
        </w:rPr>
        <w:t>相应</w:t>
      </w:r>
      <w:r>
        <w:rPr>
          <w:rFonts w:ascii="仿宋_GB2312" w:eastAsia="仿宋_GB2312"/>
          <w:b w:val="0"/>
          <w:sz w:val="32"/>
          <w:szCs w:val="32"/>
        </w:rPr>
        <w:t>公务员医疗补助缴费支出减少。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节能环保支出（类）环境保护管理事务（款）行政运行（项）：支出决算数为116.03万元，比上年决算减少31.54万元，下降21.37%，主要原因是：2024年我单位性质由参公转为事业，部分在职人员隶属关系划转至工信厅业务处室，在职人员减少9人，</w:t>
      </w:r>
      <w:r>
        <w:rPr>
          <w:rFonts w:hint="eastAsia" w:ascii="仿宋_GB2312" w:eastAsia="仿宋_GB2312"/>
          <w:b w:val="0"/>
          <w:sz w:val="32"/>
          <w:szCs w:val="32"/>
          <w:lang w:val="en-US" w:eastAsia="zh-CN"/>
        </w:rPr>
        <w:t>因此</w:t>
      </w:r>
      <w:r>
        <w:rPr>
          <w:rFonts w:ascii="仿宋_GB2312" w:eastAsia="仿宋_GB2312"/>
          <w:b w:val="0"/>
          <w:sz w:val="32"/>
          <w:szCs w:val="32"/>
        </w:rPr>
        <w:t>人员经费缴费支出减少。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8、节能环保支出（类）能源节约利用（款）能源节约利用（项）：支出决算数为70.00万元，比上年决算增加20.00万元，增长40.00%，主要原因是：增加自治区工业节能减排专项资金预算收入。</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9、住房保障支出（类）住房改革支出（款）住房公积金（项）：支出决算数为10.57万元，比上年决算减少3.01万元，下降22.16%，主要原因是：2024年我单位性质由参公转为事业，部分在职人员隶属关系划转至工信厅业务处室，在职人员减少9人，</w:t>
      </w:r>
      <w:r>
        <w:rPr>
          <w:rFonts w:hint="eastAsia" w:ascii="仿宋_GB2312" w:eastAsia="仿宋_GB2312"/>
          <w:b w:val="0"/>
          <w:sz w:val="32"/>
          <w:szCs w:val="32"/>
          <w:lang w:val="en-US" w:eastAsia="zh-CN"/>
        </w:rPr>
        <w:t>因此</w:t>
      </w:r>
      <w:r>
        <w:rPr>
          <w:rFonts w:ascii="仿宋_GB2312" w:eastAsia="仿宋_GB2312"/>
          <w:b w:val="0"/>
          <w:sz w:val="32"/>
          <w:szCs w:val="32"/>
        </w:rPr>
        <w:t>住房公积金缴费支出减少。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210.29万元，其中：人员经费197.74万元，包括：基本工资、津贴补贴、奖金、机关事业单位基本养老保险缴费、职业年金缴费、职工基本医疗保险缴费、公务员医疗补助缴费、其他社会保障缴费、住房公积金、其他工资福利支出、退休费、抚恤金、奖励金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公用经费12.54万元，包括：办公费、邮电费、差旅费、工会经费、福利费、公务用车运行维护费和其他商品和服务支出。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1.60万元，与上年相比无变化，主要原因是：严格执行中央八项规定及实施细则，做到“三公”经费只减不增，无预算不支出。其中：因公出国（境）费支出0.00万元,占0.00%，与上年相比无变化，主要原因是：我单位无因公出国（境）费；公务用车购置及运行维护费支出1.60万元，占100.00%，与上年相比无变化，主要原因是：严格执行公务车用管理制度，合理控制公务用车运行费用；公务接待费支出0.00万元，占0.00%，与上年相比无变化，主要原因是：我单位无公务接待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因公出国（境）费支出0.00万元，开支内容包括我单位无因公出国（境）费。单位全年安排的因公出国（境）团组0个，因公出国（境）0人次。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1.60万元，其中：公务用车购置费0.00万元，公务用车运行维护费1.60万元。公务用车运行维护费开支内容包括车辆保险、停车过路费、车辆加油、车辆维修等费用。公务用车购置数0辆，公务用车保有量2辆。国有资产占用情况中固定资产车辆2辆，与公务用车保有量差异原因是：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公务接待费0.00万元，开支内容包括我单位无公务接待费。单位全年安排的国内公务接待0批次，0人次。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1.60万元，决算数1.60万元，预决算差异率0.00%，主要原因是：严格执行中央八项规定及实施细则，做到“三公”经费只减不增，无预算不支出。其中：因公出国（境）费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1.60万元，决算数1.60万元，预决算差异率0.00%，主要原因是：严格执行公务用车管理制度，合理控制公务用车运行费用；公务接待费全年预算数0.00万元，决算数0.00万元，预决算差异率0.00%，主要原因是：我单位无公务接待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2024年度新疆维吾尔自治区节能监察总队单位（行政单位和参照公务员法管理事业单位）机关运行经费支出12.54万元，比上年增加1.76万元，增长16.33%，主要原因是：2024年预算在职人员新增</w:t>
      </w:r>
      <w:r>
        <w:rPr>
          <w:rFonts w:hint="eastAsia" w:ascii="仿宋_GB2312" w:eastAsia="仿宋_GB2312"/>
          <w:b w:val="0"/>
          <w:sz w:val="32"/>
          <w:szCs w:val="32"/>
          <w:lang w:val="en-US" w:eastAsia="zh-CN"/>
        </w:rPr>
        <w:t>1</w:t>
      </w:r>
      <w:r>
        <w:rPr>
          <w:rFonts w:ascii="仿宋_GB2312" w:eastAsia="仿宋_GB2312"/>
          <w:b w:val="0"/>
          <w:sz w:val="32"/>
          <w:szCs w:val="32"/>
        </w:rPr>
        <w:t>人</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相应</w:t>
      </w:r>
      <w:r>
        <w:rPr>
          <w:rFonts w:ascii="仿宋_GB2312" w:eastAsia="仿宋_GB2312"/>
          <w:b w:val="0"/>
          <w:sz w:val="32"/>
          <w:szCs w:val="32"/>
        </w:rPr>
        <w:t>机关运行经费增加。</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2024年度政府采购支出总额20.52万元，其中：政府采购货物支出1.46万元、政府采购工程支出0.00万元、政府采购服务支出19.06万元。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授予中小企业合同金额18.76万元，占政府采购支出总额的91.42%，其中：授予小微企业合同金额18.76万元，占政府采购支出总额的91.42%。</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2辆，价值57.97万元，其中：副部（省）级及以上领导用车0辆、主要负责人用车0辆、机要通信用车0辆、应急保障用车0辆、执法执勤用车0辆、特种专业技术用车0辆、离退休干部服务用车0辆、其他用车2辆，其他用车主要是：一般公务用车及其他车辆万利特面包车，万利特面包车已不能正常使用，待报废;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ind w:firstLine="640" w:firstLineChars="200"/>
        <w:rPr>
          <w:rFonts w:ascii="仿宋_GB2312" w:eastAsia="仿宋_GB2312"/>
          <w:sz w:val="32"/>
          <w:szCs w:val="32"/>
        </w:rPr>
      </w:pPr>
      <w:r>
        <w:rPr>
          <w:rFonts w:ascii="仿宋_GB2312" w:eastAsia="仿宋_GB2312"/>
          <w:b w:val="0"/>
          <w:sz w:val="32"/>
          <w:szCs w:val="32"/>
          <w:highlight w:val="yellow"/>
        </w:rPr>
        <w:t>根据预算绩效管理要求，本单位2024年度预算绩效评价项目3个，全年预算数49.00万元，全年执行数38.</w:t>
      </w:r>
      <w:r>
        <w:rPr>
          <w:rFonts w:hint="eastAsia" w:ascii="仿宋_GB2312" w:eastAsia="仿宋_GB2312"/>
          <w:b w:val="0"/>
          <w:sz w:val="32"/>
          <w:szCs w:val="32"/>
          <w:highlight w:val="yellow"/>
          <w:lang w:val="en-US" w:eastAsia="zh-CN"/>
        </w:rPr>
        <w:t>10</w:t>
      </w:r>
      <w:r>
        <w:rPr>
          <w:rFonts w:ascii="仿宋_GB2312" w:eastAsia="仿宋_GB2312"/>
          <w:b w:val="0"/>
          <w:sz w:val="32"/>
          <w:szCs w:val="32"/>
          <w:highlight w:val="yellow"/>
        </w:rPr>
        <w:t>万元</w:t>
      </w:r>
      <w:r>
        <w:rPr>
          <w:rFonts w:ascii="仿宋_GB2312" w:eastAsia="仿宋_GB2312"/>
          <w:b w:val="0"/>
          <w:sz w:val="32"/>
          <w:szCs w:val="32"/>
        </w:rPr>
        <w:t>。预算绩效管理取得的成效：一是严格执行《工信厅全面预算绩效管理办法》，日常对项目资金加快预算执行，确保绩效监控和绩效评价执行率，规范各项预算执行活动,确保预算执行的准确性和规范性,发挥财政资金的最大效用,取得了良好的绩效成果；二是各项工作实施及资金使用情况均在绩效目标设定时限完成，在项目经费的使用上，在保证各项任务顺利完成的同时，严格落实厉行节约的原则；三是突出做好项目保障工作，确保项目质量和效益，助力经济高质量发展，维护社会稳定和长治久安。发现的问题及原因：一是预算绩效观念不强，工作质量待提高，部分科室对预算绩效管理工作重视高度程度还不足，工作缺乏主动性；对预算绩效管理工作对意义、框架、思路、操作规程认识不深入，申报绩效目标不够明确，设计的评价指标体系不科学、不严谨；二是评价指标体系不完善，实际操作有难度，绩效指标具体设置没有统一的明确规定，没有针对性较强的个性评价指标体系可供预算部门及单位借鉴。下一步改进措施：一是完善预算绩效管理基础工作，进一步完善预算绩效管理的各项制度，不断提升预算绩效管理的规范性；二是推进预算绩效管理专业化，引入第三方评价机制，形成内外部评价相互补充，形成预算单位和受托第三方评价机构各司其职、密切配合的机制，提高评价结果的权威性和公正性。三是组织业务培训，提高业务水平和能力，培养一批专业人才队伍。</w:t>
      </w:r>
      <w:r>
        <w:rPr>
          <w:rFonts w:ascii="仿宋_GB2312" w:eastAsia="仿宋_GB2312"/>
          <w:sz w:val="32"/>
          <w:szCs w:val="32"/>
          <w:highlight w:val="yellow"/>
        </w:rPr>
        <w:t>具体附项目支出绩效自评表。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862C6"/>
    <w:rsid w:val="0B725800"/>
    <w:rsid w:val="0D096781"/>
    <w:rsid w:val="0EDE3334"/>
    <w:rsid w:val="11F36359"/>
    <w:rsid w:val="14D604B1"/>
    <w:rsid w:val="14DC18AA"/>
    <w:rsid w:val="168F548F"/>
    <w:rsid w:val="16CA0210"/>
    <w:rsid w:val="1BC76FAE"/>
    <w:rsid w:val="1D7752C9"/>
    <w:rsid w:val="1DA1328C"/>
    <w:rsid w:val="202554AD"/>
    <w:rsid w:val="208F5FD7"/>
    <w:rsid w:val="269500FC"/>
    <w:rsid w:val="29652B83"/>
    <w:rsid w:val="2A272C6F"/>
    <w:rsid w:val="2E652D5C"/>
    <w:rsid w:val="321729E4"/>
    <w:rsid w:val="33352C6E"/>
    <w:rsid w:val="355F5976"/>
    <w:rsid w:val="37891FA5"/>
    <w:rsid w:val="390A48FE"/>
    <w:rsid w:val="3D3D2313"/>
    <w:rsid w:val="3DA0613D"/>
    <w:rsid w:val="3F7D501A"/>
    <w:rsid w:val="43D61A11"/>
    <w:rsid w:val="44800155"/>
    <w:rsid w:val="457663C1"/>
    <w:rsid w:val="4D3B77A5"/>
    <w:rsid w:val="4F404837"/>
    <w:rsid w:val="5111574B"/>
    <w:rsid w:val="58A73514"/>
    <w:rsid w:val="5BD71202"/>
    <w:rsid w:val="5C51360F"/>
    <w:rsid w:val="5C7B0404"/>
    <w:rsid w:val="67717A02"/>
    <w:rsid w:val="68FB0B2C"/>
    <w:rsid w:val="69DC4FD7"/>
    <w:rsid w:val="6AE11115"/>
    <w:rsid w:val="6F0315D6"/>
    <w:rsid w:val="70562057"/>
    <w:rsid w:val="70F74524"/>
    <w:rsid w:val="75F87CDC"/>
    <w:rsid w:val="764E2C90"/>
    <w:rsid w:val="76A668D5"/>
    <w:rsid w:val="7776329C"/>
    <w:rsid w:val="7CA7445E"/>
    <w:rsid w:val="7F320D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3">
    <w:name w:val="Default Paragraph Font"/>
    <w:semiHidden/>
    <w:unhideWhenUsed/>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header"/>
    <w:basedOn w:val="1"/>
    <w:link w:val="16"/>
    <w:unhideWhenUsed/>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2">
    <w:name w:val="Table Grid"/>
    <w:basedOn w:val="11"/>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2">
    <w:name w:val="Title Char"/>
    <w:basedOn w:val="13"/>
    <w:link w:val="10"/>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14</Pages>
  <TotalTime>17</TotalTime>
  <ScaleCrop>false</ScaleCrop>
  <LinksUpToDate>false</LinksUpToDate>
  <Application>WPS Office_11.8.2.8506_F1E327BC-269C-435d-A152-05C5408002CA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2025-08-22T09:36:00Z</dcterms:created>
  <dc:creator>Administrator</dc:creator>
  <cp:lastModifiedBy>Administrator</cp:lastModifiedBy>
  <dcterms:modified xsi:type="dcterms:W3CDTF">2025-08-26T08:16:41Z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DFC1A917F7314B9E9D7E126FEDCDE951_13</vt:lpwstr>
  </property>
</Properties>
</file>