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全国工业节能监察业务培训项目</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6"/>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项目名称：全国工业节能监察业务培训项目</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新疆</w:t>
      </w:r>
      <w:r>
        <w:rPr>
          <w:rFonts w:hint="eastAsia" w:ascii="Times New Roman" w:hAnsi="Times New Roman" w:eastAsia="仿宋_GB2312" w:cs="Times New Roman"/>
          <w:kern w:val="0"/>
          <w:sz w:val="36"/>
          <w:szCs w:val="36"/>
          <w:lang w:val="en-US" w:eastAsia="zh-CN"/>
        </w:rPr>
        <w:t>维吾尔自治区节能监察总队</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徐明</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w:t>
      </w:r>
      <w:r>
        <w:rPr>
          <w:rFonts w:hint="default" w:ascii="Times New Roman" w:hAnsi="Times New Roman" w:eastAsia="仿宋_GB2312" w:cs="Times New Roman"/>
          <w:kern w:val="0"/>
          <w:sz w:val="36"/>
          <w:szCs w:val="36"/>
        </w:rPr>
        <w:t>0日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20"/>
          <w:rFonts w:hint="default" w:ascii="Times New Roman" w:hAnsi="Times New Roman" w:eastAsia="黑体" w:cs="Times New Roman"/>
          <w:b w:val="0"/>
          <w:spacing w:val="-4"/>
          <w:sz w:val="32"/>
          <w:szCs w:val="32"/>
        </w:rPr>
      </w:pPr>
    </w:p>
    <w:p>
      <w:pPr>
        <w:spacing w:line="540" w:lineRule="exact"/>
        <w:ind w:firstLine="640"/>
        <w:rPr>
          <w:rStyle w:val="20"/>
          <w:rFonts w:hint="default" w:ascii="Times New Roman" w:hAnsi="Times New Roman" w:eastAsia="黑体" w:cs="Times New Roman"/>
          <w:b w:val="0"/>
          <w:spacing w:val="-4"/>
          <w:sz w:val="32"/>
          <w:szCs w:val="32"/>
        </w:rPr>
      </w:pPr>
    </w:p>
    <w:p>
      <w:pPr>
        <w:spacing w:line="540" w:lineRule="exact"/>
        <w:rPr>
          <w:rStyle w:val="20"/>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pStyle w:val="16"/>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根据《关于组织开展全国工业节能监察业务培训的通知》、自治区节能监察总队与工信部节能与综合利用司签订《工业节能体制机制建设专项经费项目补充任务书》《2024年工业节能监察业务培训项目补充协议》《2024年工业节能体制机制建设专项经费任务委托书》，保障节能监察（服务）机构顺利开展业务培训，进一步提升节能监察人员综合素质和履行能力。</w:t>
      </w:r>
    </w:p>
    <w:p>
      <w:pPr>
        <w:pStyle w:val="16"/>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spacing w:line="560" w:lineRule="exact"/>
        <w:ind w:firstLine="64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default" w:ascii="Times New Roman" w:hAnsi="Times New Roman" w:eastAsia="仿宋_GB2312" w:cs="Times New Roman"/>
          <w:b/>
          <w:bCs/>
          <w:sz w:val="32"/>
          <w:szCs w:val="32"/>
          <w:highlight w:val="none"/>
          <w:lang w:val="en-US" w:eastAsia="zh-CN"/>
        </w:rPr>
        <w:t>一是</w:t>
      </w:r>
      <w:r>
        <w:rPr>
          <w:rFonts w:hint="default" w:ascii="Times New Roman" w:hAnsi="Times New Roman" w:eastAsia="仿宋_GB2312" w:cs="Times New Roman"/>
          <w:sz w:val="32"/>
          <w:szCs w:val="32"/>
          <w:highlight w:val="none"/>
          <w:lang w:val="en-US" w:eastAsia="zh-CN"/>
        </w:rPr>
        <w:t>工业节能与绿色发展相关政策解读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b/>
          <w:bCs/>
          <w:sz w:val="32"/>
          <w:szCs w:val="32"/>
          <w:highlight w:val="none"/>
          <w:lang w:val="en-US" w:eastAsia="zh-CN"/>
        </w:rPr>
        <w:t>二是</w:t>
      </w:r>
      <w:r>
        <w:rPr>
          <w:rFonts w:hint="default" w:ascii="Times New Roman" w:hAnsi="Times New Roman" w:eastAsia="仿宋_GB2312" w:cs="Times New Roman"/>
          <w:sz w:val="32"/>
          <w:szCs w:val="32"/>
          <w:highlight w:val="none"/>
          <w:lang w:val="en-US" w:eastAsia="zh-CN"/>
        </w:rPr>
        <w:t>节能法律法规及钢铁、水泥、电解铝、数据中心等重点行业领域节能标准宣贯及监察工作要求</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b/>
          <w:bCs/>
          <w:sz w:val="32"/>
          <w:szCs w:val="32"/>
          <w:highlight w:val="none"/>
          <w:lang w:val="en-US" w:eastAsia="zh-CN"/>
        </w:rPr>
        <w:t>三是</w:t>
      </w:r>
      <w:r>
        <w:rPr>
          <w:rFonts w:hint="default" w:ascii="Times New Roman" w:hAnsi="Times New Roman" w:eastAsia="仿宋_GB2312" w:cs="Times New Roman"/>
          <w:sz w:val="32"/>
          <w:szCs w:val="32"/>
          <w:highlight w:val="none"/>
          <w:lang w:val="en-US" w:eastAsia="zh-CN"/>
        </w:rPr>
        <w:t>典型地区工业节能监察经验交流等。采取集中授课方式，对本片区工业和信息化主管部门、节能监察机构人员，举办为期两天的培训。</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本次培训是委托第三方服务机构组织实施，面向工信主管部门、节能监察机构工作人员和企业能源管理负责人进行节能知识和节能监察标准宣贯。项目目前已经完成实际设立的目标，项目在实施过程中严格按照目标设立的各阶段任务进行开展工作，通过这次培训夯实工业节能监察基础，持续提升工业节能监察队伍能力。</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其他资金。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sz w:val="32"/>
          <w:szCs w:val="32"/>
          <w:highlight w:val="none"/>
          <w:lang w:val="en-US" w:eastAsia="zh-CN"/>
        </w:rPr>
        <w:t>2024年全国工业节能监察业务培训项目的各项费用。</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培训是委托第三方服务机构组织实施，面向工信主管部门、节能监察机构工作人员和企业能源管理负责人进行节能知识和节能监察标准宣贯。培训内容包括：一是工业节能与绿色低碳发展相关政策解读，二是节能法律法规及钢铁、石化化工、数据中心等重点行业领域节能形势与节能监察工作要求，三是典型地区、重点行业工业节能监察经验交流等。通过这次培训夯实工业节能监察基础，持续提升工业节能监察队伍能力。</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widowControl/>
        <w:spacing w:line="540" w:lineRule="exact"/>
        <w:ind w:firstLine="640" w:firstLineChars="200"/>
        <w:rPr>
          <w:rFonts w:eastAsia="仿宋_GB2312"/>
          <w:sz w:val="32"/>
          <w:szCs w:val="32"/>
          <w:highlight w:val="none"/>
        </w:rPr>
      </w:pPr>
      <w:r>
        <w:rPr>
          <w:rFonts w:eastAsia="仿宋_GB2312"/>
          <w:sz w:val="32"/>
          <w:szCs w:val="32"/>
          <w:highlight w:val="none"/>
        </w:rPr>
        <w:t>（1）前期准备：</w:t>
      </w:r>
      <w:r>
        <w:rPr>
          <w:rFonts w:eastAsia="仿宋_GB2312"/>
          <w:color w:val="auto"/>
          <w:sz w:val="32"/>
          <w:szCs w:val="32"/>
          <w:highlight w:val="none"/>
        </w:rPr>
        <w:t>制定</w:t>
      </w:r>
      <w:r>
        <w:rPr>
          <w:rFonts w:hint="eastAsia" w:ascii="Times New Roman" w:hAnsi="Times New Roman" w:eastAsia="仿宋_GB2312" w:cs="Times New Roman"/>
          <w:sz w:val="32"/>
          <w:szCs w:val="32"/>
          <w:highlight w:val="none"/>
        </w:rPr>
        <w:t>全国工业节能监察业务培训</w:t>
      </w:r>
      <w:r>
        <w:rPr>
          <w:rFonts w:eastAsia="仿宋_GB2312"/>
          <w:color w:val="auto"/>
          <w:sz w:val="32"/>
          <w:szCs w:val="32"/>
          <w:highlight w:val="none"/>
        </w:rPr>
        <w:t>项目</w:t>
      </w:r>
      <w:r>
        <w:rPr>
          <w:rFonts w:hint="eastAsia" w:eastAsia="仿宋_GB2312"/>
          <w:color w:val="auto"/>
          <w:sz w:val="32"/>
          <w:szCs w:val="32"/>
          <w:highlight w:val="none"/>
          <w:lang w:val="en-US" w:eastAsia="zh-CN"/>
        </w:rPr>
        <w:t>资金使用</w:t>
      </w:r>
      <w:r>
        <w:rPr>
          <w:rFonts w:eastAsia="仿宋_GB2312"/>
          <w:color w:val="auto"/>
          <w:sz w:val="32"/>
          <w:szCs w:val="32"/>
          <w:highlight w:val="none"/>
        </w:rPr>
        <w:t>方案，经</w:t>
      </w:r>
      <w:r>
        <w:rPr>
          <w:rFonts w:hint="eastAsia" w:eastAsia="仿宋_GB2312"/>
          <w:color w:val="auto"/>
          <w:sz w:val="32"/>
          <w:szCs w:val="32"/>
          <w:highlight w:val="none"/>
          <w:lang w:val="en-US" w:eastAsia="zh-CN"/>
        </w:rPr>
        <w:t>单位</w:t>
      </w:r>
      <w:r>
        <w:rPr>
          <w:rFonts w:eastAsia="仿宋_GB2312"/>
          <w:color w:val="auto"/>
          <w:sz w:val="32"/>
          <w:szCs w:val="32"/>
          <w:highlight w:val="none"/>
        </w:rPr>
        <w:t>负责人审核通过后，有序开展后续工作。</w:t>
      </w:r>
    </w:p>
    <w:p>
      <w:pPr>
        <w:spacing w:line="600" w:lineRule="exact"/>
        <w:ind w:firstLine="640" w:firstLineChars="200"/>
        <w:rPr>
          <w:rFonts w:hint="eastAsia"/>
          <w:lang w:val="en-US" w:eastAsia="zh-CN"/>
        </w:rPr>
      </w:pPr>
      <w:r>
        <w:rPr>
          <w:rFonts w:eastAsia="仿宋_GB2312"/>
          <w:sz w:val="32"/>
          <w:szCs w:val="32"/>
          <w:highlight w:val="none"/>
        </w:rPr>
        <w:t>（2）组织实施：</w:t>
      </w:r>
      <w:r>
        <w:rPr>
          <w:rFonts w:eastAsia="仿宋_GB2312"/>
          <w:color w:val="auto"/>
          <w:sz w:val="32"/>
          <w:szCs w:val="32"/>
          <w:highlight w:val="none"/>
        </w:rPr>
        <w:t>根据制定</w:t>
      </w:r>
      <w:r>
        <w:rPr>
          <w:rFonts w:hint="eastAsia" w:eastAsia="仿宋_GB2312"/>
          <w:color w:val="auto"/>
          <w:sz w:val="32"/>
          <w:szCs w:val="32"/>
          <w:highlight w:val="none"/>
          <w:lang w:val="en-US" w:eastAsia="zh-CN"/>
        </w:rPr>
        <w:t>的</w:t>
      </w:r>
      <w:r>
        <w:rPr>
          <w:rFonts w:hint="eastAsia" w:ascii="Times New Roman" w:hAnsi="Times New Roman" w:eastAsia="仿宋_GB2312" w:cs="Times New Roman"/>
          <w:sz w:val="32"/>
          <w:szCs w:val="32"/>
          <w:highlight w:val="none"/>
        </w:rPr>
        <w:t>全国工业节能监察业务培训</w:t>
      </w:r>
      <w:r>
        <w:rPr>
          <w:rFonts w:eastAsia="仿宋_GB2312"/>
          <w:color w:val="auto"/>
          <w:sz w:val="32"/>
          <w:szCs w:val="32"/>
          <w:highlight w:val="none"/>
        </w:rPr>
        <w:t>项目</w:t>
      </w:r>
      <w:r>
        <w:rPr>
          <w:rFonts w:hint="eastAsia" w:eastAsia="仿宋_GB2312"/>
          <w:color w:val="auto"/>
          <w:sz w:val="32"/>
          <w:szCs w:val="32"/>
          <w:highlight w:val="none"/>
          <w:lang w:val="en-US" w:eastAsia="zh-CN"/>
        </w:rPr>
        <w:t>资金使用</w:t>
      </w:r>
      <w:r>
        <w:rPr>
          <w:rFonts w:eastAsia="仿宋_GB2312"/>
          <w:color w:val="auto"/>
          <w:sz w:val="32"/>
          <w:szCs w:val="32"/>
          <w:highlight w:val="none"/>
        </w:rPr>
        <w:t>方案</w:t>
      </w:r>
      <w:r>
        <w:rPr>
          <w:rFonts w:hint="eastAsia" w:eastAsia="仿宋_GB2312"/>
          <w:color w:val="auto"/>
          <w:sz w:val="32"/>
          <w:szCs w:val="32"/>
          <w:highlight w:val="none"/>
          <w:lang w:eastAsia="zh-CN"/>
        </w:rPr>
        <w:t>，</w:t>
      </w:r>
      <w:r>
        <w:rPr>
          <w:rFonts w:eastAsia="仿宋_GB2312"/>
          <w:color w:val="auto"/>
          <w:sz w:val="32"/>
          <w:szCs w:val="32"/>
          <w:highlight w:val="none"/>
        </w:rPr>
        <w:t>项目责任人按照</w:t>
      </w:r>
      <w:r>
        <w:rPr>
          <w:rFonts w:hint="eastAsia" w:eastAsia="仿宋_GB2312"/>
          <w:color w:val="auto"/>
          <w:sz w:val="32"/>
          <w:szCs w:val="32"/>
          <w:highlight w:val="none"/>
          <w:lang w:val="en-US" w:eastAsia="zh-CN"/>
        </w:rPr>
        <w:t>2</w:t>
      </w:r>
      <w:r>
        <w:rPr>
          <w:rStyle w:val="20"/>
          <w:rFonts w:hint="eastAsia" w:ascii="仿宋" w:hAnsi="仿宋" w:eastAsia="仿宋"/>
          <w:b w:val="0"/>
          <w:bCs/>
          <w:color w:val="auto"/>
          <w:spacing w:val="-4"/>
          <w:sz w:val="32"/>
          <w:szCs w:val="32"/>
          <w:highlight w:val="none"/>
          <w:shd w:val="clear" w:color="auto" w:fill="FFFFFF"/>
          <w:lang w:val="en-US" w:eastAsia="zh-CN"/>
        </w:rPr>
        <w:t>024年度工作计划，逐月逐季</w:t>
      </w:r>
      <w:r>
        <w:rPr>
          <w:rFonts w:eastAsia="仿宋_GB2312"/>
          <w:sz w:val="32"/>
          <w:szCs w:val="32"/>
          <w:highlight w:val="none"/>
        </w:rPr>
        <w:t>进行</w:t>
      </w:r>
      <w:r>
        <w:rPr>
          <w:rFonts w:hint="eastAsia" w:eastAsia="仿宋_GB2312"/>
          <w:sz w:val="32"/>
          <w:szCs w:val="32"/>
          <w:highlight w:val="none"/>
          <w:lang w:val="en-US" w:eastAsia="zh-CN"/>
        </w:rPr>
        <w:t>培训</w:t>
      </w:r>
      <w:r>
        <w:rPr>
          <w:rFonts w:eastAsia="仿宋_GB2312"/>
          <w:sz w:val="32"/>
          <w:szCs w:val="32"/>
          <w:highlight w:val="none"/>
        </w:rPr>
        <w:t>项目部署安排，提高项目质量及效率性。</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在评价指标体系的构建上，充分考虑了项目的性质、目标以及预期成果，选取了具有代表性和可衡量性的关键指标，涵盖了产出指标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成本指标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效益指标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满意度指标等多个维度，力求全方位反映项目的绩效状况。同时，对于每个指标的评价标准和数据来源均进行了明确说明，确保评价结果的客观性和可追溯性。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sz w:val="32"/>
          <w:szCs w:val="32"/>
          <w:highlight w:val="none"/>
          <w:lang w:val="en-US" w:eastAsia="zh-CN"/>
        </w:rPr>
        <w:t>产出指标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成本指标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效益指标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满意度指标</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全国工业节能监察业务培训项目及其预算执行情况。该项目由新疆维吾尔自治区节能监察总队负责实施，旨在面向工信主管部门、节能监察机构工作人员和企业能源管理负责人进行节能知识和节能监察标准宣贯。培训内容包括：一是工业节能与绿色低碳发展相关政策解读，二是节能法律法规及钢铁、石化化工、数据中心等重点行业领域节能形势与节能监察工作要求，三是典型地区、重点行业工业节能监察经验交流等。通过这次培训夯实工业节能监察基础，持续提升工业节能监察队伍能力。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9</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6"/>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6"/>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6"/>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6"/>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6"/>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pPr>
        <w:pStyle w:val="16"/>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本项目的综合评价基于对项目各方面绩效的深入分析与评估。从项目目标的达成情况来看，全国工业节能监察业务培训项目在参加培训人数、培训天数等方面表现出色，达到了预期的标准与要求。同时，项目也在</w:t>
      </w:r>
      <w:r>
        <w:rPr>
          <w:rFonts w:hint="eastAsia" w:eastAsia="仿宋_GB2312" w:cs="Times New Roman"/>
          <w:color w:val="auto"/>
          <w:sz w:val="32"/>
          <w:szCs w:val="32"/>
          <w:highlight w:val="none"/>
          <w:lang w:val="en-US" w:eastAsia="zh-CN"/>
        </w:rPr>
        <w:t>提升节能监察机构人员业务水平</w:t>
      </w:r>
      <w:r>
        <w:rPr>
          <w:rFonts w:hint="default" w:ascii="Times New Roman" w:hAnsi="Times New Roman" w:eastAsia="仿宋_GB2312" w:cs="Times New Roman"/>
          <w:sz w:val="32"/>
          <w:szCs w:val="32"/>
          <w:highlight w:val="none"/>
        </w:rPr>
        <w:t>取得了显著的成效，如培训人员出勤率、考试合格率等。</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在项目管理方面，新疆维吾尔自治区节能监察总队通过有效的规划、组织与协调，项目得以顺利实施，并在预算与时间上保持了良好的控制。</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等方面产生了积极的影响。具体而言，参加培训人员满意度等方面的提升，为项目的利益相关者带来了实实在在的利益。</w:t>
      </w:r>
    </w:p>
    <w:p>
      <w:pPr>
        <w:pStyle w:val="15"/>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综上所述，全国工业节能监察业务培训项目在绩效评价中表现出色，达到了项目的预期目标，并在多个方面取得了显著的成效。</w:t>
      </w:r>
    </w:p>
    <w:p>
      <w:pPr>
        <w:pStyle w:val="16"/>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6"/>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98</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6"/>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8"/>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98</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6"/>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6"/>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6"/>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w:t>
      </w:r>
      <w:r>
        <w:rPr>
          <w:rFonts w:hint="default" w:ascii="Times New Roman" w:hAnsi="Times New Roman" w:eastAsia="仿宋_GB2312" w:cs="Times New Roman"/>
          <w:sz w:val="32"/>
          <w:szCs w:val="32"/>
          <w:lang w:val="en-US" w:eastAsia="zh-CN"/>
        </w:rPr>
        <w:t>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①数量指标：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指标1：参加培训人数指标，指标值：&gt;=80人，实际完成值：=200人，指标完成率250%。</w:t>
      </w:r>
      <w:r>
        <w:rPr>
          <w:rFonts w:hint="eastAsia" w:ascii="仿宋_GB2312" w:hAnsi="仿宋_GB2312" w:eastAsia="仿宋_GB2312" w:cs="仿宋_GB2312"/>
          <w:sz w:val="32"/>
          <w:szCs w:val="32"/>
          <w:highlight w:val="none"/>
          <w:lang w:val="en-US" w:eastAsia="zh-CN"/>
        </w:rPr>
        <w:t>偏差原因：</w:t>
      </w:r>
      <w:r>
        <w:rPr>
          <w:rFonts w:hint="eastAsia" w:ascii="Times New Roman" w:hAnsi="Times New Roman" w:eastAsia="仿宋_GB2312" w:cs="Times New Roman"/>
          <w:sz w:val="32"/>
          <w:szCs w:val="32"/>
          <w:highlight w:val="none"/>
          <w:lang w:val="en-US" w:eastAsia="zh-CN"/>
        </w:rPr>
        <w:t>预算指标的填报不精准，与实际实施存在偏差，日后更加精细化填报预算指标。</w:t>
      </w:r>
    </w:p>
    <w:p>
      <w:pPr>
        <w:shd w:val="clear"/>
        <w:spacing w:line="600" w:lineRule="exact"/>
        <w:ind w:firstLine="640" w:firstLineChars="200"/>
        <w:outlineLvl w:val="0"/>
        <w:rPr>
          <w:rFonts w:hint="default"/>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：培训天数，指标值：&gt;=2天，实际完成值：=2天人，指标完成率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②质量指标：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指标1：培训人员出勤率指标，指标值：≥95%，实际完成值：95%，指标完成率100%。</w:t>
      </w:r>
    </w:p>
    <w:p>
      <w:pPr>
        <w:shd w:val="clear"/>
        <w:spacing w:line="600" w:lineRule="exact"/>
        <w:ind w:firstLine="640" w:firstLineChars="200"/>
        <w:outlineLvl w:val="0"/>
        <w:rPr>
          <w:rFonts w:hint="default"/>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：考试合格率，指标值：≥9</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%，实际完成值：9</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③时效指标：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指标1：培训按时完成率指标，指标值：≥90%，实际完成值：90%，指标完成率100%。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④成本指标：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指标1：培训人均支出标准，指标值：=562.50元/人/天，实际完成值：</w:t>
      </w:r>
      <w:r>
        <w:rPr>
          <w:rFonts w:hint="eastAsia" w:eastAsia="仿宋_GB2312" w:cs="Times New Roman"/>
          <w:sz w:val="32"/>
          <w:szCs w:val="32"/>
          <w:highlight w:val="none"/>
          <w:lang w:val="en-US" w:eastAsia="zh-CN"/>
        </w:rPr>
        <w:t>=562.50元/人/天</w:t>
      </w:r>
      <w:r>
        <w:rPr>
          <w:rFonts w:hint="default" w:ascii="Times New Roman" w:hAnsi="Times New Roman" w:eastAsia="仿宋_GB2312" w:cs="Times New Roman"/>
          <w:sz w:val="32"/>
          <w:szCs w:val="32"/>
          <w:highlight w:val="none"/>
        </w:rPr>
        <w:t>，指标完成率100%。</w:t>
      </w:r>
    </w:p>
    <w:p>
      <w:pPr>
        <w:pStyle w:val="6"/>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提升节能监察机构人员业务水平指标，指标值：有效提升，实际完成值：有效提升，指标完成率100%。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①满意度指标：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参加培训人员满意度指标，指标值：≥90%，实际完成值：90%，指标完成率100%。</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shd w:val="clear"/>
        <w:spacing w:line="600" w:lineRule="exact"/>
        <w:ind w:firstLine="640" w:firstLineChars="200"/>
        <w:outlineLvl w:val="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全国工业节能监察业务培训项目项目年初预算</w:t>
      </w:r>
      <w:r>
        <w:rPr>
          <w:rFonts w:hint="eastAsia" w:ascii="仿宋_GB2312" w:hAnsi="仿宋_GB2312" w:eastAsia="仿宋_GB2312" w:cs="仿宋_GB2312"/>
          <w:b w:val="0"/>
          <w:bCs w:val="0"/>
          <w:sz w:val="32"/>
          <w:szCs w:val="32"/>
          <w:highlight w:val="none"/>
          <w:lang w:val="en-US" w:eastAsia="zh-CN"/>
        </w:rPr>
        <w:t>9</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9</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9</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118.75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18.75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w:t>
      </w:r>
      <w:r>
        <w:rPr>
          <w:rFonts w:hint="eastAsia" w:ascii="仿宋_GB2312" w:hAnsi="仿宋_GB2312" w:eastAsia="仿宋_GB2312" w:cs="仿宋_GB2312"/>
          <w:sz w:val="32"/>
          <w:szCs w:val="32"/>
          <w:highlight w:val="none"/>
          <w:lang w:val="en-US" w:eastAsia="zh-CN"/>
        </w:rPr>
        <w:t>预算指标的填报时</w:t>
      </w:r>
      <w:r>
        <w:rPr>
          <w:rFonts w:hint="eastAsia" w:ascii="仿宋_GB2312" w:hAnsi="仿宋_GB2312" w:eastAsia="仿宋_GB2312" w:cs="仿宋_GB2312"/>
          <w:sz w:val="32"/>
          <w:szCs w:val="32"/>
          <w:highlight w:val="none"/>
        </w:rPr>
        <w:t>资金分配额度</w:t>
      </w:r>
      <w:r>
        <w:rPr>
          <w:rFonts w:hint="eastAsia" w:ascii="仿宋_GB2312" w:hAnsi="仿宋_GB2312" w:eastAsia="仿宋_GB2312" w:cs="仿宋_GB2312"/>
          <w:sz w:val="32"/>
          <w:szCs w:val="32"/>
          <w:highlight w:val="none"/>
          <w:lang w:val="en-US" w:eastAsia="zh-CN"/>
        </w:rPr>
        <w:t>不合理，</w:t>
      </w:r>
      <w:r>
        <w:rPr>
          <w:rFonts w:hint="eastAsia" w:ascii="仿宋_GB2312" w:hAnsi="仿宋_GB2312" w:eastAsia="仿宋_GB2312" w:cs="仿宋_GB2312"/>
          <w:sz w:val="32"/>
          <w:szCs w:val="32"/>
          <w:highlight w:val="none"/>
        </w:rPr>
        <w:t>与项目实际</w:t>
      </w:r>
      <w:r>
        <w:rPr>
          <w:rFonts w:hint="eastAsia" w:ascii="仿宋_GB2312" w:hAnsi="仿宋_GB2312" w:eastAsia="仿宋_GB2312" w:cs="仿宋_GB2312"/>
          <w:sz w:val="32"/>
          <w:szCs w:val="32"/>
          <w:highlight w:val="none"/>
          <w:lang w:val="en-US" w:eastAsia="zh-CN"/>
        </w:rPr>
        <w:t>支出不相符</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措施填报预算时</w:t>
      </w: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spacing w:line="560" w:lineRule="exact"/>
        <w:ind w:firstLine="640" w:firstLineChars="200"/>
        <w:rPr>
          <w:rStyle w:val="22"/>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6"/>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2"/>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2"/>
        <w:spacing w:after="0" w:line="560" w:lineRule="exact"/>
        <w:ind w:left="0" w:leftChars="0" w:firstLine="640"/>
        <w:rPr>
          <w:rFonts w:hint="eastAsia" w:ascii="Times New Roman" w:hAnsi="Times New Roman" w:eastAsia="仿宋_GB2312" w:cs="Times New Roman"/>
          <w:sz w:val="32"/>
          <w:szCs w:val="32"/>
          <w:lang w:eastAsia="zh-CN"/>
        </w:rPr>
      </w:pPr>
    </w:p>
    <w:p>
      <w:pPr>
        <w:pStyle w:val="2"/>
        <w:spacing w:after="0" w:line="560" w:lineRule="exact"/>
        <w:ind w:left="0" w:leftChars="0" w:firstLine="640"/>
        <w:rPr>
          <w:rFonts w:hint="eastAsia" w:ascii="Times New Roman" w:hAnsi="Times New Roman" w:eastAsia="仿宋_GB2312" w:cs="Times New Roman"/>
          <w:sz w:val="32"/>
          <w:szCs w:val="32"/>
          <w:lang w:eastAsia="zh-CN"/>
        </w:rPr>
      </w:pPr>
    </w:p>
    <w:p>
      <w:pPr>
        <w:pStyle w:val="2"/>
        <w:spacing w:after="0" w:line="560" w:lineRule="exact"/>
        <w:ind w:left="0" w:leftChars="0" w:firstLine="640"/>
        <w:rPr>
          <w:rFonts w:hint="eastAsia" w:ascii="Times New Roman" w:hAnsi="Times New Roman" w:eastAsia="仿宋_GB2312" w:cs="Times New Roman"/>
          <w:sz w:val="32"/>
          <w:szCs w:val="32"/>
          <w:lang w:eastAsia="zh-CN"/>
        </w:rPr>
      </w:pPr>
    </w:p>
    <w:p>
      <w:pPr>
        <w:pStyle w:val="2"/>
        <w:spacing w:after="0" w:line="560" w:lineRule="exact"/>
        <w:ind w:left="0" w:leftChars="0" w:firstLine="640"/>
        <w:rPr>
          <w:rFonts w:hint="eastAsia" w:ascii="Times New Roman" w:hAnsi="Times New Roman" w:eastAsia="仿宋_GB2312" w:cs="Times New Roman"/>
          <w:sz w:val="32"/>
          <w:szCs w:val="32"/>
          <w:lang w:eastAsia="zh-CN"/>
        </w:rPr>
      </w:pPr>
    </w:p>
    <w:p>
      <w:pPr>
        <w:pStyle w:val="2"/>
        <w:spacing w:after="0" w:line="560" w:lineRule="exact"/>
        <w:ind w:left="0" w:leftChars="0" w:firstLine="640"/>
        <w:rPr>
          <w:rFonts w:hint="eastAsia" w:ascii="Times New Roman" w:hAnsi="Times New Roman" w:eastAsia="仿宋_GB2312" w:cs="Times New Roman"/>
          <w:sz w:val="32"/>
          <w:szCs w:val="32"/>
          <w:lang w:eastAsia="zh-CN"/>
        </w:rPr>
      </w:pPr>
    </w:p>
    <w:p>
      <w:pPr>
        <w:pStyle w:val="2"/>
        <w:spacing w:after="0" w:line="560" w:lineRule="exact"/>
        <w:ind w:left="0" w:leftChars="0" w:firstLine="0" w:firstLineChars="0"/>
        <w:rPr>
          <w:rFonts w:hint="eastAsia" w:ascii="Times New Roman" w:hAnsi="Times New Roman" w:eastAsia="仿宋_GB2312" w:cs="Times New Roman"/>
          <w:b/>
          <w:bCs/>
          <w:color w:val="FF0000"/>
          <w:sz w:val="32"/>
          <w:szCs w:val="32"/>
          <w:lang w:val="en-US"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3"/>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全国工业节能监察业务培训项目绩效评价指标体系及综合评分表</w:t>
      </w:r>
      <w:bookmarkEnd w:id="1"/>
      <w:bookmarkEnd w:id="2"/>
    </w:p>
    <w:tbl>
      <w:tblPr>
        <w:tblStyle w:val="18"/>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pPr>
    </w:p>
    <w:p>
      <w:pPr>
        <w:pStyle w:val="16"/>
        <w:rPr>
          <w:rFonts w:hint="default" w:ascii="Times New Roman" w:hAnsi="Times New Roman" w:cs="Times New Roman"/>
        </w:rPr>
      </w:pPr>
    </w:p>
    <w:p>
      <w:pPr>
        <w:rPr>
          <w:rFonts w:hint="default" w:ascii="Times New Roman" w:hAnsi="Times New Roman" w:cs="Times New Roman"/>
        </w:rPr>
      </w:pPr>
    </w:p>
    <w:p>
      <w:pPr>
        <w:pStyle w:val="16"/>
        <w:rPr>
          <w:rFonts w:hint="default" w:ascii="Times New Roman" w:hAnsi="Times New Roman" w:cs="Times New Roman"/>
        </w:rPr>
      </w:pPr>
    </w:p>
    <w:p>
      <w:pPr>
        <w:rPr>
          <w:rFonts w:hint="default" w:ascii="Times New Roman" w:hAnsi="Times New Roman" w:cs="Times New Roman"/>
        </w:rPr>
      </w:pPr>
    </w:p>
    <w:p>
      <w:pPr>
        <w:pStyle w:val="16"/>
        <w:rPr>
          <w:rFonts w:hint="default" w:ascii="Times New Roman" w:hAnsi="Times New Roman" w:cs="Times New Roman"/>
        </w:rPr>
      </w:pPr>
    </w:p>
    <w:p>
      <w:pPr>
        <w:rPr>
          <w:rFonts w:hint="default" w:ascii="Times New Roman" w:hAnsi="Times New Roman" w:cs="Times New Roman"/>
        </w:rPr>
      </w:pPr>
    </w:p>
    <w:p>
      <w:pPr>
        <w:pStyle w:val="16"/>
        <w:rPr>
          <w:rFonts w:hint="default" w:ascii="Times New Roman" w:hAnsi="Times New Roman" w:cs="Times New Roman"/>
        </w:rPr>
      </w:pPr>
    </w:p>
    <w:p>
      <w:pPr>
        <w:pStyle w:val="16"/>
        <w:jc w:val="both"/>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w:t>
      </w:r>
    </w:p>
    <w:tbl>
      <w:tblPr>
        <w:tblW w:w="14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82"/>
        <w:gridCol w:w="583"/>
        <w:gridCol w:w="584"/>
        <w:gridCol w:w="1309"/>
        <w:gridCol w:w="931"/>
        <w:gridCol w:w="932"/>
        <w:gridCol w:w="930"/>
        <w:gridCol w:w="930"/>
        <w:gridCol w:w="932"/>
        <w:gridCol w:w="931"/>
        <w:gridCol w:w="931"/>
        <w:gridCol w:w="1119"/>
        <w:gridCol w:w="996"/>
        <w:gridCol w:w="2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26" w:hRule="atLeast"/>
        </w:trPr>
        <w:tc>
          <w:tcPr>
            <w:tcW w:w="14000" w:type="dxa"/>
            <w:gridSpan w:val="14"/>
            <w:tcBorders>
              <w:top w:val="nil"/>
              <w:left w:val="nil"/>
              <w:bottom w:val="nil"/>
              <w:right w:val="nil"/>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5" w:hRule="atLeast"/>
        </w:trPr>
        <w:tc>
          <w:tcPr>
            <w:tcW w:w="14000" w:type="dxa"/>
            <w:gridSpan w:val="14"/>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5" w:hRule="atLeast"/>
        </w:trPr>
        <w:tc>
          <w:tcPr>
            <w:tcW w:w="1165"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12835" w:type="dxa"/>
            <w:gridSpan w:val="1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全国工业节能监察业务培训项目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5" w:hRule="atLeast"/>
        </w:trPr>
        <w:tc>
          <w:tcPr>
            <w:tcW w:w="1165"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4686" w:type="dxa"/>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6287" w:type="dxa"/>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新疆维吾尔自治区节能监察总队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95" w:hRule="atLeast"/>
        </w:trPr>
        <w:tc>
          <w:tcPr>
            <w:tcW w:w="1165" w:type="dxa"/>
            <w:gridSpan w:val="2"/>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1893"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2115"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95" w:hRule="atLeast"/>
        </w:trPr>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93"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2115"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5" w:hRule="atLeast"/>
        </w:trPr>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93"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115"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95" w:hRule="atLeast"/>
        </w:trPr>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93"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w:t>
            </w:r>
          </w:p>
        </w:tc>
        <w:tc>
          <w:tcPr>
            <w:tcW w:w="1862"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115" w:type="dxa"/>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5"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5269" w:type="dxa"/>
            <w:gridSpan w:val="6"/>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8149" w:type="dxa"/>
            <w:gridSpan w:val="7"/>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173"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269" w:type="dxa"/>
            <w:gridSpan w:val="6"/>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本次培训是委托第三方服务机构组织实施，面向工信主管部门、节能监察机构工作人员和企业能源管理负责人进行节能知识和节能监察标准宣贯。培训内容包括：一是工业节能与绿色低碳发展相关政策解读，二是节能法律法规及钢铁、石化化工、数据中心等重点行业领域节能形势与节能监察工作要求，三是典型地区、重点行业工业节能监察经验交流等。通过这次培训，夯实工业节能监察基础，持续提升工业节能监察队伍能力。</w:t>
            </w:r>
          </w:p>
        </w:tc>
        <w:tc>
          <w:tcPr>
            <w:tcW w:w="8149" w:type="dxa"/>
            <w:gridSpan w:val="7"/>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完成举办了节能知识和节能监察业务培训，自治区工信系统从事节能管理、节能监察相关人员参加了培训，达到夯实工业节能监察基础，持续提升工业节能监察队伍能力。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584"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130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931"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93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93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93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931"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931"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1119"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996"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2310"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30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2310"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3" w:hRule="atLeast"/>
        </w:trPr>
        <w:tc>
          <w:tcPr>
            <w:tcW w:w="582"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参加培训人数</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&gt;=80人</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=200人</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250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≥70人</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预算指标的填报不精准，与实际实施存在偏差，日后更加精细化填报预算指标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培训天数</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&gt;=2天</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=2天</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培训人员出勤率</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考试合格率</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培训按时完成率</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培训人均支出标准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=562.50元/人/天</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=562.5元/人/天</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43"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提升节能监察机构人员业务水平</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584"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130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参加培训人员满意度</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3058" w:type="dxa"/>
            <w:gridSpan w:val="4"/>
            <w:tcBorders>
              <w:top w:val="single" w:color="000000" w:sz="4" w:space="0"/>
              <w:left w:val="single" w:color="000000" w:sz="4" w:space="0"/>
              <w:bottom w:val="single" w:color="000000" w:sz="4" w:space="0"/>
              <w:right w:val="nil"/>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32" w:type="dxa"/>
            <w:tcBorders>
              <w:top w:val="single" w:color="000000" w:sz="4" w:space="0"/>
              <w:left w:val="nil"/>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b/>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32"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92.00分</w:t>
            </w: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996"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2310" w:type="dxa"/>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r>
    </w:tbl>
    <w:p>
      <w:pPr>
        <w:rPr>
          <w:rFonts w:hint="default" w:ascii="Times New Roman" w:hAnsi="Times New Roman" w:cs="Times New Roman"/>
        </w:rPr>
      </w:pPr>
      <w:bookmarkStart w:id="3" w:name="_GoBack"/>
      <w:bookmarkEnd w:id="3"/>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35FFB3-C7D6-4B04-90B4-5FD8A167B4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0" w:usb1="00000000" w:usb2="00000000" w:usb3="00000000" w:csb0="00000000" w:csb1="00000000"/>
    <w:embedRegular r:id="rId2" w:fontKey="{3B5BC6FE-88B4-46C9-A44E-698FC89B7A7A}"/>
  </w:font>
  <w:font w:name="华文中宋">
    <w:panose1 w:val="02010600040101010101"/>
    <w:charset w:val="86"/>
    <w:family w:val="auto"/>
    <w:pitch w:val="default"/>
    <w:sig w:usb0="00000000" w:usb1="00000000" w:usb2="00000000" w:usb3="00000000" w:csb0="00000000" w:csb1="00000000"/>
    <w:embedRegular r:id="rId3" w:fontKey="{03C9219E-AE8F-4A6C-AB75-4FCA2EA79E43}"/>
  </w:font>
  <w:font w:name="方正小标宋_GBK">
    <w:panose1 w:val="02000000000000000000"/>
    <w:charset w:val="86"/>
    <w:family w:val="script"/>
    <w:pitch w:val="default"/>
    <w:sig w:usb0="00000000" w:usb1="00000000" w:usb2="00000000" w:usb3="00000000" w:csb0="00000000" w:csb1="00000000"/>
    <w:embedRegular r:id="rId4" w:fontKey="{59EF2E60-ECEB-42B7-95CB-E727161376A2}"/>
  </w:font>
  <w:font w:name="楷体_GB2312">
    <w:panose1 w:val="02010609030101010101"/>
    <w:charset w:val="86"/>
    <w:family w:val="auto"/>
    <w:pitch w:val="default"/>
    <w:sig w:usb0="00000000" w:usb1="00000000" w:usb2="00000000" w:usb3="00000000" w:csb0="00000000" w:csb1="00000000"/>
    <w:embedRegular r:id="rId5" w:fontKey="{A86AB42A-6069-4491-BA9F-DC5BEE07E60D}"/>
  </w:font>
  <w:font w:name="仿宋">
    <w:panose1 w:val="02010609060101010101"/>
    <w:charset w:val="86"/>
    <w:family w:val="modern"/>
    <w:pitch w:val="default"/>
    <w:sig w:usb0="800002BF" w:usb1="38CF7CFA" w:usb2="00000016" w:usb3="00000000" w:csb0="00040001" w:csb1="00000000"/>
    <w:embedRegular r:id="rId6" w:fontKey="{913FF384-67A5-4963-842C-35CC83730F84}"/>
  </w:font>
  <w:font w:name="方正仿宋_GBK">
    <w:panose1 w:val="02000000000000000000"/>
    <w:charset w:val="86"/>
    <w:family w:val="auto"/>
    <w:pitch w:val="default"/>
    <w:sig w:usb0="00000000" w:usb1="00000000" w:usb2="00000000" w:usb3="00000000" w:csb0="00000000" w:csb1="00000000"/>
    <w:embedRegular r:id="rId7" w:fontKey="{D4DB0516-5E33-4755-BFC8-526386234BF5}"/>
  </w:font>
  <w:font w:name="楷体">
    <w:panose1 w:val="02010609060101010101"/>
    <w:charset w:val="86"/>
    <w:family w:val="modern"/>
    <w:pitch w:val="default"/>
    <w:sig w:usb0="800002BF" w:usb1="38CF7CFA" w:usb2="00000016" w:usb3="00000000" w:csb0="00040001" w:csb1="00000000"/>
    <w:embedRegular r:id="rId8" w:fontKey="{7E4F5FF7-57A6-42D5-BAF4-A628780521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4"/>
          <w:jc w:val="center"/>
        </w:pPr>
        <w:r>
          <w:fldChar w:fldCharType="begin"/>
        </w:r>
        <w:r>
          <w:instrText xml:space="preserve">PAGE   \* MERGEFORMAT</w:instrText>
        </w:r>
        <w:r>
          <w:fldChar w:fldCharType="separate"/>
        </w:r>
        <w:r>
          <w:rPr>
            <w:lang w:val="zh-CN"/>
          </w:rPr>
          <w:t>13</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9A408D"/>
    <w:multiLevelType w:val="singleLevel"/>
    <w:tmpl w:val="E59A408D"/>
    <w:lvl w:ilvl="0" w:tentative="0">
      <w:start w:val="1"/>
      <w:numFmt w:val="decimal"/>
      <w:pStyle w:val="5"/>
      <w:lvlText w:val="%1."/>
      <w:lvlJc w:val="left"/>
      <w:pPr>
        <w:tabs>
          <w:tab w:val="left" w:pos="2040"/>
        </w:tabs>
        <w:ind w:left="2040" w:hanging="360"/>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3D1C29"/>
    <w:rsid w:val="02510197"/>
    <w:rsid w:val="03EC461B"/>
    <w:rsid w:val="04981EF1"/>
    <w:rsid w:val="05872E61"/>
    <w:rsid w:val="07397B77"/>
    <w:rsid w:val="07A70F85"/>
    <w:rsid w:val="07E75A48"/>
    <w:rsid w:val="09231E5A"/>
    <w:rsid w:val="09290F05"/>
    <w:rsid w:val="0AD007F3"/>
    <w:rsid w:val="0B307448"/>
    <w:rsid w:val="0D6D300E"/>
    <w:rsid w:val="0E3C619F"/>
    <w:rsid w:val="109F18A3"/>
    <w:rsid w:val="11170296"/>
    <w:rsid w:val="1292638E"/>
    <w:rsid w:val="13471461"/>
    <w:rsid w:val="13B90F01"/>
    <w:rsid w:val="14574C57"/>
    <w:rsid w:val="155E4C4D"/>
    <w:rsid w:val="17462648"/>
    <w:rsid w:val="176508D3"/>
    <w:rsid w:val="181066D2"/>
    <w:rsid w:val="18AF70F8"/>
    <w:rsid w:val="1C362480"/>
    <w:rsid w:val="1C671E73"/>
    <w:rsid w:val="1D1125A5"/>
    <w:rsid w:val="1D322C47"/>
    <w:rsid w:val="23616034"/>
    <w:rsid w:val="23D4607E"/>
    <w:rsid w:val="24480FA2"/>
    <w:rsid w:val="25227A45"/>
    <w:rsid w:val="25F62593"/>
    <w:rsid w:val="26AC3A6A"/>
    <w:rsid w:val="281178FD"/>
    <w:rsid w:val="2AE636CD"/>
    <w:rsid w:val="2B9D7E25"/>
    <w:rsid w:val="2C7C7A3B"/>
    <w:rsid w:val="2CC02459"/>
    <w:rsid w:val="2D4E64F1"/>
    <w:rsid w:val="2D842E07"/>
    <w:rsid w:val="2EFC0D68"/>
    <w:rsid w:val="2F0A638A"/>
    <w:rsid w:val="2F364819"/>
    <w:rsid w:val="2FD63906"/>
    <w:rsid w:val="310F448E"/>
    <w:rsid w:val="321709DF"/>
    <w:rsid w:val="34231F54"/>
    <w:rsid w:val="34CC3529"/>
    <w:rsid w:val="37215DAE"/>
    <w:rsid w:val="38CA40DD"/>
    <w:rsid w:val="395F2B56"/>
    <w:rsid w:val="39C16D65"/>
    <w:rsid w:val="39F41558"/>
    <w:rsid w:val="3B8561E0"/>
    <w:rsid w:val="3BBA0580"/>
    <w:rsid w:val="3BECE841"/>
    <w:rsid w:val="3CB076A6"/>
    <w:rsid w:val="3CDE204C"/>
    <w:rsid w:val="3D363C36"/>
    <w:rsid w:val="3DBC237E"/>
    <w:rsid w:val="3E1B7603"/>
    <w:rsid w:val="3E9C3F6D"/>
    <w:rsid w:val="3FF7797D"/>
    <w:rsid w:val="3FFD4DD0"/>
    <w:rsid w:val="405B04EC"/>
    <w:rsid w:val="43A713E9"/>
    <w:rsid w:val="45C1250B"/>
    <w:rsid w:val="46690BD8"/>
    <w:rsid w:val="46AD1857"/>
    <w:rsid w:val="472F7A93"/>
    <w:rsid w:val="481E6EBA"/>
    <w:rsid w:val="487B2E3B"/>
    <w:rsid w:val="48853242"/>
    <w:rsid w:val="49F70BF1"/>
    <w:rsid w:val="4A431740"/>
    <w:rsid w:val="4B4340EE"/>
    <w:rsid w:val="4BF06537"/>
    <w:rsid w:val="4CA920D2"/>
    <w:rsid w:val="4CEE541B"/>
    <w:rsid w:val="4FD80D7B"/>
    <w:rsid w:val="503D507A"/>
    <w:rsid w:val="51FA74D0"/>
    <w:rsid w:val="52A15B9E"/>
    <w:rsid w:val="52AA4A52"/>
    <w:rsid w:val="52C6444D"/>
    <w:rsid w:val="55A51501"/>
    <w:rsid w:val="59943D66"/>
    <w:rsid w:val="59CB23DB"/>
    <w:rsid w:val="59E051FD"/>
    <w:rsid w:val="59E6355E"/>
    <w:rsid w:val="59FD70C9"/>
    <w:rsid w:val="5B821531"/>
    <w:rsid w:val="5B8E0CB9"/>
    <w:rsid w:val="5BFF6039"/>
    <w:rsid w:val="5C982BF1"/>
    <w:rsid w:val="5D5F3891"/>
    <w:rsid w:val="5D76A616"/>
    <w:rsid w:val="5D7F20B9"/>
    <w:rsid w:val="5DAC7D0E"/>
    <w:rsid w:val="5ED74E21"/>
    <w:rsid w:val="5F98B5AF"/>
    <w:rsid w:val="5FFE8511"/>
    <w:rsid w:val="5FFEACE2"/>
    <w:rsid w:val="609D5BF6"/>
    <w:rsid w:val="61073070"/>
    <w:rsid w:val="61B9080E"/>
    <w:rsid w:val="61DF3FED"/>
    <w:rsid w:val="642B176B"/>
    <w:rsid w:val="643EE26D"/>
    <w:rsid w:val="64E908EF"/>
    <w:rsid w:val="6501220B"/>
    <w:rsid w:val="656019A0"/>
    <w:rsid w:val="65F242EE"/>
    <w:rsid w:val="666D7E19"/>
    <w:rsid w:val="67462832"/>
    <w:rsid w:val="67CB140E"/>
    <w:rsid w:val="68376930"/>
    <w:rsid w:val="68C936A4"/>
    <w:rsid w:val="68F91E38"/>
    <w:rsid w:val="696E3CE9"/>
    <w:rsid w:val="69767E03"/>
    <w:rsid w:val="6A5236EE"/>
    <w:rsid w:val="6ABE0BDB"/>
    <w:rsid w:val="6B3158B9"/>
    <w:rsid w:val="6BA02A3F"/>
    <w:rsid w:val="6BFF7765"/>
    <w:rsid w:val="6C0A0D33"/>
    <w:rsid w:val="6C1E5A53"/>
    <w:rsid w:val="6C7667BD"/>
    <w:rsid w:val="6DD20F3C"/>
    <w:rsid w:val="6F5C41AC"/>
    <w:rsid w:val="6FAF6C78"/>
    <w:rsid w:val="705521D3"/>
    <w:rsid w:val="716167CC"/>
    <w:rsid w:val="718A7AD1"/>
    <w:rsid w:val="718E4FA0"/>
    <w:rsid w:val="72A44BC2"/>
    <w:rsid w:val="7317C656"/>
    <w:rsid w:val="734ED73F"/>
    <w:rsid w:val="73C82B32"/>
    <w:rsid w:val="73F94DAE"/>
    <w:rsid w:val="74220495"/>
    <w:rsid w:val="747D1B6F"/>
    <w:rsid w:val="749E5641"/>
    <w:rsid w:val="76271066"/>
    <w:rsid w:val="76B55889"/>
    <w:rsid w:val="76FF00DD"/>
    <w:rsid w:val="776FF713"/>
    <w:rsid w:val="77EE580D"/>
    <w:rsid w:val="77F47CE3"/>
    <w:rsid w:val="77FD8BE9"/>
    <w:rsid w:val="78000AED"/>
    <w:rsid w:val="78143D12"/>
    <w:rsid w:val="79A9BD3F"/>
    <w:rsid w:val="7A060BBB"/>
    <w:rsid w:val="7B776F12"/>
    <w:rsid w:val="7BD76009"/>
    <w:rsid w:val="7BFFFDD0"/>
    <w:rsid w:val="7C336E5F"/>
    <w:rsid w:val="7C8D4919"/>
    <w:rsid w:val="7CFC4F7F"/>
    <w:rsid w:val="7D7A5F86"/>
    <w:rsid w:val="7E4B683A"/>
    <w:rsid w:val="7E5E656D"/>
    <w:rsid w:val="7E8F2BCB"/>
    <w:rsid w:val="7EE8052D"/>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4">
    <w:name w:val="Plain Text"/>
    <w:basedOn w:val="1"/>
    <w:next w:val="5"/>
    <w:qFormat/>
    <w:uiPriority w:val="0"/>
    <w:rPr>
      <w:rFonts w:ascii="宋体" w:hAnsi="Courier New" w:cs="Courier New"/>
    </w:rPr>
  </w:style>
  <w:style w:type="paragraph" w:styleId="5">
    <w:name w:val="List Number 5"/>
    <w:basedOn w:val="2"/>
    <w:next w:val="6"/>
    <w:qFormat/>
    <w:uiPriority w:val="0"/>
    <w:pPr>
      <w:numPr>
        <w:ilvl w:val="0"/>
        <w:numId w:val="1"/>
      </w:numPr>
    </w:pPr>
  </w:style>
  <w:style w:type="paragraph" w:styleId="6">
    <w:name w:val="Body Text First Indent"/>
    <w:basedOn w:val="7"/>
    <w:qFormat/>
    <w:uiPriority w:val="0"/>
    <w:pPr>
      <w:spacing w:after="0"/>
      <w:ind w:firstLine="200" w:firstLineChars="200"/>
    </w:pPr>
  </w:style>
  <w:style w:type="paragraph" w:styleId="7">
    <w:name w:val="Body Text"/>
    <w:basedOn w:val="1"/>
    <w:next w:val="8"/>
    <w:qFormat/>
    <w:uiPriority w:val="0"/>
    <w:pPr>
      <w:spacing w:after="120"/>
    </w:pPr>
  </w:style>
  <w:style w:type="paragraph" w:styleId="8">
    <w:name w:val="header"/>
    <w:basedOn w:val="1"/>
    <w:next w:val="9"/>
    <w:link w:val="25"/>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Normal1"/>
    <w:next w:val="10"/>
    <w:qFormat/>
    <w:uiPriority w:val="99"/>
    <w:pPr>
      <w:widowControl w:val="0"/>
      <w:spacing w:after="120" w:line="480" w:lineRule="auto"/>
      <w:ind w:left="200" w:leftChars="200"/>
      <w:jc w:val="both"/>
    </w:pPr>
    <w:rPr>
      <w:rFonts w:ascii="Times New Roman" w:hAnsi="Times New Roman" w:eastAsia="宋体" w:cs="Times New Roman"/>
      <w:kern w:val="2"/>
      <w:sz w:val="21"/>
      <w:szCs w:val="21"/>
      <w:lang w:val="en-US" w:eastAsia="zh-CN" w:bidi="ar-SA"/>
    </w:rPr>
  </w:style>
  <w:style w:type="paragraph" w:customStyle="1" w:styleId="10">
    <w:name w:val="插表"/>
    <w:next w:val="1"/>
    <w:qFormat/>
    <w:uiPriority w:val="0"/>
    <w:pPr>
      <w:widowControl w:val="0"/>
      <w:spacing w:line="360" w:lineRule="auto"/>
      <w:jc w:val="center"/>
    </w:pPr>
    <w:rPr>
      <w:rFonts w:ascii="Times New Roman" w:hAnsi="Times New Roman" w:eastAsia="宋体" w:cs="Times New Roman"/>
      <w:kern w:val="2"/>
      <w:sz w:val="21"/>
      <w:szCs w:val="21"/>
      <w:lang w:val="en-US" w:eastAsia="zh-CN" w:bidi="ar-SA"/>
    </w:rPr>
  </w:style>
  <w:style w:type="paragraph" w:styleId="12">
    <w:name w:val="annotation text"/>
    <w:basedOn w:val="1"/>
    <w:link w:val="26"/>
    <w:qFormat/>
    <w:uiPriority w:val="0"/>
    <w:pPr>
      <w:jc w:val="left"/>
    </w:pPr>
  </w:style>
  <w:style w:type="paragraph" w:styleId="13">
    <w:name w:val="Balloon Text"/>
    <w:basedOn w:val="1"/>
    <w:link w:val="24"/>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7">
    <w:name w:val="annotation subject"/>
    <w:basedOn w:val="12"/>
    <w:next w:val="12"/>
    <w:link w:val="27"/>
    <w:qFormat/>
    <w:uiPriority w:val="0"/>
    <w:rPr>
      <w:b/>
      <w:bCs/>
    </w:rPr>
  </w:style>
  <w:style w:type="character" w:styleId="20">
    <w:name w:val="Strong"/>
    <w:basedOn w:val="19"/>
    <w:qFormat/>
    <w:uiPriority w:val="0"/>
    <w:rPr>
      <w:b/>
      <w:bCs/>
    </w:rPr>
  </w:style>
  <w:style w:type="character" w:styleId="21">
    <w:name w:val="annotation reference"/>
    <w:basedOn w:val="19"/>
    <w:qFormat/>
    <w:uiPriority w:val="0"/>
    <w:rPr>
      <w:sz w:val="21"/>
      <w:szCs w:val="21"/>
    </w:rPr>
  </w:style>
  <w:style w:type="character" w:customStyle="1" w:styleId="22">
    <w:name w:val="fontstyle01"/>
    <w:qFormat/>
    <w:uiPriority w:val="0"/>
    <w:rPr>
      <w:rFonts w:ascii="仿宋_GB2312" w:hAnsi="仿宋_GB2312" w:eastAsia="仿宋_GB2312" w:cs="仿宋_GB2312"/>
      <w:color w:val="000000"/>
      <w:sz w:val="32"/>
      <w:szCs w:val="32"/>
    </w:rPr>
  </w:style>
  <w:style w:type="paragraph" w:customStyle="1" w:styleId="23">
    <w:name w:val="闻政-正文段落文字"/>
    <w:basedOn w:val="1"/>
    <w:qFormat/>
    <w:uiPriority w:val="3"/>
    <w:pPr>
      <w:spacing w:line="500" w:lineRule="exact"/>
      <w:ind w:firstLine="200"/>
    </w:pPr>
    <w:rPr>
      <w:kern w:val="0"/>
      <w:szCs w:val="28"/>
    </w:rPr>
  </w:style>
  <w:style w:type="character" w:customStyle="1" w:styleId="24">
    <w:name w:val="批注框文本 字符"/>
    <w:basedOn w:val="19"/>
    <w:link w:val="13"/>
    <w:qFormat/>
    <w:uiPriority w:val="0"/>
    <w:rPr>
      <w:rFonts w:ascii="Times New Roman" w:hAnsi="Times New Roman" w:eastAsia="宋体" w:cs="Times New Roman"/>
      <w:kern w:val="2"/>
      <w:sz w:val="18"/>
      <w:szCs w:val="18"/>
    </w:rPr>
  </w:style>
  <w:style w:type="character" w:customStyle="1" w:styleId="25">
    <w:name w:val="页眉 字符"/>
    <w:basedOn w:val="19"/>
    <w:link w:val="8"/>
    <w:qFormat/>
    <w:uiPriority w:val="0"/>
    <w:rPr>
      <w:rFonts w:ascii="Times New Roman" w:hAnsi="Times New Roman" w:eastAsia="宋体" w:cs="Times New Roman"/>
      <w:kern w:val="2"/>
      <w:sz w:val="18"/>
      <w:szCs w:val="18"/>
    </w:rPr>
  </w:style>
  <w:style w:type="character" w:customStyle="1" w:styleId="26">
    <w:name w:val="批注文字 字符"/>
    <w:basedOn w:val="19"/>
    <w:link w:val="12"/>
    <w:qFormat/>
    <w:uiPriority w:val="0"/>
    <w:rPr>
      <w:rFonts w:ascii="Times New Roman" w:hAnsi="Times New Roman" w:eastAsia="宋体" w:cs="Times New Roman"/>
      <w:kern w:val="2"/>
      <w:sz w:val="21"/>
      <w:szCs w:val="24"/>
    </w:rPr>
  </w:style>
  <w:style w:type="character" w:customStyle="1" w:styleId="27">
    <w:name w:val="批注主题 字符"/>
    <w:basedOn w:val="26"/>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6660</Words>
  <Characters>6767</Characters>
  <Lines>58</Lines>
  <Paragraphs>16</Paragraphs>
  <TotalTime>33</TotalTime>
  <ScaleCrop>false</ScaleCrop>
  <LinksUpToDate>false</LinksUpToDate>
  <CharactersWithSpaces>6772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dcterms:modified xsi:type="dcterms:W3CDTF">2025-08-27T05:32:52Z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69ADDE9E843E46229EEEDB831C95E66B_13</vt:lpwstr>
  </property>
  <property fmtid="{D5CDD505-2E9C-101B-9397-08002B2CF9AE}" pid="4" name="KSOTemplateDocerSaveRecord">
    <vt:lpwstr>eyJoZGlkIjoiMTRlODlkZTg3ZTIwYWYxOGYzMDdmY2IwNmNhNWJkYmUiLCJ1c2VySWQiOiI0MjQ1NjI0NzcifQ==</vt:lpwstr>
  </property>
</Properties>
</file>