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国家重大工业节能专项监察</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6"/>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项目名称：国家重大工业节能专项监察项目</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lang w:val="en-US" w:eastAsia="zh-CN"/>
        </w:rPr>
        <w:t>新疆维吾尔自治区节能监察总队</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val="en-US" w:eastAsia="zh-CN"/>
        </w:rPr>
        <w:t>徐明</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20"/>
          <w:rFonts w:hint="default" w:ascii="Times New Roman" w:hAnsi="Times New Roman" w:eastAsia="黑体" w:cs="Times New Roman"/>
          <w:b w:val="0"/>
          <w:spacing w:val="-4"/>
          <w:sz w:val="32"/>
          <w:szCs w:val="32"/>
        </w:rPr>
      </w:pPr>
    </w:p>
    <w:p>
      <w:pPr>
        <w:spacing w:line="540" w:lineRule="exact"/>
        <w:ind w:firstLine="640"/>
        <w:rPr>
          <w:rStyle w:val="20"/>
          <w:rFonts w:hint="default" w:ascii="Times New Roman" w:hAnsi="Times New Roman" w:eastAsia="黑体" w:cs="Times New Roman"/>
          <w:b w:val="0"/>
          <w:spacing w:val="-4"/>
          <w:sz w:val="32"/>
          <w:szCs w:val="32"/>
        </w:rPr>
      </w:pPr>
    </w:p>
    <w:p>
      <w:pPr>
        <w:spacing w:line="540" w:lineRule="exact"/>
        <w:rPr>
          <w:rStyle w:val="20"/>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600" w:lineRule="exact"/>
        <w:ind w:firstLine="640" w:firstLineChars="200"/>
        <w:outlineLvl w:val="0"/>
        <w:rPr>
          <w:rStyle w:val="20"/>
          <w:rFonts w:hint="default" w:ascii="Times New Roman" w:hAnsi="Times New Roman" w:eastAsia="黑体" w:cs="Times New Roman"/>
          <w:b w:val="0"/>
          <w:bCs/>
          <w:spacing w:val="-4"/>
          <w:sz w:val="32"/>
          <w:szCs w:val="32"/>
          <w:highlight w:val="yellow"/>
          <w:lang w:eastAsia="zh-CN"/>
        </w:rPr>
      </w:pPr>
      <w:r>
        <w:rPr>
          <w:rFonts w:hint="eastAsia" w:ascii="仿宋_GB2312" w:hAnsi="仿宋_GB2312" w:eastAsia="仿宋_GB2312" w:cs="仿宋_GB2312"/>
          <w:sz w:val="32"/>
          <w:szCs w:val="32"/>
          <w:highlight w:val="none"/>
          <w:lang w:val="en-US" w:eastAsia="zh-CN"/>
        </w:rPr>
        <w:t>依据《工业和信息化部关于印发&lt;工业节能监察体制机制建设项目管理暂行办法&gt;的通知》（工信部节〔2016〕228号）及自治区党委、政府关于“碳达峰、碳中和”工作部署，开展重点用能企业节能监察工作。该项目30万资金来源于中华人民共和国工业和信息化部当年度拨付，为开展国家重大工业节能专项监察项目工作提供必要的经费保障。</w:t>
      </w:r>
    </w:p>
    <w:p>
      <w:pPr>
        <w:pStyle w:val="16"/>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600" w:lineRule="exact"/>
        <w:ind w:firstLine="600" w:firstLineChars="200"/>
        <w:outlineLvl w:val="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sz w:val="30"/>
          <w:szCs w:val="30"/>
          <w:highlight w:val="none"/>
          <w:lang w:val="en-US" w:eastAsia="zh-CN"/>
        </w:rPr>
        <w:t>为贯彻落实《中华人民共和国节约能源法》、《工业节能管理办法》和国家相关强制性节能标准，充分发挥节能监察的监督保障作用，持续提高工业能效和绿色发展水平，拓展工业发展的能源资源空间，助推工业经济高质量发展，助力实现碳达峰和碳中和目标，完成国家重大工业节能专项监察任务。</w:t>
      </w:r>
    </w:p>
    <w:p>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snapToGrid/>
        <w:spacing w:line="520" w:lineRule="exact"/>
        <w:ind w:right="0" w:rightChars="0" w:firstLine="600" w:firstLineChars="200"/>
        <w:jc w:val="both"/>
        <w:textAlignment w:val="auto"/>
        <w:outlineLvl w:val="9"/>
        <w:rPr>
          <w:rFonts w:hint="eastAsia"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0"/>
          <w:szCs w:val="30"/>
          <w:highlight w:val="none"/>
          <w:lang w:val="en-US" w:eastAsia="zh-CN"/>
        </w:rPr>
        <w:t>2024年，总队按照国家工信部和自治区工信厅的安排部署，聚焦重点行业，对标节能法律法规和能耗限额标准，克服区域广、人员少、力量弱等困难，合理分工，周密安排，圆满完成全年节能监察任务。全年完成现场监察</w:t>
      </w:r>
      <w:r>
        <w:rPr>
          <w:rFonts w:hint="default" w:ascii="Times New Roman" w:hAnsi="Times New Roman" w:eastAsia="仿宋_GB2312" w:cs="Times New Roman"/>
          <w:sz w:val="30"/>
          <w:szCs w:val="30"/>
          <w:highlight w:val="none"/>
          <w:lang w:val="en-US" w:eastAsia="zh-CN"/>
        </w:rPr>
        <w:t>工业企业207家，其中国家专项任务111家，自治区专项任务96家。涉及3个门类，14个行业大类，</w:t>
      </w:r>
      <w:r>
        <w:rPr>
          <w:rFonts w:hint="eastAsia" w:ascii="Times New Roman" w:hAnsi="Times New Roman" w:eastAsia="仿宋_GB2312" w:cs="Times New Roman"/>
          <w:sz w:val="30"/>
          <w:szCs w:val="30"/>
          <w:highlight w:val="none"/>
          <w:lang w:val="en-US" w:eastAsia="zh-CN"/>
        </w:rPr>
        <w:t>涵盖</w:t>
      </w:r>
      <w:r>
        <w:rPr>
          <w:rFonts w:hint="default" w:ascii="Times New Roman" w:hAnsi="Times New Roman" w:eastAsia="仿宋_GB2312" w:cs="Times New Roman"/>
          <w:sz w:val="30"/>
          <w:szCs w:val="30"/>
          <w:highlight w:val="none"/>
          <w:lang w:val="en-US" w:eastAsia="zh-CN"/>
        </w:rPr>
        <w:t>粗钢、水泥、陶瓷、平板玻璃、电解铝、铜冶炼、工业硅、合成氨、尿素、炼油、焦化、纺织、聚氯乙烯等传统高耗能产业，多晶硅、煤制烯烃等硅基煤基新能源新材料产业，碳捕集等CCUS高效降碳产业，再生铅、湿法电积铜等循环经济产业，数据中心、互联网服务等东数西算新型基础设施产业。</w:t>
      </w:r>
      <w:r>
        <w:rPr>
          <w:rFonts w:hint="eastAsia" w:ascii="Times New Roman" w:hAnsi="Times New Roman" w:eastAsia="仿宋_GB2312" w:cs="Times New Roman"/>
          <w:sz w:val="30"/>
          <w:szCs w:val="30"/>
          <w:highlight w:val="none"/>
          <w:lang w:val="en-US" w:eastAsia="zh-CN"/>
        </w:rPr>
        <w:t>通过监察发现</w:t>
      </w:r>
      <w:r>
        <w:rPr>
          <w:rFonts w:hint="default" w:ascii="Times New Roman" w:hAnsi="Times New Roman" w:eastAsia="仿宋_GB2312" w:cs="Times New Roman"/>
          <w:sz w:val="30"/>
          <w:szCs w:val="30"/>
          <w:highlight w:val="none"/>
          <w:lang w:val="en-US" w:eastAsia="zh-CN"/>
        </w:rPr>
        <w:t>7家企业存在的</w:t>
      </w:r>
      <w:r>
        <w:rPr>
          <w:rFonts w:hint="eastAsia" w:ascii="Times New Roman" w:hAnsi="Times New Roman" w:eastAsia="仿宋_GB2312" w:cs="Times New Roman"/>
          <w:sz w:val="30"/>
          <w:szCs w:val="30"/>
          <w:highlight w:val="none"/>
          <w:lang w:val="en-US" w:eastAsia="zh-CN"/>
        </w:rPr>
        <w:t>超过单位产品能耗限额标准用能、未执行</w:t>
      </w:r>
      <w:r>
        <w:rPr>
          <w:rFonts w:hint="default" w:ascii="Times New Roman" w:hAnsi="Times New Roman" w:eastAsia="仿宋_GB2312" w:cs="Times New Roman"/>
          <w:sz w:val="30"/>
          <w:szCs w:val="30"/>
          <w:highlight w:val="none"/>
          <w:lang w:val="en-US" w:eastAsia="zh-CN"/>
        </w:rPr>
        <w:t>能源计量及统计制度</w:t>
      </w:r>
      <w:r>
        <w:rPr>
          <w:rFonts w:hint="eastAsia" w:ascii="Times New Roman" w:hAnsi="Times New Roman" w:eastAsia="仿宋_GB2312" w:cs="Times New Roman"/>
          <w:sz w:val="30"/>
          <w:szCs w:val="30"/>
          <w:highlight w:val="none"/>
          <w:lang w:val="en-US" w:eastAsia="zh-CN"/>
        </w:rPr>
        <w:t>等不合理用能行为，7家企业未达到</w:t>
      </w:r>
      <w:r>
        <w:rPr>
          <w:rFonts w:hint="default" w:ascii="Times New Roman" w:hAnsi="Times New Roman" w:eastAsia="仿宋_GB2312" w:cs="Times New Roman"/>
          <w:sz w:val="30"/>
          <w:szCs w:val="30"/>
          <w:highlight w:val="none"/>
          <w:lang w:val="en-US" w:eastAsia="zh-CN"/>
        </w:rPr>
        <w:t>《工业重点领域能效标杆水平和基准水平（2023年版）》要求</w:t>
      </w:r>
      <w:r>
        <w:rPr>
          <w:rFonts w:hint="eastAsia" w:ascii="Times New Roman" w:hAnsi="Times New Roman" w:eastAsia="仿宋_GB2312" w:cs="Times New Roman"/>
          <w:sz w:val="30"/>
          <w:szCs w:val="30"/>
          <w:highlight w:val="none"/>
          <w:lang w:val="en-US" w:eastAsia="zh-CN"/>
        </w:rPr>
        <w:t>的基准水平，</w:t>
      </w:r>
      <w:r>
        <w:rPr>
          <w:rFonts w:hint="default" w:ascii="Times New Roman" w:hAnsi="Times New Roman" w:eastAsia="仿宋_GB2312" w:cs="Times New Roman"/>
          <w:sz w:val="30"/>
          <w:szCs w:val="30"/>
          <w:highlight w:val="none"/>
          <w:lang w:val="en-US" w:eastAsia="zh-CN"/>
        </w:rPr>
        <w:t>142家企业存在在用</w:t>
      </w:r>
      <w:r>
        <w:rPr>
          <w:rFonts w:hint="eastAsia" w:ascii="Times New Roman" w:hAnsi="Times New Roman" w:eastAsia="仿宋_GB2312" w:cs="Times New Roman"/>
          <w:sz w:val="30"/>
          <w:szCs w:val="30"/>
          <w:highlight w:val="none"/>
          <w:lang w:val="en-US" w:eastAsia="zh-CN"/>
        </w:rPr>
        <w:t>未达到强制性能源效率标准3级的</w:t>
      </w:r>
      <w:r>
        <w:rPr>
          <w:rFonts w:hint="default" w:ascii="Times New Roman" w:hAnsi="Times New Roman" w:eastAsia="仿宋_GB2312" w:cs="Times New Roman"/>
          <w:sz w:val="30"/>
          <w:szCs w:val="30"/>
          <w:highlight w:val="none"/>
          <w:lang w:val="en-US" w:eastAsia="zh-CN"/>
        </w:rPr>
        <w:t>用能设备情况，其中落后电动机25544台，功率合计</w:t>
      </w:r>
      <w:r>
        <w:rPr>
          <w:rFonts w:hint="eastAsia" w:ascii="Times New Roman" w:hAnsi="Times New Roman" w:eastAsia="仿宋_GB2312" w:cs="Times New Roman"/>
          <w:sz w:val="30"/>
          <w:szCs w:val="30"/>
          <w:highlight w:val="none"/>
          <w:lang w:val="en-US" w:eastAsia="zh-CN"/>
        </w:rPr>
        <w:t>78.99</w:t>
      </w:r>
      <w:r>
        <w:rPr>
          <w:rFonts w:hint="default" w:ascii="Times New Roman" w:hAnsi="Times New Roman" w:eastAsia="仿宋_GB2312" w:cs="Times New Roman"/>
          <w:sz w:val="30"/>
          <w:szCs w:val="30"/>
          <w:highlight w:val="none"/>
          <w:lang w:val="en-US" w:eastAsia="zh-CN"/>
        </w:rPr>
        <w:t>万kW，落后变压器</w:t>
      </w:r>
      <w:r>
        <w:rPr>
          <w:rFonts w:hint="eastAsia" w:ascii="Times New Roman" w:hAnsi="Times New Roman" w:eastAsia="仿宋_GB2312" w:cs="Times New Roman"/>
          <w:sz w:val="30"/>
          <w:szCs w:val="30"/>
          <w:highlight w:val="none"/>
          <w:lang w:val="en-US" w:eastAsia="zh-CN"/>
        </w:rPr>
        <w:t>2602</w:t>
      </w:r>
      <w:r>
        <w:rPr>
          <w:rFonts w:hint="default" w:ascii="Times New Roman" w:hAnsi="Times New Roman" w:eastAsia="仿宋_GB2312" w:cs="Times New Roman"/>
          <w:sz w:val="30"/>
          <w:szCs w:val="30"/>
          <w:highlight w:val="none"/>
          <w:lang w:val="en-US" w:eastAsia="zh-CN"/>
        </w:rPr>
        <w:t>台，容量合计</w:t>
      </w:r>
      <w:r>
        <w:rPr>
          <w:rFonts w:hint="eastAsia" w:ascii="Times New Roman" w:hAnsi="Times New Roman" w:eastAsia="仿宋_GB2312" w:cs="Times New Roman"/>
          <w:sz w:val="30"/>
          <w:szCs w:val="30"/>
          <w:highlight w:val="none"/>
          <w:lang w:val="en-US" w:eastAsia="zh-CN"/>
        </w:rPr>
        <w:t>1098.3</w:t>
      </w:r>
      <w:r>
        <w:rPr>
          <w:rFonts w:hint="default" w:ascii="Times New Roman" w:hAnsi="Times New Roman" w:eastAsia="仿宋_GB2312" w:cs="Times New Roman"/>
          <w:sz w:val="30"/>
          <w:szCs w:val="30"/>
          <w:highlight w:val="none"/>
          <w:lang w:val="en-US" w:eastAsia="zh-CN"/>
        </w:rPr>
        <w:t>万kVA。</w:t>
      </w:r>
      <w:r>
        <w:rPr>
          <w:rFonts w:hint="eastAsia" w:ascii="Times New Roman" w:hAnsi="Times New Roman" w:eastAsia="仿宋_GB2312" w:cs="Times New Roman"/>
          <w:sz w:val="30"/>
          <w:szCs w:val="30"/>
          <w:highlight w:val="none"/>
          <w:lang w:val="en-US" w:eastAsia="zh-CN"/>
        </w:rPr>
        <w:t>以上违规企业已建议责令限期整改。</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万元，该项目资金已全部落实到位，资</w:t>
      </w:r>
      <w:r>
        <w:rPr>
          <w:rFonts w:hint="default" w:ascii="Times New Roman" w:hAnsi="Times New Roman" w:eastAsia="仿宋_GB2312" w:cs="Times New Roman"/>
          <w:color w:val="auto"/>
          <w:sz w:val="32"/>
          <w:szCs w:val="32"/>
          <w:highlight w:val="none"/>
          <w:lang w:val="en-US" w:eastAsia="zh-CN"/>
        </w:rPr>
        <w:t>金来源为</w:t>
      </w:r>
      <w:r>
        <w:rPr>
          <w:rFonts w:hint="eastAsia" w:ascii="Times New Roman" w:hAnsi="Times New Roman" w:eastAsia="仿宋_GB2312" w:cs="Times New Roman"/>
          <w:color w:val="auto"/>
          <w:sz w:val="32"/>
          <w:szCs w:val="32"/>
          <w:highlight w:val="none"/>
          <w:lang w:val="en-US" w:eastAsia="zh-CN"/>
        </w:rPr>
        <w:t>其</w:t>
      </w:r>
      <w:r>
        <w:rPr>
          <w:rFonts w:hint="eastAsia" w:ascii="Times New Roman" w:hAnsi="Times New Roman" w:eastAsia="仿宋_GB2312" w:cs="Times New Roman"/>
          <w:color w:val="auto"/>
          <w:sz w:val="32"/>
          <w:szCs w:val="32"/>
          <w:highlight w:val="none"/>
          <w:lang w:val="en-US" w:eastAsia="zh-CN"/>
        </w:rPr>
        <w:t>他资金</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25.69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85.63</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sz w:val="32"/>
          <w:szCs w:val="32"/>
          <w:highlight w:val="none"/>
          <w:lang w:val="en-US" w:eastAsia="zh-CN"/>
        </w:rPr>
        <w:t>支付项目开展进程中的各项费用。</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贯彻落实《中华人民共和国节约能源法》、《工业节能管理办法》和国家相关强制性节能标准，充分发挥节能监察的监督保障作用，持续提高工业能效和绿色发展水平，拓宽工业发展的能源资源空间，助推工业经济高质量发展，助力实现碳达峰和碳中和目标,完成国家重大工业节能专项监察任务。通过国家重大工业节能专项监察项目，提高我区工业企业绿色发展意识，提升工业绿色发展水平，促进工业能耗持续下降。</w:t>
      </w:r>
    </w:p>
    <w:p>
      <w:pPr>
        <w:widowControl/>
        <w:numPr>
          <w:ilvl w:val="0"/>
          <w:numId w:val="0"/>
        </w:numPr>
        <w:spacing w:line="54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pPr>
        <w:widowControl/>
        <w:numPr>
          <w:ilvl w:val="0"/>
          <w:numId w:val="0"/>
        </w:numPr>
        <w:spacing w:line="540" w:lineRule="exact"/>
        <w:ind w:firstLine="640" w:firstLineChars="200"/>
        <w:rPr>
          <w:rFonts w:eastAsia="仿宋_GB2312"/>
          <w:color w:val="auto"/>
          <w:sz w:val="32"/>
          <w:szCs w:val="32"/>
        </w:rPr>
      </w:pPr>
      <w:r>
        <w:rPr>
          <w:rFonts w:eastAsia="仿宋_GB2312"/>
          <w:color w:val="auto"/>
          <w:sz w:val="32"/>
          <w:szCs w:val="32"/>
        </w:rPr>
        <w:t>（1）前期准备：制定</w:t>
      </w:r>
      <w:r>
        <w:rPr>
          <w:rFonts w:hint="eastAsia" w:ascii="Times New Roman" w:hAnsi="Times New Roman" w:eastAsia="仿宋_GB2312" w:cs="Times New Roman"/>
          <w:color w:val="auto"/>
          <w:sz w:val="32"/>
          <w:szCs w:val="32"/>
          <w:lang w:val="en-US" w:eastAsia="zh-CN"/>
        </w:rPr>
        <w:t>国家重大工业节能专项监察项目</w:t>
      </w:r>
      <w:r>
        <w:rPr>
          <w:rFonts w:eastAsia="仿宋_GB2312"/>
          <w:color w:val="auto"/>
          <w:sz w:val="32"/>
          <w:szCs w:val="32"/>
        </w:rPr>
        <w:t>项目</w:t>
      </w:r>
      <w:r>
        <w:rPr>
          <w:rFonts w:hint="eastAsia" w:eastAsia="仿宋_GB2312"/>
          <w:color w:val="auto"/>
          <w:sz w:val="32"/>
          <w:szCs w:val="32"/>
          <w:lang w:val="en-US" w:eastAsia="zh-CN"/>
        </w:rPr>
        <w:t>资金使用</w:t>
      </w:r>
      <w:r>
        <w:rPr>
          <w:rFonts w:eastAsia="仿宋_GB2312"/>
          <w:color w:val="auto"/>
          <w:sz w:val="32"/>
          <w:szCs w:val="32"/>
        </w:rPr>
        <w:t>方案，经</w:t>
      </w:r>
      <w:r>
        <w:rPr>
          <w:rFonts w:hint="eastAsia" w:eastAsia="仿宋_GB2312"/>
          <w:color w:val="auto"/>
          <w:sz w:val="32"/>
          <w:szCs w:val="32"/>
          <w:lang w:val="en-US" w:eastAsia="zh-CN"/>
        </w:rPr>
        <w:t>单位</w:t>
      </w:r>
      <w:r>
        <w:rPr>
          <w:rFonts w:eastAsia="仿宋_GB2312"/>
          <w:color w:val="auto"/>
          <w:sz w:val="32"/>
          <w:szCs w:val="32"/>
        </w:rPr>
        <w:t>负责人审核通过后，有序开展后续工作。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lang w:eastAsia="zh-CN"/>
        </w:rPr>
      </w:pPr>
      <w:r>
        <w:rPr>
          <w:rFonts w:eastAsia="仿宋_GB2312"/>
          <w:color w:val="auto"/>
          <w:sz w:val="32"/>
          <w:szCs w:val="32"/>
        </w:rPr>
        <w:t>（2）组织实施：根据制定</w:t>
      </w:r>
      <w:r>
        <w:rPr>
          <w:rFonts w:hint="eastAsia" w:eastAsia="仿宋_GB2312"/>
          <w:color w:val="auto"/>
          <w:sz w:val="32"/>
          <w:szCs w:val="32"/>
          <w:lang w:val="en-US" w:eastAsia="zh-CN"/>
        </w:rPr>
        <w:t>的</w:t>
      </w:r>
      <w:r>
        <w:rPr>
          <w:rFonts w:hint="eastAsia" w:ascii="Times New Roman" w:hAnsi="Times New Roman" w:eastAsia="仿宋_GB2312" w:cs="Times New Roman"/>
          <w:color w:val="auto"/>
          <w:sz w:val="32"/>
          <w:szCs w:val="32"/>
          <w:lang w:val="en-US" w:eastAsia="zh-CN"/>
        </w:rPr>
        <w:t>国家重大工业节能专项监察项目</w:t>
      </w:r>
      <w:r>
        <w:rPr>
          <w:rFonts w:eastAsia="仿宋_GB2312"/>
          <w:color w:val="auto"/>
          <w:sz w:val="32"/>
          <w:szCs w:val="32"/>
        </w:rPr>
        <w:t>项目</w:t>
      </w:r>
      <w:r>
        <w:rPr>
          <w:rFonts w:hint="eastAsia" w:eastAsia="仿宋_GB2312"/>
          <w:color w:val="auto"/>
          <w:sz w:val="32"/>
          <w:szCs w:val="32"/>
          <w:lang w:val="en-US" w:eastAsia="zh-CN"/>
        </w:rPr>
        <w:t>资金使用</w:t>
      </w:r>
      <w:r>
        <w:rPr>
          <w:rFonts w:eastAsia="仿宋_GB2312"/>
          <w:color w:val="auto"/>
          <w:sz w:val="32"/>
          <w:szCs w:val="32"/>
        </w:rPr>
        <w:t>方案</w:t>
      </w:r>
      <w:r>
        <w:rPr>
          <w:rFonts w:hint="eastAsia" w:eastAsia="仿宋_GB2312"/>
          <w:color w:val="auto"/>
          <w:sz w:val="32"/>
          <w:szCs w:val="32"/>
          <w:lang w:eastAsia="zh-CN"/>
        </w:rPr>
        <w:t>，</w:t>
      </w:r>
      <w:r>
        <w:rPr>
          <w:rFonts w:eastAsia="仿宋_GB2312"/>
          <w:color w:val="auto"/>
          <w:sz w:val="32"/>
          <w:szCs w:val="32"/>
        </w:rPr>
        <w:t>项目责任人按照</w:t>
      </w:r>
      <w:r>
        <w:rPr>
          <w:rFonts w:hint="eastAsia" w:eastAsia="仿宋_GB2312"/>
          <w:color w:val="auto"/>
          <w:sz w:val="32"/>
          <w:szCs w:val="32"/>
          <w:lang w:val="en-US" w:eastAsia="zh-CN"/>
        </w:rPr>
        <w:t>2024</w:t>
      </w:r>
      <w:r>
        <w:rPr>
          <w:rStyle w:val="20"/>
          <w:rFonts w:hint="eastAsia" w:ascii="仿宋" w:hAnsi="仿宋" w:eastAsia="仿宋"/>
          <w:b w:val="0"/>
          <w:bCs/>
          <w:color w:val="auto"/>
          <w:spacing w:val="-4"/>
          <w:sz w:val="32"/>
          <w:szCs w:val="32"/>
          <w:shd w:val="clear" w:color="auto" w:fill="FFFFFF"/>
          <w:lang w:val="en-US" w:eastAsia="zh-CN"/>
        </w:rPr>
        <w:t>年度工作计划，逐月逐季开展下述工作：</w:t>
      </w:r>
      <w:r>
        <w:rPr>
          <w:rFonts w:hint="eastAsia" w:eastAsia="仿宋_GB2312"/>
          <w:color w:val="auto"/>
          <w:sz w:val="32"/>
          <w:szCs w:val="32"/>
          <w:lang w:val="en-US" w:eastAsia="zh-CN"/>
        </w:rPr>
        <w:t>对重点用能企业进行现场监察、节约能源法律法规知识宣讲及服务、编制完成相关行业的监察报告</w:t>
      </w:r>
      <w:r>
        <w:rPr>
          <w:rFonts w:eastAsia="仿宋_GB2312"/>
          <w:color w:val="auto"/>
          <w:sz w:val="32"/>
          <w:szCs w:val="32"/>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kern w:val="2"/>
          <w:sz w:val="32"/>
          <w:szCs w:val="32"/>
          <w:highlight w:val="none"/>
          <w:lang w:val="en-US" w:eastAsia="zh-CN" w:bidi="ar-SA"/>
        </w:rPr>
        <w:t>国家重大工业节能专项监察项目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新疆维吾尔自治区节能监察总队</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完成自治区节能监察任务</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25.69</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6"/>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6"/>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6"/>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6"/>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国家重大工业节能专项监察项目</w:t>
      </w:r>
      <w:r>
        <w:rPr>
          <w:rFonts w:hint="default" w:ascii="Times New Roman" w:hAnsi="Times New Roman" w:eastAsia="仿宋_GB2312" w:cs="Times New Roman"/>
          <w:sz w:val="32"/>
          <w:szCs w:val="32"/>
          <w:highlight w:val="none"/>
        </w:rPr>
        <w:t>在重点用能企业节能监察数量、节约能源法律法规知识宣传及服务指导企业数等方面表现出色，达到了预期的标准与要求。同时，项目也在</w:t>
      </w:r>
      <w:r>
        <w:rPr>
          <w:rFonts w:hint="default" w:ascii="Times New Roman" w:hAnsi="Times New Roman" w:eastAsia="仿宋_GB2312" w:cs="Times New Roman"/>
          <w:color w:val="auto"/>
          <w:sz w:val="32"/>
          <w:szCs w:val="32"/>
          <w:highlight w:val="none"/>
        </w:rPr>
        <w:t>重点用能企业节能监察数量合格率</w:t>
      </w:r>
      <w:r>
        <w:rPr>
          <w:rFonts w:hint="default" w:ascii="Times New Roman" w:hAnsi="Times New Roman" w:eastAsia="仿宋_GB2312" w:cs="Times New Roman"/>
          <w:sz w:val="32"/>
          <w:szCs w:val="32"/>
          <w:highlight w:val="none"/>
        </w:rPr>
        <w:t>取得了显著的成效，如节约能源法律法规知识宣传及服务指导活动完成率、编制完成监察报告数量合格率等。</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在项目管理方面，国家重大工业节能专项监察项目通过有效的规划、组织与协调，项目得以顺利实施，并在预算与时间上保持了良好的控制。</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等方面产生了积极的影响。具体而言，提升企业节能意识等方面的提升，为项目的利益相关者带来了实实在在的利益。</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国家重大工业节能专项监察项目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91</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16</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75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8"/>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91</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6"/>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80</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6"/>
        <w:numPr>
          <w:ilvl w:val="0"/>
          <w:numId w:val="5"/>
        </w:numPr>
        <w:spacing w:before="0" w:after="0" w:line="560" w:lineRule="exact"/>
        <w:ind w:left="-13" w:leftChars="0" w:firstLine="642" w:firstLineChars="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w:t>
      </w:r>
      <w:r>
        <w:rPr>
          <w:rFonts w:hint="default" w:ascii="Times New Roman" w:hAnsi="Times New Roman" w:eastAsia="仿宋_GB2312" w:cs="Times New Roman"/>
          <w:sz w:val="32"/>
          <w:szCs w:val="32"/>
          <w:highlight w:val="none"/>
          <w:lang w:val="en-US" w:eastAsia="zh-CN"/>
        </w:rPr>
        <w:t>程类指标包括资金管理和组织实施两方面的内容，由5个三级指标构成，权重分值为20分，实际得分</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75</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w:t>
      </w:r>
      <w:r>
        <w:rPr>
          <w:rFonts w:hint="default" w:ascii="Times New Roman" w:hAnsi="Times New Roman" w:eastAsia="仿宋_GB2312" w:cs="Times New Roman"/>
          <w:sz w:val="32"/>
          <w:szCs w:val="32"/>
          <w:lang w:val="en-US" w:eastAsia="zh-CN"/>
        </w:rPr>
        <w:t>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25.69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85.63</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6"/>
        <w:numPr>
          <w:ilvl w:val="0"/>
          <w:numId w:val="5"/>
        </w:numPr>
        <w:spacing w:line="560" w:lineRule="exact"/>
        <w:ind w:left="-13" w:leftChars="0" w:firstLine="643" w:firstLineChars="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39.2</w:t>
      </w:r>
      <w:r>
        <w:rPr>
          <w:rFonts w:hint="default" w:ascii="Times New Roman" w:hAnsi="Times New Roman" w:eastAsia="仿宋_GB2312" w:cs="Times New Roman"/>
          <w:sz w:val="32"/>
          <w:szCs w:val="32"/>
          <w:highlight w:val="none"/>
          <w:lang w:val="en-US" w:eastAsia="zh-CN"/>
        </w:rPr>
        <w:t>分，</w:t>
      </w:r>
      <w:commentRangeStart w:id="0"/>
      <w:r>
        <w:rPr>
          <w:rFonts w:hint="default" w:ascii="Times New Roman" w:hAnsi="Times New Roman" w:eastAsia="仿宋_GB2312" w:cs="Times New Roman"/>
          <w:sz w:val="32"/>
          <w:szCs w:val="32"/>
          <w:highlight w:val="none"/>
          <w:lang w:val="en-US" w:eastAsia="zh-CN"/>
        </w:rPr>
        <w:t>得分率为</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lang w:val="en-US" w:eastAsia="zh-CN"/>
        </w:rPr>
        <w:t>%</w:t>
      </w:r>
      <w:commentRangeEnd w:id="0"/>
      <w:r>
        <w:commentReference w:id="0"/>
      </w:r>
      <w:r>
        <w:rPr>
          <w:rFonts w:hint="default" w:ascii="Times New Roman" w:hAnsi="Times New Roman" w:eastAsia="仿宋_GB2312" w:cs="Times New Roman"/>
          <w:sz w:val="32"/>
          <w:szCs w:val="32"/>
          <w:highlight w:val="none"/>
          <w:lang w:val="en-US" w:eastAsia="zh-CN"/>
        </w:rPr>
        <w:t>。具体产出指标完成</w:t>
      </w:r>
      <w:r>
        <w:rPr>
          <w:rFonts w:hint="default" w:ascii="Times New Roman" w:hAnsi="Times New Roman" w:eastAsia="仿宋_GB2312" w:cs="Times New Roman"/>
          <w:sz w:val="32"/>
          <w:szCs w:val="32"/>
          <w:lang w:val="en-US" w:eastAsia="zh-CN"/>
        </w:rPr>
        <w:t>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 xml:space="preserve">指标1： </w:t>
      </w:r>
      <w:r>
        <w:rPr>
          <w:rFonts w:hint="eastAsia" w:ascii="仿宋_GB2312" w:hAnsi="仿宋_GB2312" w:eastAsia="仿宋_GB2312" w:cs="仿宋_GB2312"/>
          <w:sz w:val="32"/>
          <w:szCs w:val="32"/>
          <w:highlight w:val="none"/>
        </w:rPr>
        <w:t>重点用能企业节能监察数量</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sz w:val="32"/>
          <w:szCs w:val="32"/>
          <w:highlight w:val="none"/>
        </w:rPr>
        <w:t>&gt;=</w:t>
      </w:r>
      <w:r>
        <w:rPr>
          <w:rFonts w:hint="eastAsia" w:ascii="仿宋_GB2312" w:hAnsi="仿宋_GB2312" w:eastAsia="仿宋_GB2312" w:cs="仿宋_GB2312"/>
          <w:sz w:val="32"/>
          <w:szCs w:val="32"/>
          <w:highlight w:val="none"/>
          <w:lang w:val="en-US" w:eastAsia="zh-CN"/>
        </w:rPr>
        <w:t>60</w:t>
      </w:r>
      <w:r>
        <w:rPr>
          <w:rFonts w:hint="eastAsia" w:ascii="仿宋_GB2312" w:hAnsi="仿宋_GB2312" w:eastAsia="仿宋_GB2312" w:cs="仿宋_GB2312"/>
          <w:sz w:val="32"/>
          <w:szCs w:val="32"/>
          <w:highlight w:val="none"/>
        </w:rPr>
        <w:t>家</w:t>
      </w:r>
      <w:r>
        <w:rPr>
          <w:rFonts w:hint="default" w:ascii="Times New Roman" w:hAnsi="Times New Roman" w:eastAsia="仿宋_GB2312" w:cs="Times New Roman"/>
          <w:sz w:val="32"/>
          <w:szCs w:val="32"/>
          <w:highlight w:val="none"/>
        </w:rPr>
        <w:t>，实际完成值：</w:t>
      </w:r>
      <w:r>
        <w:rPr>
          <w:rFonts w:hint="eastAsia" w:ascii="仿宋_GB2312" w:hAnsi="仿宋_GB2312" w:eastAsia="仿宋_GB2312" w:cs="仿宋_GB2312"/>
          <w:sz w:val="32"/>
          <w:szCs w:val="32"/>
          <w:highlight w:val="none"/>
          <w:lang w:val="en-US" w:eastAsia="zh-CN"/>
        </w:rPr>
        <w:t>63家</w:t>
      </w:r>
      <w:r>
        <w:rPr>
          <w:rFonts w:hint="default" w:ascii="Times New Roman" w:hAnsi="Times New Roman" w:eastAsia="仿宋_GB2312" w:cs="Times New Roman"/>
          <w:sz w:val="32"/>
          <w:szCs w:val="32"/>
          <w:highlight w:val="none"/>
        </w:rPr>
        <w:t>，指标完成率</w:t>
      </w:r>
      <w:r>
        <w:rPr>
          <w:rFonts w:hint="eastAsia" w:ascii="仿宋_GB2312" w:hAnsi="仿宋_GB2312" w:eastAsia="仿宋_GB2312" w:cs="仿宋_GB2312"/>
          <w:sz w:val="32"/>
          <w:szCs w:val="32"/>
          <w:highlight w:val="none"/>
          <w:lang w:val="en-US" w:eastAsia="zh-CN"/>
        </w:rPr>
        <w:t>105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节约能源法律法规知识宣传及服务指导企业数，</w:t>
      </w:r>
      <w:r>
        <w:rPr>
          <w:rFonts w:hint="eastAsia" w:ascii="仿宋_GB2312" w:hAnsi="仿宋_GB2312" w:eastAsia="仿宋_GB2312" w:cs="仿宋_GB2312"/>
          <w:sz w:val="32"/>
          <w:szCs w:val="32"/>
          <w:highlight w:val="none"/>
        </w:rPr>
        <w:t>指标值：&gt;=</w:t>
      </w:r>
      <w:r>
        <w:rPr>
          <w:rFonts w:hint="eastAsia" w:ascii="仿宋_GB2312" w:hAnsi="仿宋_GB2312" w:eastAsia="仿宋_GB2312" w:cs="仿宋_GB2312"/>
          <w:sz w:val="32"/>
          <w:szCs w:val="32"/>
          <w:highlight w:val="none"/>
          <w:lang w:val="en-US" w:eastAsia="zh-CN"/>
        </w:rPr>
        <w:t>60</w:t>
      </w:r>
      <w:r>
        <w:rPr>
          <w:rFonts w:hint="eastAsia" w:ascii="仿宋_GB2312" w:hAnsi="仿宋_GB2312" w:eastAsia="仿宋_GB2312" w:cs="仿宋_GB2312"/>
          <w:sz w:val="32"/>
          <w:szCs w:val="32"/>
          <w:highlight w:val="none"/>
        </w:rPr>
        <w:t>家，实际完成值：</w:t>
      </w:r>
      <w:r>
        <w:rPr>
          <w:rFonts w:hint="eastAsia" w:ascii="仿宋_GB2312" w:hAnsi="仿宋_GB2312" w:eastAsia="仿宋_GB2312" w:cs="仿宋_GB2312"/>
          <w:sz w:val="32"/>
          <w:szCs w:val="32"/>
          <w:highlight w:val="none"/>
          <w:lang w:val="en-US" w:eastAsia="zh-CN"/>
        </w:rPr>
        <w:t>60家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指标1：重点用能企业节能监察数量合格率，指标值：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节约能源法律法规知识宣传及服务指导活动完成率，指标值：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lang w:val="en-US" w:eastAsia="zh-CN"/>
        </w:rPr>
        <w:t>指标3：</w:t>
      </w:r>
      <w:r>
        <w:rPr>
          <w:rFonts w:hint="eastAsia" w:ascii="仿宋_GB2312" w:hAnsi="仿宋_GB2312" w:eastAsia="仿宋_GB2312" w:cs="仿宋_GB2312"/>
          <w:sz w:val="32"/>
          <w:szCs w:val="32"/>
          <w:highlight w:val="none"/>
        </w:rPr>
        <w:t>编制完成监察报告数量合格率，指标值：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指标1：节能监察报告按时完成率，指标值：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指标1：监察执法（督查）人员出差差旅费，指标值：&lt;=</w:t>
      </w:r>
      <w:r>
        <w:rPr>
          <w:rFonts w:hint="eastAsia" w:ascii="仿宋_GB2312" w:hAnsi="仿宋_GB2312" w:eastAsia="仿宋_GB2312" w:cs="仿宋_GB2312"/>
          <w:sz w:val="32"/>
          <w:szCs w:val="32"/>
          <w:highlight w:val="none"/>
          <w:lang w:val="en-US" w:eastAsia="zh-CN"/>
        </w:rPr>
        <w:t>20万元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6.16万元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30.8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偏差原因：预算指标的填报不精准，与实际实施存在偏差，日后更加精细化填报预算指标。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监察执法聘用专家咨询费，指标值：</w:t>
      </w:r>
      <w:r>
        <w:rPr>
          <w:rFonts w:hint="eastAsia" w:ascii="仿宋_GB2312" w:hAnsi="仿宋_GB2312" w:eastAsia="仿宋_GB2312" w:cs="仿宋_GB2312"/>
          <w:sz w:val="32"/>
          <w:szCs w:val="32"/>
          <w:highlight w:val="none"/>
          <w:lang w:val="en-US" w:eastAsia="zh-CN"/>
        </w:rPr>
        <w:t>&lt;=1.5万元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：监察执法车辆租赁费，指标值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&lt;=</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万元，实际完成值：</w:t>
      </w:r>
      <w:r>
        <w:rPr>
          <w:rFonts w:hint="eastAsia" w:ascii="仿宋_GB2312" w:hAnsi="仿宋_GB2312" w:eastAsia="仿宋_GB2312" w:cs="仿宋_GB2312"/>
          <w:sz w:val="32"/>
          <w:szCs w:val="32"/>
          <w:highlight w:val="none"/>
          <w:lang w:val="en-US" w:eastAsia="zh-CN"/>
        </w:rPr>
        <w:t>17.25万元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287.50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偏差原因：预算指标的填报不精准，与实际实施存在偏差，日后更加精细化填报预算指标。</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：用于监察工作产生资料、书籍费，指标值&lt;=</w:t>
      </w:r>
      <w:r>
        <w:rPr>
          <w:rFonts w:hint="eastAsia" w:ascii="仿宋_GB2312" w:hAnsi="仿宋_GB2312" w:eastAsia="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万元，实际完成值：</w:t>
      </w:r>
      <w:r>
        <w:rPr>
          <w:rFonts w:hint="eastAsia" w:ascii="仿宋_GB2312" w:hAnsi="仿宋_GB2312" w:eastAsia="仿宋_GB2312" w:cs="仿宋_GB2312"/>
          <w:sz w:val="32"/>
          <w:szCs w:val="32"/>
          <w:highlight w:val="none"/>
          <w:lang w:val="en-US" w:eastAsia="zh-CN"/>
        </w:rPr>
        <w:t>1.05万元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42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偏差原因：预算指标的填报不精准，与实际实施存在偏差，日后更加精细化填报预算指标。</w:t>
      </w:r>
    </w:p>
    <w:p>
      <w:pPr>
        <w:pStyle w:val="6"/>
        <w:numPr>
          <w:ilvl w:val="0"/>
          <w:numId w:val="5"/>
        </w:numPr>
        <w:spacing w:line="560" w:lineRule="exact"/>
        <w:ind w:left="-13" w:leftChars="0" w:firstLine="643" w:firstLineChars="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指标1：提升企业节能意识，指标值：</w:t>
      </w:r>
      <w:r>
        <w:rPr>
          <w:rFonts w:hint="eastAsia" w:ascii="仿宋_GB2312" w:hAnsi="仿宋_GB2312" w:eastAsia="仿宋_GB2312" w:cs="仿宋_GB2312"/>
          <w:sz w:val="32"/>
          <w:szCs w:val="32"/>
          <w:highlight w:val="none"/>
          <w:lang w:val="en-US" w:eastAsia="zh-CN"/>
        </w:rPr>
        <w:t>有效提升</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有效提升</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：编制完成监察报告数量，指标值：&gt;=</w:t>
      </w:r>
      <w:r>
        <w:rPr>
          <w:rFonts w:hint="eastAsia" w:ascii="仿宋_GB2312" w:hAnsi="仿宋_GB2312" w:eastAsia="仿宋_GB2312" w:cs="仿宋_GB2312"/>
          <w:color w:val="auto"/>
          <w:sz w:val="32"/>
          <w:szCs w:val="32"/>
          <w:highlight w:val="none"/>
          <w:lang w:val="en-US" w:eastAsia="zh-CN"/>
        </w:rPr>
        <w:t>60份</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63份</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指标1：用能企业人员满意度，指标值：</w:t>
      </w:r>
      <w:r>
        <w:rPr>
          <w:rFonts w:hint="eastAsia" w:ascii="仿宋_GB2312" w:hAnsi="仿宋_GB2312" w:eastAsia="仿宋_GB2312" w:cs="仿宋_GB2312"/>
          <w:sz w:val="32"/>
          <w:szCs w:val="32"/>
          <w:highlight w:val="none"/>
          <w:lang w:val="en-US" w:eastAsia="zh-CN"/>
        </w:rPr>
        <w:t>&gt;=95%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shd w:val="clear"/>
        <w:spacing w:line="600" w:lineRule="exact"/>
        <w:ind w:firstLine="640" w:firstLineChars="200"/>
        <w:outlineLvl w:val="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国家重大工业节能专项监察项目年初预算30万元，全年预算30万元，实际支出20.69万元，预算执行率为85.63%，项目绩效指标总体完成率为102.59%，</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偏差率为2.59%，</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w:t>
      </w:r>
      <w:r>
        <w:rPr>
          <w:rFonts w:hint="eastAsia" w:ascii="仿宋_GB2312" w:hAnsi="仿宋_GB2312" w:eastAsia="仿宋_GB2312" w:cs="仿宋_GB2312"/>
          <w:sz w:val="32"/>
          <w:szCs w:val="32"/>
          <w:highlight w:val="none"/>
          <w:lang w:val="en-US" w:eastAsia="zh-CN"/>
        </w:rPr>
        <w:t>预算指标的填报时</w:t>
      </w:r>
      <w:r>
        <w:rPr>
          <w:rFonts w:hint="eastAsia" w:ascii="仿宋_GB2312" w:hAnsi="仿宋_GB2312" w:eastAsia="仿宋_GB2312" w:cs="仿宋_GB2312"/>
          <w:sz w:val="32"/>
          <w:szCs w:val="32"/>
          <w:highlight w:val="none"/>
        </w:rPr>
        <w:t>资金分配额度</w:t>
      </w:r>
      <w:r>
        <w:rPr>
          <w:rFonts w:hint="eastAsia" w:ascii="仿宋_GB2312" w:hAnsi="仿宋_GB2312" w:eastAsia="仿宋_GB2312" w:cs="仿宋_GB2312"/>
          <w:sz w:val="32"/>
          <w:szCs w:val="32"/>
          <w:highlight w:val="none"/>
          <w:lang w:val="en-US" w:eastAsia="zh-CN"/>
        </w:rPr>
        <w:t>不合理，</w:t>
      </w:r>
      <w:r>
        <w:rPr>
          <w:rFonts w:hint="eastAsia" w:ascii="仿宋_GB2312" w:hAnsi="仿宋_GB2312" w:eastAsia="仿宋_GB2312" w:cs="仿宋_GB2312"/>
          <w:sz w:val="32"/>
          <w:szCs w:val="32"/>
          <w:highlight w:val="none"/>
        </w:rPr>
        <w:t>与项目实际</w:t>
      </w:r>
      <w:r>
        <w:rPr>
          <w:rFonts w:hint="eastAsia" w:ascii="仿宋_GB2312" w:hAnsi="仿宋_GB2312" w:eastAsia="仿宋_GB2312" w:cs="仿宋_GB2312"/>
          <w:sz w:val="32"/>
          <w:szCs w:val="32"/>
          <w:highlight w:val="none"/>
          <w:lang w:val="en-US" w:eastAsia="zh-CN"/>
        </w:rPr>
        <w:t>支出不相符</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措施填报预算时</w:t>
      </w: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spacing w:line="560" w:lineRule="exact"/>
        <w:ind w:firstLine="640" w:firstLineChars="200"/>
        <w:rPr>
          <w:rStyle w:val="22"/>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6"/>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w:t>
      </w:r>
      <w:bookmarkStart w:id="3" w:name="_GoBack"/>
      <w:bookmarkEnd w:id="3"/>
      <w:r>
        <w:rPr>
          <w:rFonts w:hint="default" w:ascii="Times New Roman" w:hAnsi="Times New Roman" w:eastAsia="仿宋_GB2312" w:cs="Times New Roman"/>
          <w:sz w:val="32"/>
          <w:szCs w:val="32"/>
          <w:highlight w:val="none"/>
          <w:lang w:val="en-US" w:eastAsia="zh-CN"/>
        </w:rPr>
        <w:t>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2"/>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2"/>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spacing w:line="540" w:lineRule="exact"/>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kern w:val="0"/>
          <w:sz w:val="28"/>
          <w:szCs w:val="40"/>
          <w:lang w:val="en-US" w:eastAsia="zh-CN" w:bidi="ar-SA"/>
        </w:rPr>
        <w:t>国家重大工业节能专项监察项目</w:t>
      </w:r>
      <w:r>
        <w:rPr>
          <w:rFonts w:hint="eastAsia" w:ascii="仿宋_GB2312" w:hAnsi="仿宋_GB2312" w:eastAsia="仿宋_GB2312" w:cs="仿宋_GB2312"/>
          <w:b/>
          <w:bCs/>
          <w:sz w:val="28"/>
          <w:szCs w:val="40"/>
        </w:rPr>
        <w:t>绩效评价指标体系及综合评分表</w:t>
      </w:r>
      <w:bookmarkEnd w:id="1"/>
      <w:bookmarkEnd w:id="2"/>
    </w:p>
    <w:tbl>
      <w:tblPr>
        <w:tblStyle w:val="18"/>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r>
        <w:commentReference w:id="1"/>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8"/>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568"/>
        <w:gridCol w:w="1065"/>
        <w:gridCol w:w="2175"/>
        <w:gridCol w:w="968"/>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68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国家重大工业节能专项监察项目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6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rPr>
              <w:t>新疆维吾尔自治区</w:t>
            </w:r>
            <w:r>
              <w:rPr>
                <w:rFonts w:hint="eastAsia" w:ascii="仿宋_GB2312" w:hAnsi="仿宋_GB2312" w:eastAsia="仿宋_GB2312" w:cs="仿宋_GB2312"/>
                <w:i w:val="0"/>
                <w:iCs w:val="0"/>
                <w:color w:val="000000"/>
                <w:sz w:val="18"/>
                <w:szCs w:val="18"/>
                <w:u w:val="none"/>
                <w:lang w:val="en-US" w:eastAsia="zh-CN"/>
              </w:rPr>
              <w:t>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4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32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4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25.69</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85.63%</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2" w:hRule="atLeast"/>
        </w:trPr>
        <w:tc>
          <w:tcPr>
            <w:tcW w:w="14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14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4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96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25.69</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为贯彻落实《中华人民共和国节约能源法》、《工业节能管理办法》和国家相关强制性节能标准，充分发挥节能监察的监督保障作用，持续提高工业能效和绿色发展水平，拓宽工业发展的能源资源空间，助推工业经济高质量发展，助力实现碳达峰和碳中和目标,完成国家重大工业节能专项监察任务。通过国家重大工业节能专项监察项目，提高我区工业企业绿色发展意识，提升工业绿色发展水平，促进工业能耗持续下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通过完成重点用能企业节能监察数量60余家，提高我区工业企业绿色发展意识，提升工业绿色发展水平，促进工业能耗持续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2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175"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重点用能企业节能监察数量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&gt;=60家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≥80家</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=63家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105</w:t>
            </w:r>
            <w:r>
              <w:rPr>
                <w:rFonts w:hint="eastAsia" w:ascii="宋体" w:hAnsi="宋体" w:cs="宋体"/>
                <w:i w:val="0"/>
                <w:iCs w:val="0"/>
                <w:color w:val="000000"/>
                <w:kern w:val="0"/>
                <w:sz w:val="18"/>
                <w:szCs w:val="18"/>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8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节约能源法律法规知识宣传及服务指导企业数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&gt;=60家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≥80家</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=63家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r>
              <w:rPr>
                <w:rFonts w:hint="eastAsia" w:ascii="宋体" w:hAnsi="宋体" w:cs="宋体"/>
                <w:i w:val="0"/>
                <w:iCs w:val="0"/>
                <w:color w:val="000000"/>
                <w:kern w:val="0"/>
                <w:sz w:val="18"/>
                <w:szCs w:val="18"/>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重点用能企业节能监察数量合格率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节约能源法律法规知识宣传及服务指导活动完成率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编制完成监察报告数量合格率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节能监察报告按时完成率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监察执法（督查）人员出差差旅费</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&lt;=20万元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≤34万元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=6.16万元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监察执法聘用专家咨询费</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&lt;=1.5万元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监察执法车辆租赁费</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&lt;=6万元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=17.25万元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287.5%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用于监察工作产生资料、书籍费</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&lt;=2.5万元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≤3.3万元</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提升企业节能意识</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有效提升</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有效提升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编制完成监察报告数量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&gt;=60份</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≥80份</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=63份</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r>
              <w:rPr>
                <w:rFonts w:hint="eastAsia" w:ascii="宋体" w:hAnsi="宋体" w:cs="宋体"/>
                <w:i w:val="0"/>
                <w:iCs w:val="0"/>
                <w:color w:val="000000"/>
                <w:kern w:val="0"/>
                <w:sz w:val="18"/>
                <w:szCs w:val="18"/>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65"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被监察企业满意度</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被监察企业满意度</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4725"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82.26分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3" w:right="1440" w:bottom="1134" w:left="1440" w:header="851" w:footer="992" w:gutter="0"/>
      <w:cols w:space="0" w:num="1"/>
      <w:rtlGutter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5-08-25T16:35:32Z" w:initials="">
    <w:p w14:paraId="03313775">
      <w:pPr>
        <w:pStyle w:val="12"/>
        <w:rPr>
          <w:rFonts w:hint="default" w:eastAsia="宋体"/>
          <w:lang w:val="en-US" w:eastAsia="zh-CN"/>
        </w:rPr>
      </w:pPr>
      <w:r>
        <w:rPr>
          <w:rFonts w:hint="eastAsia"/>
          <w:lang w:val="en-US" w:eastAsia="zh-CN"/>
        </w:rPr>
        <w:t>自评表中有偏差原因，但在这里并未扣分。</w:t>
      </w:r>
    </w:p>
  </w:comment>
  <w:comment w:id="1" w:author="微信用户" w:date="2025-08-25T16:13:31Z" w:initials="">
    <w:p w14:paraId="613F1ED8">
      <w:pPr>
        <w:pStyle w:val="12"/>
        <w:rPr>
          <w:rFonts w:hint="default" w:eastAsia="宋体"/>
          <w:lang w:val="en-US" w:eastAsia="zh-CN"/>
        </w:rPr>
      </w:pPr>
      <w:r>
        <w:rPr>
          <w:rFonts w:hint="eastAsia"/>
          <w:lang w:val="en-US" w:eastAsia="zh-CN"/>
        </w:rPr>
        <w:t>与自评表不一致，建议核实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313775" w15:done="0"/>
  <w15:commentEx w15:paraId="613F1ED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4"/>
          <w:jc w:val="center"/>
        </w:pPr>
        <w:r>
          <w:fldChar w:fldCharType="begin"/>
        </w:r>
        <w:r>
          <w:instrText xml:space="preserve">PAGE   \* MERGEFORMAT</w:instrText>
        </w:r>
        <w:r>
          <w:fldChar w:fldCharType="separate"/>
        </w:r>
        <w:r>
          <w:rPr>
            <w:lang w:val="zh-CN"/>
          </w:rPr>
          <w:t>13</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55C73DF5"/>
    <w:multiLevelType w:val="singleLevel"/>
    <w:tmpl w:val="55C73DF5"/>
    <w:lvl w:ilvl="0" w:tentative="0">
      <w:start w:val="1"/>
      <w:numFmt w:val="decimal"/>
      <w:pStyle w:val="5"/>
      <w:lvlText w:val="%1."/>
      <w:lvlJc w:val="left"/>
      <w:pPr>
        <w:tabs>
          <w:tab w:val="left" w:pos="2040"/>
        </w:tabs>
        <w:ind w:left="2040" w:hanging="360"/>
      </w:pPr>
    </w:lvl>
  </w:abstractNum>
  <w:abstractNum w:abstractNumId="5">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10337325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9683E86"/>
    <w:rsid w:val="0AD007F3"/>
    <w:rsid w:val="0BFB26CA"/>
    <w:rsid w:val="0E3C619F"/>
    <w:rsid w:val="0F042D26"/>
    <w:rsid w:val="0FC05CBE"/>
    <w:rsid w:val="11170296"/>
    <w:rsid w:val="13471461"/>
    <w:rsid w:val="13B90F01"/>
    <w:rsid w:val="155E4C4D"/>
    <w:rsid w:val="17462648"/>
    <w:rsid w:val="181066D2"/>
    <w:rsid w:val="1C671E73"/>
    <w:rsid w:val="1D1125A5"/>
    <w:rsid w:val="1D322C47"/>
    <w:rsid w:val="23616034"/>
    <w:rsid w:val="23D4607E"/>
    <w:rsid w:val="24480FA2"/>
    <w:rsid w:val="25227A45"/>
    <w:rsid w:val="26AC3A6A"/>
    <w:rsid w:val="26FB055B"/>
    <w:rsid w:val="281178FD"/>
    <w:rsid w:val="29E116F0"/>
    <w:rsid w:val="2B9D7E25"/>
    <w:rsid w:val="2C7C7A3B"/>
    <w:rsid w:val="2EFC0D68"/>
    <w:rsid w:val="2F364819"/>
    <w:rsid w:val="2FD63906"/>
    <w:rsid w:val="33D65759"/>
    <w:rsid w:val="37215DAE"/>
    <w:rsid w:val="38CA40DD"/>
    <w:rsid w:val="38E82D75"/>
    <w:rsid w:val="395F2B56"/>
    <w:rsid w:val="3B866538"/>
    <w:rsid w:val="3BBA0580"/>
    <w:rsid w:val="3BECE841"/>
    <w:rsid w:val="3CDE204C"/>
    <w:rsid w:val="3D363C36"/>
    <w:rsid w:val="3E5531CC"/>
    <w:rsid w:val="3E9C3F6D"/>
    <w:rsid w:val="3FF7797D"/>
    <w:rsid w:val="46690BD8"/>
    <w:rsid w:val="49F70BF1"/>
    <w:rsid w:val="4B4340EE"/>
    <w:rsid w:val="4B9F639D"/>
    <w:rsid w:val="4BF06537"/>
    <w:rsid w:val="503D507A"/>
    <w:rsid w:val="51FA74D0"/>
    <w:rsid w:val="52AA4A52"/>
    <w:rsid w:val="59943D66"/>
    <w:rsid w:val="59E051FD"/>
    <w:rsid w:val="59E6355E"/>
    <w:rsid w:val="5A9A6E12"/>
    <w:rsid w:val="5A9B16FB"/>
    <w:rsid w:val="5B821531"/>
    <w:rsid w:val="5BFF6039"/>
    <w:rsid w:val="5D76A616"/>
    <w:rsid w:val="5D7F20B9"/>
    <w:rsid w:val="5DAC7D0E"/>
    <w:rsid w:val="5F98B5AF"/>
    <w:rsid w:val="5FFE8511"/>
    <w:rsid w:val="5FFEACE2"/>
    <w:rsid w:val="609D5BF6"/>
    <w:rsid w:val="61073070"/>
    <w:rsid w:val="61B9080E"/>
    <w:rsid w:val="61DF3FED"/>
    <w:rsid w:val="642B176B"/>
    <w:rsid w:val="643EE26D"/>
    <w:rsid w:val="646E728E"/>
    <w:rsid w:val="656019A0"/>
    <w:rsid w:val="65F242EE"/>
    <w:rsid w:val="65F27B16"/>
    <w:rsid w:val="666D7E19"/>
    <w:rsid w:val="68376930"/>
    <w:rsid w:val="68F91E38"/>
    <w:rsid w:val="69767E03"/>
    <w:rsid w:val="69AB6A9A"/>
    <w:rsid w:val="6B3158B9"/>
    <w:rsid w:val="6BA02A3F"/>
    <w:rsid w:val="6C1E5A53"/>
    <w:rsid w:val="6DD20F3C"/>
    <w:rsid w:val="6DE26263"/>
    <w:rsid w:val="6F5C41AC"/>
    <w:rsid w:val="6FA44B26"/>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FFFDD0"/>
    <w:rsid w:val="7C336E5F"/>
    <w:rsid w:val="7C8D4919"/>
    <w:rsid w:val="7D7A5F86"/>
    <w:rsid w:val="7DEC24B5"/>
    <w:rsid w:val="7E4B683A"/>
    <w:rsid w:val="7E5E656D"/>
    <w:rsid w:val="7E8F2BCB"/>
    <w:rsid w:val="7F37BB4E"/>
    <w:rsid w:val="7F7C5B44"/>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4">
    <w:name w:val="Plain Text"/>
    <w:basedOn w:val="1"/>
    <w:next w:val="5"/>
    <w:qFormat/>
    <w:uiPriority w:val="0"/>
    <w:rPr>
      <w:rFonts w:ascii="宋体" w:hAnsi="Courier New" w:cs="Courier New"/>
    </w:rPr>
  </w:style>
  <w:style w:type="paragraph" w:styleId="5">
    <w:name w:val="List Number 5"/>
    <w:basedOn w:val="2"/>
    <w:next w:val="6"/>
    <w:uiPriority w:val="0"/>
    <w:pPr>
      <w:numPr>
        <w:ilvl w:val="0"/>
        <w:numId w:val="1"/>
      </w:numPr>
    </w:pPr>
  </w:style>
  <w:style w:type="paragraph" w:styleId="6">
    <w:name w:val="Body Text First Indent"/>
    <w:basedOn w:val="7"/>
    <w:qFormat/>
    <w:uiPriority w:val="0"/>
    <w:pPr>
      <w:spacing w:after="0"/>
      <w:ind w:firstLine="200" w:firstLineChars="200"/>
    </w:pPr>
  </w:style>
  <w:style w:type="paragraph" w:styleId="7">
    <w:name w:val="Body Text"/>
    <w:basedOn w:val="1"/>
    <w:next w:val="8"/>
    <w:qFormat/>
    <w:uiPriority w:val="0"/>
    <w:pPr>
      <w:spacing w:after="120"/>
    </w:pPr>
  </w:style>
  <w:style w:type="paragraph" w:styleId="8">
    <w:name w:val="header"/>
    <w:basedOn w:val="1"/>
    <w:next w:val="9"/>
    <w:link w:val="25"/>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Normal1"/>
    <w:next w:val="10"/>
    <w:qFormat/>
    <w:uiPriority w:val="99"/>
    <w:pPr>
      <w:widowControl w:val="0"/>
      <w:spacing w:after="120" w:line="480" w:lineRule="auto"/>
      <w:ind w:left="200" w:leftChars="200"/>
      <w:jc w:val="both"/>
    </w:pPr>
    <w:rPr>
      <w:rFonts w:ascii="Times New Roman" w:hAnsi="Times New Roman" w:eastAsia="宋体" w:cs="Times New Roman"/>
      <w:kern w:val="2"/>
      <w:sz w:val="21"/>
      <w:szCs w:val="21"/>
      <w:lang w:val="en-US" w:eastAsia="zh-CN" w:bidi="ar-SA"/>
    </w:rPr>
  </w:style>
  <w:style w:type="paragraph" w:customStyle="1" w:styleId="10">
    <w:name w:val="插表"/>
    <w:next w:val="1"/>
    <w:qFormat/>
    <w:uiPriority w:val="0"/>
    <w:pPr>
      <w:widowControl w:val="0"/>
      <w:spacing w:line="360" w:lineRule="auto"/>
      <w:jc w:val="center"/>
    </w:pPr>
    <w:rPr>
      <w:rFonts w:ascii="Times New Roman" w:hAnsi="Times New Roman" w:eastAsia="宋体" w:cs="Times New Roman"/>
      <w:kern w:val="2"/>
      <w:sz w:val="21"/>
      <w:szCs w:val="21"/>
      <w:lang w:val="en-US" w:eastAsia="zh-CN" w:bidi="ar-SA"/>
    </w:rPr>
  </w:style>
  <w:style w:type="paragraph" w:styleId="12">
    <w:name w:val="annotation text"/>
    <w:basedOn w:val="1"/>
    <w:link w:val="26"/>
    <w:qFormat/>
    <w:uiPriority w:val="0"/>
    <w:pPr>
      <w:jc w:val="left"/>
    </w:pPr>
  </w:style>
  <w:style w:type="paragraph" w:styleId="13">
    <w:name w:val="Balloon Text"/>
    <w:basedOn w:val="1"/>
    <w:link w:val="24"/>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7">
    <w:name w:val="annotation subject"/>
    <w:basedOn w:val="12"/>
    <w:next w:val="12"/>
    <w:link w:val="27"/>
    <w:qFormat/>
    <w:uiPriority w:val="0"/>
    <w:rPr>
      <w:b/>
      <w:bCs/>
    </w:rPr>
  </w:style>
  <w:style w:type="character" w:styleId="20">
    <w:name w:val="Strong"/>
    <w:basedOn w:val="19"/>
    <w:qFormat/>
    <w:uiPriority w:val="0"/>
    <w:rPr>
      <w:b/>
      <w:bCs/>
    </w:rPr>
  </w:style>
  <w:style w:type="character" w:styleId="21">
    <w:name w:val="annotation reference"/>
    <w:basedOn w:val="19"/>
    <w:qFormat/>
    <w:uiPriority w:val="0"/>
    <w:rPr>
      <w:sz w:val="21"/>
      <w:szCs w:val="21"/>
    </w:rPr>
  </w:style>
  <w:style w:type="character" w:customStyle="1" w:styleId="22">
    <w:name w:val="fontstyle01"/>
    <w:qFormat/>
    <w:uiPriority w:val="0"/>
    <w:rPr>
      <w:rFonts w:ascii="仿宋_GB2312" w:hAnsi="仿宋_GB2312" w:eastAsia="仿宋_GB2312" w:cs="仿宋_GB2312"/>
      <w:color w:val="000000"/>
      <w:sz w:val="32"/>
      <w:szCs w:val="32"/>
    </w:rPr>
  </w:style>
  <w:style w:type="paragraph" w:customStyle="1" w:styleId="23">
    <w:name w:val="闻政-正文段落文字"/>
    <w:basedOn w:val="1"/>
    <w:qFormat/>
    <w:uiPriority w:val="3"/>
    <w:pPr>
      <w:spacing w:line="500" w:lineRule="exact"/>
      <w:ind w:firstLine="200"/>
    </w:pPr>
    <w:rPr>
      <w:kern w:val="0"/>
      <w:szCs w:val="28"/>
    </w:rPr>
  </w:style>
  <w:style w:type="character" w:customStyle="1" w:styleId="24">
    <w:name w:val="批注框文本 字符"/>
    <w:basedOn w:val="19"/>
    <w:link w:val="13"/>
    <w:qFormat/>
    <w:uiPriority w:val="0"/>
    <w:rPr>
      <w:rFonts w:ascii="Times New Roman" w:hAnsi="Times New Roman" w:eastAsia="宋体" w:cs="Times New Roman"/>
      <w:kern w:val="2"/>
      <w:sz w:val="18"/>
      <w:szCs w:val="18"/>
    </w:rPr>
  </w:style>
  <w:style w:type="character" w:customStyle="1" w:styleId="25">
    <w:name w:val="页眉 字符"/>
    <w:basedOn w:val="19"/>
    <w:link w:val="8"/>
    <w:qFormat/>
    <w:uiPriority w:val="0"/>
    <w:rPr>
      <w:rFonts w:ascii="Times New Roman" w:hAnsi="Times New Roman" w:eastAsia="宋体" w:cs="Times New Roman"/>
      <w:kern w:val="2"/>
      <w:sz w:val="18"/>
      <w:szCs w:val="18"/>
    </w:rPr>
  </w:style>
  <w:style w:type="character" w:customStyle="1" w:styleId="26">
    <w:name w:val="批注文字 字符"/>
    <w:basedOn w:val="19"/>
    <w:link w:val="12"/>
    <w:qFormat/>
    <w:uiPriority w:val="0"/>
    <w:rPr>
      <w:rFonts w:ascii="Times New Roman" w:hAnsi="Times New Roman" w:eastAsia="宋体" w:cs="Times New Roman"/>
      <w:kern w:val="2"/>
      <w:sz w:val="21"/>
      <w:szCs w:val="24"/>
    </w:rPr>
  </w:style>
  <w:style w:type="character" w:customStyle="1" w:styleId="27">
    <w:name w:val="批注主题 字符"/>
    <w:basedOn w:val="26"/>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856</Words>
  <Characters>907</Characters>
  <Lines>58</Lines>
  <Paragraphs>16</Paragraphs>
  <TotalTime>1</TotalTime>
  <ScaleCrop>false</ScaleCrop>
  <LinksUpToDate>false</LinksUpToDate>
  <CharactersWithSpaces>907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dcterms:modified xsi:type="dcterms:W3CDTF">2025-08-26T11:39:27Z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B51637C9F6B842178D3929287A9F16E6_13</vt:lpwstr>
  </property>
  <property fmtid="{D5CDD505-2E9C-101B-9397-08002B2CF9AE}" pid="4" name="KSOTemplateDocerSaveRecord">
    <vt:lpwstr>eyJoZGlkIjoiMzNiNGI2MGU3ZTBiNDlmYjExZDc5YzVmNjk5Y2MxNTQiLCJ1c2VySWQiOiIxMzUyMjgzNTc4In0=</vt:lpwstr>
  </property>
</Properties>
</file>