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eastAsia="宋体"/>
          <w:sz w:val="32"/>
          <w:szCs w:val="32"/>
        </w:rPr>
      </w:pPr>
    </w:p>
    <w:p>
      <w:pPr>
        <w:widowControl/>
        <w:jc w:val="left"/>
        <w:rPr>
          <w:rFonts w:ascii="宋体" w:eastAsia="宋体"/>
          <w:sz w:val="44"/>
          <w:szCs w:val="44"/>
        </w:rPr>
      </w:pPr>
    </w:p>
    <w:p>
      <w:pPr>
        <w:widowControl/>
        <w:jc w:val="left"/>
        <w:rPr>
          <w:rFonts w:ascii="宋体" w:eastAsia="宋体"/>
          <w:sz w:val="44"/>
          <w:szCs w:val="44"/>
        </w:rPr>
      </w:pPr>
    </w:p>
    <w:p>
      <w:pPr>
        <w:widowControl/>
        <w:jc w:val="left"/>
        <w:rPr>
          <w:rFonts w:ascii="宋体" w:eastAsia="宋体"/>
          <w:sz w:val="44"/>
          <w:szCs w:val="44"/>
        </w:rPr>
      </w:pPr>
    </w:p>
    <w:p>
      <w:pPr>
        <w:widowControl/>
        <w:jc w:val="center"/>
        <w:outlineLvl w:val="0"/>
        <w:rPr>
          <w:rFonts w:ascii="宋体" w:eastAsia="黑体"/>
          <w:sz w:val="44"/>
          <w:szCs w:val="44"/>
        </w:rPr>
      </w:pPr>
      <w:r>
        <w:rPr>
          <w:rFonts w:ascii="宋体" w:eastAsia="黑体"/>
          <w:sz w:val="44"/>
          <w:szCs w:val="44"/>
        </w:rPr>
        <w:t>新疆维吾尔自治区中小企业发展促进中心</w:t>
      </w:r>
    </w:p>
    <w:p>
      <w:pPr>
        <w:widowControl/>
        <w:jc w:val="center"/>
        <w:outlineLvl w:val="0"/>
        <w:rPr>
          <w:rFonts w:ascii="黑体" w:eastAsia="黑体"/>
          <w:sz w:val="44"/>
          <w:szCs w:val="44"/>
        </w:rPr>
      </w:pPr>
      <w:r>
        <w:rPr>
          <w:rFonts w:ascii="黑体" w:eastAsia="黑体"/>
          <w:sz w:val="44"/>
          <w:szCs w:val="44"/>
        </w:rPr>
        <w:t>2024年度部门决算公开说明</w:t>
      </w:r>
    </w:p>
    <w:p>
      <w:pPr>
        <w:widowControl/>
      </w:pPr>
      <w:r>
        <w:rPr>
          <w:sz w:val="0"/>
          <w:szCs w:val="0"/>
        </w:rPr>
        <w:br w:type="page"/>
      </w:r>
    </w:p>
    <w:p>
      <w:pPr>
        <w:widowControl/>
        <w:jc w:val="center"/>
        <w:rPr>
          <w:rFonts w:ascii="黑体" w:eastAsia="黑体"/>
          <w:sz w:val="32"/>
          <w:szCs w:val="32"/>
        </w:rPr>
      </w:pPr>
      <w:r>
        <w:rPr>
          <w:rFonts w:ascii="黑体" w:eastAsia="黑体"/>
          <w:b/>
          <w:sz w:val="32"/>
          <w:szCs w:val="32"/>
        </w:rPr>
        <w:t>目  录</w:t>
      </w:r>
    </w:p>
    <w:p>
      <w:pPr>
        <w:widowControl/>
        <w:jc w:val="left"/>
        <w:rPr>
          <w:rFonts w:ascii="仿宋_GB2312" w:eastAsia="仿宋_GB2312"/>
          <w:sz w:val="32"/>
          <w:szCs w:val="32"/>
        </w:rPr>
      </w:pPr>
      <w:r>
        <w:rPr>
          <w:rFonts w:ascii="仿宋_GB2312" w:eastAsia="仿宋_GB2312"/>
          <w:b/>
          <w:sz w:val="32"/>
          <w:szCs w:val="32"/>
        </w:rPr>
        <w:t>第一部分单位概况</w:t>
      </w:r>
    </w:p>
    <w:p>
      <w:pPr>
        <w:widowControl/>
        <w:jc w:val="left"/>
        <w:rPr>
          <w:rFonts w:ascii="仿宋_GB2312" w:eastAsia="仿宋_GB2312"/>
          <w:sz w:val="32"/>
          <w:szCs w:val="32"/>
        </w:rPr>
      </w:pPr>
      <w:r>
        <w:rPr>
          <w:rFonts w:ascii="仿宋_GB2312" w:eastAsia="仿宋_GB2312"/>
          <w:sz w:val="32"/>
          <w:szCs w:val="32"/>
        </w:rPr>
        <w:t>一、主要职能</w:t>
      </w:r>
    </w:p>
    <w:p>
      <w:pPr>
        <w:widowControl/>
        <w:jc w:val="left"/>
        <w:rPr>
          <w:rFonts w:ascii="仿宋_GB2312" w:eastAsia="仿宋_GB2312"/>
          <w:sz w:val="32"/>
          <w:szCs w:val="32"/>
        </w:rPr>
      </w:pPr>
      <w:r>
        <w:rPr>
          <w:rFonts w:ascii="仿宋_GB2312" w:eastAsia="仿宋_GB2312"/>
          <w:sz w:val="32"/>
          <w:szCs w:val="32"/>
        </w:rPr>
        <w:t>二、机构设置及人员情况</w:t>
      </w:r>
    </w:p>
    <w:p>
      <w:pPr>
        <w:widowControl/>
        <w:jc w:val="left"/>
        <w:rPr>
          <w:rFonts w:ascii="仿宋_GB2312" w:eastAsia="仿宋_GB2312"/>
          <w:sz w:val="32"/>
          <w:szCs w:val="32"/>
        </w:rPr>
      </w:pPr>
      <w:r>
        <w:rPr>
          <w:rFonts w:ascii="仿宋_GB2312" w:eastAsia="仿宋_GB2312"/>
          <w:b/>
          <w:sz w:val="32"/>
          <w:szCs w:val="32"/>
        </w:rPr>
        <w:t>第二部分 部门决算情况说明</w:t>
      </w:r>
    </w:p>
    <w:p>
      <w:pPr>
        <w:widowControl/>
        <w:jc w:val="left"/>
        <w:rPr>
          <w:rFonts w:ascii="仿宋_GB2312" w:eastAsia="仿宋_GB2312"/>
          <w:sz w:val="32"/>
          <w:szCs w:val="32"/>
        </w:rPr>
      </w:pPr>
      <w:r>
        <w:rPr>
          <w:rFonts w:ascii="仿宋_GB2312" w:eastAsia="仿宋_GB2312"/>
          <w:sz w:val="32"/>
          <w:szCs w:val="32"/>
        </w:rPr>
        <w:t>一、收入支出决算总体情况说明</w:t>
      </w:r>
    </w:p>
    <w:p>
      <w:pPr>
        <w:widowControl/>
        <w:jc w:val="left"/>
        <w:rPr>
          <w:rFonts w:ascii="仿宋_GB2312" w:eastAsia="仿宋_GB2312"/>
          <w:sz w:val="32"/>
          <w:szCs w:val="32"/>
        </w:rPr>
      </w:pPr>
      <w:r>
        <w:rPr>
          <w:rFonts w:ascii="仿宋_GB2312" w:eastAsia="仿宋_GB2312"/>
          <w:sz w:val="32"/>
          <w:szCs w:val="32"/>
        </w:rPr>
        <w:t>二、收入决算情况说明</w:t>
      </w:r>
    </w:p>
    <w:p>
      <w:pPr>
        <w:widowControl/>
        <w:jc w:val="left"/>
        <w:rPr>
          <w:rFonts w:ascii="仿宋_GB2312" w:eastAsia="仿宋_GB2312"/>
          <w:sz w:val="32"/>
          <w:szCs w:val="32"/>
        </w:rPr>
      </w:pPr>
      <w:r>
        <w:rPr>
          <w:rFonts w:ascii="仿宋_GB2312" w:eastAsia="仿宋_GB2312"/>
          <w:sz w:val="32"/>
          <w:szCs w:val="32"/>
        </w:rPr>
        <w:t>三、支出决算情况说明</w:t>
      </w:r>
    </w:p>
    <w:p>
      <w:pPr>
        <w:widowControl/>
        <w:jc w:val="left"/>
        <w:rPr>
          <w:rFonts w:ascii="仿宋_GB2312" w:eastAsia="仿宋_GB2312"/>
          <w:sz w:val="32"/>
          <w:szCs w:val="32"/>
        </w:rPr>
      </w:pPr>
      <w:r>
        <w:rPr>
          <w:rFonts w:ascii="仿宋_GB2312" w:eastAsia="仿宋_GB2312"/>
          <w:sz w:val="32"/>
          <w:szCs w:val="32"/>
        </w:rPr>
        <w:t>四、财政拨款收入支出决算总体情况说明</w:t>
      </w:r>
    </w:p>
    <w:p>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pPr>
        <w:widowControl/>
        <w:jc w:val="left"/>
        <w:rPr>
          <w:rFonts w:ascii="仿宋_GB2312" w:eastAsia="仿宋_GB2312"/>
          <w:sz w:val="32"/>
          <w:szCs w:val="32"/>
        </w:rPr>
      </w:pPr>
      <w:r>
        <w:rPr>
          <w:rFonts w:ascii="仿宋_GB2312" w:eastAsia="仿宋_GB2312"/>
          <w:sz w:val="32"/>
          <w:szCs w:val="32"/>
        </w:rPr>
        <w:t>九、财政拨款“三公”经费支出决算情况说明</w:t>
      </w:r>
    </w:p>
    <w:p>
      <w:pPr>
        <w:widowControl/>
        <w:jc w:val="left"/>
        <w:rPr>
          <w:rFonts w:ascii="仿宋_GB2312" w:eastAsia="仿宋_GB2312"/>
          <w:sz w:val="32"/>
          <w:szCs w:val="32"/>
        </w:rPr>
      </w:pPr>
      <w:r>
        <w:rPr>
          <w:rFonts w:ascii="仿宋_GB2312" w:eastAsia="仿宋_GB2312"/>
          <w:sz w:val="32"/>
          <w:szCs w:val="32"/>
        </w:rPr>
        <w:t>​十、其他重要事项的情况说明</w:t>
      </w:r>
    </w:p>
    <w:p>
      <w:pPr>
        <w:widowControl/>
        <w:jc w:val="left"/>
        <w:rPr>
          <w:rFonts w:ascii="仿宋_GB2312" w:eastAsia="仿宋_GB2312"/>
          <w:sz w:val="32"/>
          <w:szCs w:val="32"/>
        </w:rPr>
      </w:pPr>
      <w:r>
        <w:rPr>
          <w:rFonts w:ascii="仿宋_GB2312" w:eastAsia="仿宋_GB2312"/>
          <w:sz w:val="32"/>
          <w:szCs w:val="32"/>
        </w:rPr>
        <w:t>（一）机关运行经费及公用经费支出情况</w:t>
      </w:r>
    </w:p>
    <w:p>
      <w:pPr>
        <w:widowControl/>
        <w:jc w:val="left"/>
        <w:rPr>
          <w:rFonts w:ascii="仿宋_GB2312" w:eastAsia="仿宋_GB2312"/>
          <w:sz w:val="32"/>
          <w:szCs w:val="32"/>
        </w:rPr>
      </w:pPr>
      <w:r>
        <w:rPr>
          <w:rFonts w:ascii="仿宋_GB2312" w:eastAsia="仿宋_GB2312"/>
          <w:sz w:val="32"/>
          <w:szCs w:val="32"/>
        </w:rPr>
        <w:t>（二）政府采购情况</w:t>
      </w:r>
    </w:p>
    <w:p>
      <w:pPr>
        <w:widowControl/>
        <w:jc w:val="left"/>
        <w:rPr>
          <w:rFonts w:ascii="仿宋_GB2312" w:eastAsia="仿宋_GB2312"/>
          <w:sz w:val="32"/>
          <w:szCs w:val="32"/>
        </w:rPr>
      </w:pPr>
      <w:r>
        <w:rPr>
          <w:rFonts w:ascii="仿宋_GB2312" w:eastAsia="仿宋_GB2312"/>
          <w:sz w:val="32"/>
          <w:szCs w:val="32"/>
        </w:rPr>
        <w:t>（三）国有资产占用情况说明</w:t>
      </w:r>
    </w:p>
    <w:p>
      <w:pPr>
        <w:widowControl/>
        <w:jc w:val="left"/>
        <w:rPr>
          <w:rFonts w:ascii="仿宋_GB2312" w:eastAsia="仿宋_GB2312"/>
          <w:sz w:val="32"/>
          <w:szCs w:val="32"/>
        </w:rPr>
      </w:pPr>
      <w:r>
        <w:rPr>
          <w:rFonts w:ascii="仿宋_GB2312" w:eastAsia="仿宋_GB2312"/>
          <w:sz w:val="32"/>
          <w:szCs w:val="32"/>
        </w:rPr>
        <w:t>十一、预算绩效的情况说明</w:t>
      </w:r>
    </w:p>
    <w:p>
      <w:pPr>
        <w:widowControl/>
        <w:jc w:val="left"/>
        <w:rPr>
          <w:rFonts w:ascii="仿宋_GB2312" w:eastAsia="仿宋_GB2312"/>
          <w:sz w:val="32"/>
          <w:szCs w:val="32"/>
        </w:rPr>
      </w:pPr>
      <w:r>
        <w:rPr>
          <w:rFonts w:ascii="仿宋_GB2312" w:eastAsia="仿宋_GB2312"/>
          <w:sz w:val="32"/>
          <w:szCs w:val="32"/>
        </w:rPr>
        <w:t>十二、其他需说明的事项</w:t>
      </w:r>
    </w:p>
    <w:p>
      <w:pPr>
        <w:widowControl/>
        <w:jc w:val="left"/>
        <w:rPr>
          <w:rFonts w:ascii="仿宋_GB2312" w:eastAsia="仿宋_GB2312"/>
          <w:sz w:val="32"/>
          <w:szCs w:val="32"/>
        </w:rPr>
      </w:pPr>
      <w:r>
        <w:rPr>
          <w:rFonts w:ascii="仿宋_GB2312" w:eastAsia="仿宋_GB2312"/>
          <w:b/>
          <w:sz w:val="32"/>
          <w:szCs w:val="32"/>
        </w:rPr>
        <w:t>第三部分 专业名词解释</w:t>
      </w:r>
    </w:p>
    <w:p>
      <w:pPr>
        <w:widowControl/>
        <w:jc w:val="left"/>
        <w:rPr>
          <w:rFonts w:ascii="仿宋_GB2312" w:eastAsia="仿宋_GB2312"/>
          <w:sz w:val="32"/>
          <w:szCs w:val="32"/>
        </w:rPr>
      </w:pPr>
      <w:r>
        <w:rPr>
          <w:rFonts w:ascii="仿宋_GB2312" w:eastAsia="仿宋_GB2312"/>
          <w:b/>
          <w:sz w:val="32"/>
          <w:szCs w:val="32"/>
        </w:rPr>
        <w:t>第四部分 部门决算报表（见附表）</w:t>
      </w:r>
    </w:p>
    <w:p>
      <w:pPr>
        <w:widowControl/>
        <w:jc w:val="left"/>
        <w:rPr>
          <w:rFonts w:ascii="仿宋_GB2312" w:eastAsia="仿宋_GB2312"/>
          <w:sz w:val="32"/>
          <w:szCs w:val="32"/>
        </w:rPr>
      </w:pPr>
      <w:r>
        <w:rPr>
          <w:rFonts w:ascii="仿宋_GB2312" w:eastAsia="仿宋_GB2312"/>
          <w:sz w:val="32"/>
          <w:szCs w:val="32"/>
        </w:rPr>
        <w:t>一、《收入支出决算总表》</w:t>
      </w:r>
    </w:p>
    <w:p>
      <w:pPr>
        <w:widowControl/>
        <w:jc w:val="left"/>
        <w:rPr>
          <w:rFonts w:ascii="仿宋_GB2312" w:eastAsia="仿宋_GB2312"/>
          <w:sz w:val="32"/>
          <w:szCs w:val="32"/>
        </w:rPr>
      </w:pPr>
      <w:r>
        <w:rPr>
          <w:rFonts w:ascii="仿宋_GB2312" w:eastAsia="仿宋_GB2312"/>
          <w:sz w:val="32"/>
          <w:szCs w:val="32"/>
        </w:rPr>
        <w:t>二、《收入决算表》</w:t>
      </w:r>
    </w:p>
    <w:p>
      <w:pPr>
        <w:widowControl/>
        <w:jc w:val="left"/>
        <w:rPr>
          <w:rFonts w:ascii="仿宋_GB2312" w:eastAsia="仿宋_GB2312"/>
          <w:sz w:val="32"/>
          <w:szCs w:val="32"/>
        </w:rPr>
      </w:pPr>
      <w:r>
        <w:rPr>
          <w:rFonts w:ascii="仿宋_GB2312" w:eastAsia="仿宋_GB2312"/>
          <w:sz w:val="32"/>
          <w:szCs w:val="32"/>
        </w:rPr>
        <w:t>三、《支出决算表》</w:t>
      </w:r>
    </w:p>
    <w:p>
      <w:pPr>
        <w:widowControl/>
        <w:jc w:val="left"/>
        <w:rPr>
          <w:rFonts w:ascii="仿宋_GB2312" w:eastAsia="仿宋_GB2312"/>
          <w:sz w:val="32"/>
          <w:szCs w:val="32"/>
        </w:rPr>
      </w:pPr>
      <w:r>
        <w:rPr>
          <w:rFonts w:ascii="仿宋_GB2312" w:eastAsia="仿宋_GB2312"/>
          <w:sz w:val="32"/>
          <w:szCs w:val="32"/>
        </w:rPr>
        <w:t>四、《财政拨款收入支出决算总表》</w:t>
      </w:r>
    </w:p>
    <w:p>
      <w:pPr>
        <w:widowControl/>
        <w:jc w:val="left"/>
        <w:rPr>
          <w:rFonts w:ascii="仿宋_GB2312" w:eastAsia="仿宋_GB2312"/>
          <w:sz w:val="32"/>
          <w:szCs w:val="32"/>
        </w:rPr>
      </w:pPr>
      <w:r>
        <w:rPr>
          <w:rFonts w:ascii="仿宋_GB2312" w:eastAsia="仿宋_GB2312"/>
          <w:sz w:val="32"/>
          <w:szCs w:val="32"/>
        </w:rPr>
        <w:t>五、《一般公共预算财政拨款支出决算表》</w:t>
      </w:r>
    </w:p>
    <w:p>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pPr>
        <w:widowControl/>
        <w:jc w:val="left"/>
        <w:rPr>
          <w:rFonts w:ascii="仿宋_GB2312" w:eastAsia="仿宋_GB2312"/>
          <w:sz w:val="32"/>
          <w:szCs w:val="32"/>
        </w:rPr>
      </w:pPr>
      <w:r>
        <w:rPr>
          <w:rFonts w:ascii="仿宋_GB2312" w:eastAsia="仿宋_GB2312"/>
          <w:sz w:val="32"/>
          <w:szCs w:val="32"/>
        </w:rPr>
        <w:t>九、《财政拨款“三公”经费支出决算表》</w:t>
      </w: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第一部分 单位概况</w:t>
      </w:r>
    </w:p>
    <w:p>
      <w:pPr>
        <w:widowControl/>
        <w:ind w:firstLine="640" w:firstLineChars="200"/>
        <w:jc w:val="left"/>
        <w:outlineLvl w:val="1"/>
        <w:rPr>
          <w:rFonts w:ascii="黑体" w:eastAsia="黑体"/>
          <w:sz w:val="32"/>
          <w:szCs w:val="32"/>
        </w:rPr>
      </w:pPr>
      <w:r>
        <w:rPr>
          <w:rFonts w:ascii="黑体" w:eastAsia="黑体"/>
          <w:sz w:val="32"/>
          <w:szCs w:val="32"/>
        </w:rPr>
        <w:t> 一、主要职能</w:t>
      </w:r>
    </w:p>
    <w:p>
      <w:pPr>
        <w:widowControl/>
        <w:ind w:firstLine="640" w:firstLineChars="200"/>
        <w:jc w:val="left"/>
        <w:outlineLvl w:val="1"/>
        <w:rPr>
          <w:rFonts w:hint="eastAsia" w:ascii="仿宋_GB2312" w:eastAsia="仿宋_GB2312"/>
          <w:sz w:val="32"/>
          <w:szCs w:val="32"/>
        </w:rPr>
      </w:pPr>
      <w:r>
        <w:rPr>
          <w:rFonts w:hint="eastAsia" w:ascii="仿宋_GB2312" w:eastAsia="仿宋_GB2312"/>
          <w:sz w:val="32"/>
          <w:szCs w:val="32"/>
        </w:rPr>
        <w:t>根据《关于印发＜新疆维吾尔自治区经济和信息化委员会（新疆维吾尔自治区国防科学技术工业办公室）所属事业单位分类改革方案＞的通知》（新事改办〔2014〕11号）的规定，为全区中小企业发展提供技术创新、市场开拓、信息交流、人才引进、业务培训、信用担保、对外合作等服务。</w:t>
      </w:r>
    </w:p>
    <w:p>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pPr>
        <w:widowControl/>
        <w:ind w:firstLine="640" w:firstLineChars="200"/>
        <w:rPr>
          <w:rFonts w:ascii="仿宋_GB2312" w:eastAsia="仿宋_GB2312"/>
          <w:sz w:val="32"/>
          <w:szCs w:val="32"/>
        </w:rPr>
      </w:pPr>
      <w:r>
        <w:rPr>
          <w:rFonts w:ascii="仿宋_GB2312" w:eastAsia="仿宋_GB2312"/>
          <w:sz w:val="32"/>
          <w:szCs w:val="32"/>
        </w:rPr>
        <w:t>新疆维吾尔自治区中小企业发展促进中心2024年度，实有人数23人，其中：在职人员16人，减少2人；离休人员0人，较上年无变化；退休人员7人，较上年无变化；</w:t>
      </w:r>
    </w:p>
    <w:p>
      <w:pPr>
        <w:widowControl/>
        <w:ind w:firstLine="640" w:firstLineChars="200"/>
        <w:rPr>
          <w:rFonts w:ascii="仿宋_GB2312" w:eastAsia="仿宋_GB2312"/>
          <w:sz w:val="32"/>
          <w:szCs w:val="32"/>
        </w:rPr>
      </w:pPr>
      <w:r>
        <w:rPr>
          <w:rFonts w:ascii="仿宋_GB2312" w:eastAsia="仿宋_GB2312"/>
          <w:sz w:val="32"/>
          <w:szCs w:val="32"/>
        </w:rPr>
        <w:t>新疆维吾尔自治区中小企业发展促进中心无下属预算单位，下设六个科室，分别是：综合管理部、资产与财务管理部、咨询与培训部、创业与创新服务部、融资与担保服务部、网络平台运营管理部。</w:t>
      </w: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第二部分 部门决算情况说明</w:t>
      </w:r>
    </w:p>
    <w:p>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pPr>
        <w:widowControl/>
        <w:ind w:firstLine="640" w:firstLineChars="200"/>
        <w:rPr>
          <w:rFonts w:ascii="仿宋_GB2312" w:eastAsia="仿宋_GB2312"/>
          <w:sz w:val="32"/>
          <w:szCs w:val="32"/>
        </w:rPr>
      </w:pPr>
      <w:r>
        <w:rPr>
          <w:rFonts w:ascii="仿宋_GB2312" w:eastAsia="仿宋_GB2312"/>
          <w:sz w:val="32"/>
          <w:szCs w:val="32"/>
        </w:rPr>
        <w:t>2024年度收入总计1,243.47万元，其中：本年收入合计1,243.47万元，使用非财政拨款结余（含专用结余）0.00万元，年初结转和结余0.00万元。</w:t>
      </w:r>
    </w:p>
    <w:p>
      <w:pPr>
        <w:widowControl/>
        <w:ind w:firstLine="640" w:firstLineChars="200"/>
        <w:rPr>
          <w:rFonts w:ascii="仿宋_GB2312" w:eastAsia="仿宋_GB2312"/>
          <w:sz w:val="32"/>
          <w:szCs w:val="32"/>
        </w:rPr>
      </w:pPr>
      <w:r>
        <w:rPr>
          <w:rFonts w:ascii="仿宋_GB2312" w:eastAsia="仿宋_GB2312"/>
          <w:sz w:val="32"/>
          <w:szCs w:val="32"/>
        </w:rPr>
        <w:t>2024年度支出总计1,243.47万元，其中：本年支出合计1,107.50万元，结余分配135.97万元，年末结转和结余0.00万元。</w:t>
      </w:r>
    </w:p>
    <w:p>
      <w:pPr>
        <w:widowControl/>
        <w:ind w:firstLine="640" w:firstLineChars="200"/>
        <w:rPr>
          <w:rFonts w:ascii="仿宋_GB2312" w:eastAsia="仿宋_GB2312"/>
          <w:sz w:val="32"/>
          <w:szCs w:val="32"/>
        </w:rPr>
      </w:pPr>
      <w:r>
        <w:rPr>
          <w:rFonts w:ascii="仿宋_GB2312" w:eastAsia="仿宋_GB2312"/>
          <w:sz w:val="32"/>
          <w:szCs w:val="32"/>
        </w:rPr>
        <w:t>收入支出总体与上年相比，减少286.29万元，下降18.71%，主要原因是：从收入方面看，一是人员减少，财政拨款人员经费减少；二是2024年对外投资企业经营状况良好，公司正常进行投资分红，投资收益增加，导致使用非财政拨款结余（含专用结余）资金减少。从支出方面看，一是人员减少，导致人员经费减少；二是减少光明路线下展厅项目资金。</w:t>
      </w:r>
    </w:p>
    <w:p>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pPr>
        <w:widowControl/>
        <w:ind w:firstLine="640" w:firstLineChars="200"/>
        <w:rPr>
          <w:rFonts w:ascii="仿宋_GB2312" w:eastAsia="仿宋_GB2312"/>
          <w:sz w:val="32"/>
          <w:szCs w:val="32"/>
        </w:rPr>
      </w:pPr>
      <w:r>
        <w:rPr>
          <w:rFonts w:ascii="仿宋_GB2312" w:eastAsia="仿宋_GB2312"/>
          <w:sz w:val="32"/>
          <w:szCs w:val="32"/>
        </w:rPr>
        <w:t>本年收入1,243.47万元，其中：财政拨款收入626.26万元,占50.36%；上级补助收入0.00万元,占0.00%；事业收入0.00万元，占0.00%；经营收入8.56万元,占0.69%；附属单位上缴收入0.00万元，占0.00%；其他收入608.64万元，占48.95%。</w:t>
      </w:r>
    </w:p>
    <w:p>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pPr>
        <w:widowControl/>
        <w:ind w:firstLine="640" w:firstLineChars="200"/>
        <w:rPr>
          <w:rFonts w:ascii="仿宋_GB2312" w:eastAsia="仿宋_GB2312"/>
          <w:sz w:val="32"/>
          <w:szCs w:val="32"/>
        </w:rPr>
      </w:pPr>
      <w:r>
        <w:rPr>
          <w:rFonts w:ascii="仿宋_GB2312" w:eastAsia="仿宋_GB2312"/>
          <w:sz w:val="32"/>
          <w:szCs w:val="32"/>
        </w:rPr>
        <w:t>本年支出1,107.50万元，其中：基本支出464.56万元，占41.95%；项目支出634.93万元，占57.33%；上缴上级支出0.00万元，占0.00%；经营支出8.01万元，占0.72%；对附属单位补助支出0.00万元，占0.00%。</w:t>
      </w:r>
    </w:p>
    <w:p>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pPr>
        <w:widowControl/>
        <w:ind w:firstLine="640" w:firstLineChars="200"/>
        <w:rPr>
          <w:rFonts w:ascii="仿宋_GB2312" w:eastAsia="仿宋_GB2312"/>
          <w:sz w:val="32"/>
          <w:szCs w:val="32"/>
        </w:rPr>
      </w:pPr>
      <w:r>
        <w:rPr>
          <w:rFonts w:ascii="仿宋_GB2312" w:eastAsia="仿宋_GB2312"/>
          <w:sz w:val="32"/>
          <w:szCs w:val="32"/>
        </w:rPr>
        <w:t>2024年度财政拨款收入总计626.26万元，其中：年初财政拨款结转和结余0.00万元，本年财政拨款收入626.26万元。财政拨款支出总计626.26万元，其中：年末财政拨款结转和结余0.00万元，本年财政拨款支出626.26万元。</w:t>
      </w:r>
    </w:p>
    <w:p>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财政拨款收入支出总体与上年相比，减少13.93万元，下降2.18%，主要原因是：两名在职人员调出，</w:t>
      </w:r>
      <w:r>
        <w:rPr>
          <w:rFonts w:hint="eastAsia" w:ascii="仿宋_GB2312" w:eastAsia="仿宋_GB2312"/>
          <w:sz w:val="32"/>
          <w:szCs w:val="32"/>
          <w:lang w:val="en-US" w:eastAsia="zh-CN"/>
        </w:rPr>
        <w:t>相应</w:t>
      </w:r>
      <w:r>
        <w:rPr>
          <w:rFonts w:ascii="仿宋_GB2312" w:eastAsia="仿宋_GB2312"/>
          <w:sz w:val="32"/>
          <w:szCs w:val="32"/>
        </w:rPr>
        <w:t>人员经费减少。与年初预算相比，年初预算数628.97万元，决算数626.26万元，预决算差异率-0.43%，主要原因是：两名在职人员调出，</w:t>
      </w:r>
      <w:r>
        <w:rPr>
          <w:rFonts w:hint="eastAsia" w:ascii="仿宋_GB2312" w:eastAsia="仿宋_GB2312"/>
          <w:sz w:val="32"/>
          <w:szCs w:val="32"/>
          <w:lang w:val="en-US" w:eastAsia="zh-CN"/>
        </w:rPr>
        <w:t>相应</w:t>
      </w:r>
      <w:r>
        <w:rPr>
          <w:rFonts w:ascii="仿宋_GB2312" w:eastAsia="仿宋_GB2312"/>
          <w:sz w:val="32"/>
          <w:szCs w:val="32"/>
        </w:rPr>
        <w:t>机关事业单位基本养老保险缴费支出、机关事业单位职业年金缴费支出、事业单位医疗、公务员医疗补助、住房公积金拨款金额均减少。</w:t>
      </w:r>
    </w:p>
    <w:p>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pPr>
        <w:widowControl/>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2024年度一般公共预算财政拨款支出626.26万元，占本年支出合计的56.55%。与上年相比，减少13.93万元，下降2.18%，主要原因是：两名在职人员调出，</w:t>
      </w:r>
      <w:r>
        <w:rPr>
          <w:rFonts w:hint="eastAsia" w:ascii="仿宋_GB2312" w:eastAsia="仿宋_GB2312"/>
          <w:sz w:val="32"/>
          <w:szCs w:val="32"/>
          <w:lang w:val="en-US" w:eastAsia="zh-CN"/>
        </w:rPr>
        <w:t>相应</w:t>
      </w:r>
      <w:r>
        <w:rPr>
          <w:rFonts w:ascii="仿宋_GB2312" w:eastAsia="仿宋_GB2312"/>
          <w:sz w:val="32"/>
          <w:szCs w:val="32"/>
        </w:rPr>
        <w:t>人员经费减少。与年初预算相比，年初预算数628.97万元，决算数626.26万元，预决算差异率-0.43%，主要原因是：两名在职人员调出，</w:t>
      </w:r>
      <w:r>
        <w:rPr>
          <w:rFonts w:hint="eastAsia" w:ascii="仿宋_GB2312" w:eastAsia="仿宋_GB2312"/>
          <w:sz w:val="32"/>
          <w:szCs w:val="32"/>
          <w:lang w:val="en-US" w:eastAsia="zh-CN"/>
        </w:rPr>
        <w:t>相应</w:t>
      </w:r>
      <w:r>
        <w:rPr>
          <w:rFonts w:ascii="仿宋_GB2312" w:eastAsia="仿宋_GB2312"/>
          <w:sz w:val="32"/>
          <w:szCs w:val="32"/>
        </w:rPr>
        <w:t>机关事业单位基本养老保险缴费支出、机关事业单位职业年金缴费支出、事业单位医疗、公务员医疗补助、住房公积金拨款金额均减少。</w:t>
      </w:r>
    </w:p>
    <w:p>
      <w:pPr>
        <w:widowControl/>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ind w:firstLine="640" w:firstLineChars="200"/>
        <w:rPr>
          <w:rFonts w:ascii="仿宋_GB2312" w:eastAsia="仿宋_GB2312"/>
          <w:sz w:val="32"/>
          <w:szCs w:val="32"/>
        </w:rPr>
      </w:pPr>
      <w:r>
        <w:rPr>
          <w:rFonts w:ascii="仿宋_GB2312" w:eastAsia="仿宋_GB2312"/>
          <w:sz w:val="32"/>
          <w:szCs w:val="32"/>
        </w:rPr>
        <w:t>社会保障和就业支出（类）57.50万元，占9.18%。</w:t>
      </w:r>
    </w:p>
    <w:p>
      <w:pPr>
        <w:widowControl/>
        <w:ind w:firstLine="640" w:firstLineChars="200"/>
        <w:rPr>
          <w:rFonts w:ascii="仿宋_GB2312" w:eastAsia="仿宋_GB2312"/>
          <w:sz w:val="32"/>
          <w:szCs w:val="32"/>
        </w:rPr>
      </w:pPr>
      <w:r>
        <w:rPr>
          <w:rFonts w:ascii="仿宋_GB2312" w:eastAsia="仿宋_GB2312"/>
          <w:sz w:val="32"/>
          <w:szCs w:val="32"/>
        </w:rPr>
        <w:t>卫生健康支出（类）35.54万元，占5.67%。</w:t>
      </w:r>
    </w:p>
    <w:p>
      <w:pPr>
        <w:widowControl/>
        <w:ind w:firstLine="640" w:firstLineChars="200"/>
        <w:rPr>
          <w:rFonts w:ascii="仿宋_GB2312" w:eastAsia="仿宋_GB2312"/>
          <w:sz w:val="32"/>
          <w:szCs w:val="32"/>
        </w:rPr>
      </w:pPr>
      <w:r>
        <w:rPr>
          <w:rFonts w:ascii="仿宋_GB2312" w:eastAsia="仿宋_GB2312"/>
          <w:sz w:val="32"/>
          <w:szCs w:val="32"/>
        </w:rPr>
        <w:t>资源勘探工业信息等支出（类）505.85万元，占80.77%。</w:t>
      </w:r>
    </w:p>
    <w:p>
      <w:pPr>
        <w:widowControl/>
        <w:ind w:firstLine="640" w:firstLineChars="200"/>
        <w:rPr>
          <w:rFonts w:ascii="仿宋_GB2312" w:eastAsia="仿宋_GB2312"/>
          <w:sz w:val="32"/>
          <w:szCs w:val="32"/>
        </w:rPr>
      </w:pPr>
      <w:r>
        <w:rPr>
          <w:rFonts w:ascii="仿宋_GB2312" w:eastAsia="仿宋_GB2312"/>
          <w:sz w:val="32"/>
          <w:szCs w:val="32"/>
        </w:rPr>
        <w:t>住房保障支出（类）27.37万元，占4.37%。</w:t>
      </w:r>
    </w:p>
    <w:p>
      <w:pPr>
        <w:widowControl/>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ind w:firstLine="640" w:firstLineChars="200"/>
        <w:rPr>
          <w:rFonts w:ascii="仿宋_GB2312" w:eastAsia="仿宋_GB2312"/>
          <w:sz w:val="32"/>
          <w:szCs w:val="32"/>
        </w:rPr>
      </w:pPr>
      <w:r>
        <w:rPr>
          <w:rFonts w:ascii="仿宋_GB2312" w:eastAsia="仿宋_GB2312"/>
          <w:sz w:val="32"/>
          <w:szCs w:val="32"/>
        </w:rPr>
        <w:t>1、社会保障和就业支出（类）行政事业单位养老支出（款）事业单位离退休（项）：支出决算数为6.02万元，比上年决算减少8.23万元，下降57.75%，主要原因是：退休人员不再缴纳医疗保险费，一般公共预算当年拨款安排支出减少。</w:t>
      </w:r>
    </w:p>
    <w:p>
      <w:pPr>
        <w:widowControl/>
        <w:ind w:firstLine="640" w:firstLineChars="200"/>
        <w:rPr>
          <w:rFonts w:ascii="仿宋_GB2312" w:eastAsia="仿宋_GB2312"/>
          <w:sz w:val="32"/>
          <w:szCs w:val="32"/>
          <w:highlight w:val="yellow"/>
        </w:rPr>
      </w:pPr>
      <w:r>
        <w:rPr>
          <w:rFonts w:ascii="仿宋_GB2312" w:eastAsia="仿宋_GB2312"/>
          <w:sz w:val="32"/>
          <w:szCs w:val="32"/>
        </w:rPr>
        <w:t>2、社会保障和就业支出（类）行政事业单位养老支出（款）机关事业单位基本养老保险缴费支出（项）：支出决算数为34.32万元，比上年决算增加0.88万元，增长2.63%，主要原因是：工资调标使社保基数增加，</w:t>
      </w:r>
      <w:r>
        <w:rPr>
          <w:rFonts w:ascii="仿宋_GB2312" w:eastAsia="仿宋_GB2312"/>
          <w:sz w:val="32"/>
          <w:szCs w:val="32"/>
          <w:highlight w:val="yellow"/>
        </w:rPr>
        <w:t>一般公共预算</w:t>
      </w:r>
      <w:r>
        <w:rPr>
          <w:rFonts w:hint="eastAsia" w:ascii="仿宋_GB2312" w:eastAsia="仿宋_GB2312"/>
          <w:sz w:val="32"/>
          <w:szCs w:val="32"/>
          <w:highlight w:val="yellow"/>
          <w:lang w:val="en-US" w:eastAsia="zh-CN"/>
        </w:rPr>
        <w:t>财政</w:t>
      </w:r>
      <w:r>
        <w:rPr>
          <w:rFonts w:ascii="仿宋_GB2312" w:eastAsia="仿宋_GB2312"/>
          <w:sz w:val="32"/>
          <w:szCs w:val="32"/>
          <w:highlight w:val="yellow"/>
        </w:rPr>
        <w:t>拨款支出增加。</w:t>
      </w:r>
    </w:p>
    <w:p>
      <w:pPr>
        <w:widowControl/>
        <w:ind w:firstLine="640" w:firstLineChars="200"/>
        <w:rPr>
          <w:rFonts w:ascii="仿宋_GB2312" w:eastAsia="仿宋_GB2312"/>
          <w:sz w:val="32"/>
          <w:szCs w:val="32"/>
          <w:highlight w:val="yellow"/>
        </w:rPr>
      </w:pPr>
      <w:r>
        <w:rPr>
          <w:rFonts w:ascii="仿宋_GB2312" w:eastAsia="仿宋_GB2312"/>
          <w:sz w:val="32"/>
          <w:szCs w:val="32"/>
        </w:rPr>
        <w:t>3、社会保障和就业支出（类）行政事业单位养老支出（款）机关事业单位职业年金缴费支出（项）：支出决算数为17.16万元，比上年决算增加0.44万元，增长2.63%，主要原因是：工资调标使社保基数增加，</w:t>
      </w:r>
      <w:r>
        <w:rPr>
          <w:rFonts w:ascii="仿宋_GB2312" w:eastAsia="仿宋_GB2312"/>
          <w:sz w:val="32"/>
          <w:szCs w:val="32"/>
          <w:highlight w:val="yellow"/>
        </w:rPr>
        <w:t>一般公共预算</w:t>
      </w:r>
      <w:r>
        <w:rPr>
          <w:rFonts w:hint="eastAsia" w:ascii="仿宋_GB2312" w:eastAsia="仿宋_GB2312"/>
          <w:sz w:val="32"/>
          <w:szCs w:val="32"/>
          <w:highlight w:val="yellow"/>
          <w:lang w:val="en-US" w:eastAsia="zh-CN"/>
        </w:rPr>
        <w:t>财政</w:t>
      </w:r>
      <w:r>
        <w:rPr>
          <w:rFonts w:ascii="仿宋_GB2312" w:eastAsia="仿宋_GB2312"/>
          <w:sz w:val="32"/>
          <w:szCs w:val="32"/>
          <w:highlight w:val="yellow"/>
        </w:rPr>
        <w:t>拨款支出增加。</w:t>
      </w:r>
    </w:p>
    <w:p>
      <w:pPr>
        <w:widowControl/>
        <w:ind w:firstLine="640" w:firstLineChars="200"/>
        <w:rPr>
          <w:rFonts w:ascii="仿宋_GB2312" w:eastAsia="仿宋_GB2312"/>
          <w:sz w:val="32"/>
          <w:szCs w:val="32"/>
        </w:rPr>
      </w:pPr>
      <w:r>
        <w:rPr>
          <w:rFonts w:ascii="仿宋_GB2312" w:eastAsia="仿宋_GB2312"/>
          <w:sz w:val="32"/>
          <w:szCs w:val="32"/>
        </w:rPr>
        <w:t>4、卫生健康支出（类）行政事业单位医疗（款）事业单位医疗（项）：支出决算数为19.28万元，比上年决算增加3.60万元，增长22.96%，主要原因是：工资调标使社保基数增加，</w:t>
      </w:r>
      <w:r>
        <w:rPr>
          <w:rFonts w:ascii="仿宋_GB2312" w:eastAsia="仿宋_GB2312"/>
          <w:sz w:val="32"/>
          <w:szCs w:val="32"/>
          <w:highlight w:val="yellow"/>
        </w:rPr>
        <w:t>一般公共预算</w:t>
      </w:r>
      <w:r>
        <w:rPr>
          <w:rFonts w:hint="eastAsia" w:ascii="仿宋_GB2312" w:eastAsia="仿宋_GB2312"/>
          <w:sz w:val="32"/>
          <w:szCs w:val="32"/>
          <w:highlight w:val="yellow"/>
          <w:lang w:val="en-US" w:eastAsia="zh-CN"/>
        </w:rPr>
        <w:t>财政</w:t>
      </w:r>
      <w:r>
        <w:rPr>
          <w:rFonts w:ascii="仿宋_GB2312" w:eastAsia="仿宋_GB2312"/>
          <w:sz w:val="32"/>
          <w:szCs w:val="32"/>
          <w:highlight w:val="yellow"/>
        </w:rPr>
        <w:t>拨款支出增加。</w:t>
      </w:r>
    </w:p>
    <w:p>
      <w:pPr>
        <w:widowControl/>
        <w:ind w:firstLine="640" w:firstLineChars="200"/>
        <w:rPr>
          <w:rFonts w:ascii="仿宋_GB2312" w:eastAsia="仿宋_GB2312"/>
          <w:sz w:val="32"/>
          <w:szCs w:val="32"/>
        </w:rPr>
      </w:pPr>
      <w:r>
        <w:rPr>
          <w:rFonts w:ascii="仿宋_GB2312" w:eastAsia="仿宋_GB2312"/>
          <w:sz w:val="32"/>
          <w:szCs w:val="32"/>
        </w:rPr>
        <w:t>5、卫生健康支出（类）行政事业单位医疗（款）公务员医疗补助（项）：支出决算数为16.26万元，比上年决算增加1.63万元，增长11.14%，主要原因是：工资调标使社保基数增加，</w:t>
      </w:r>
      <w:r>
        <w:rPr>
          <w:rFonts w:ascii="仿宋_GB2312" w:eastAsia="仿宋_GB2312"/>
          <w:sz w:val="32"/>
          <w:szCs w:val="32"/>
          <w:highlight w:val="yellow"/>
        </w:rPr>
        <w:t>一般公共预算</w:t>
      </w:r>
      <w:r>
        <w:rPr>
          <w:rFonts w:hint="eastAsia" w:ascii="仿宋_GB2312" w:eastAsia="仿宋_GB2312"/>
          <w:sz w:val="32"/>
          <w:szCs w:val="32"/>
          <w:highlight w:val="yellow"/>
          <w:lang w:val="en-US" w:eastAsia="zh-CN"/>
        </w:rPr>
        <w:t>财政</w:t>
      </w:r>
      <w:r>
        <w:rPr>
          <w:rFonts w:ascii="仿宋_GB2312" w:eastAsia="仿宋_GB2312"/>
          <w:sz w:val="32"/>
          <w:szCs w:val="32"/>
          <w:highlight w:val="yellow"/>
        </w:rPr>
        <w:t>拨款支出增加。</w:t>
      </w:r>
    </w:p>
    <w:p>
      <w:pPr>
        <w:widowControl/>
        <w:ind w:firstLine="640" w:firstLineChars="200"/>
        <w:rPr>
          <w:rFonts w:ascii="仿宋_GB2312" w:eastAsia="仿宋_GB2312"/>
          <w:sz w:val="32"/>
          <w:szCs w:val="32"/>
        </w:rPr>
      </w:pPr>
      <w:r>
        <w:rPr>
          <w:rFonts w:ascii="仿宋_GB2312" w:eastAsia="仿宋_GB2312"/>
          <w:sz w:val="32"/>
          <w:szCs w:val="32"/>
        </w:rPr>
        <w:t>6、资源勘探工业信息等支出（类）支持中小企业发展和管理支出（款）中小企业发展专项（项）：支出决算数为250.00万元，与上年相比无变化，主要原因是：上一年度延续项目，</w:t>
      </w:r>
      <w:r>
        <w:rPr>
          <w:rFonts w:hint="eastAsia" w:ascii="仿宋_GB2312" w:eastAsia="仿宋_GB2312"/>
          <w:sz w:val="32"/>
          <w:szCs w:val="32"/>
          <w:highlight w:val="yellow"/>
          <w:lang w:val="en-US" w:eastAsia="zh-CN"/>
        </w:rPr>
        <w:t>本年</w:t>
      </w:r>
      <w:r>
        <w:rPr>
          <w:rFonts w:ascii="仿宋_GB2312" w:eastAsia="仿宋_GB2312"/>
          <w:sz w:val="32"/>
          <w:szCs w:val="32"/>
          <w:highlight w:val="yellow"/>
        </w:rPr>
        <w:t>一般公共预算</w:t>
      </w:r>
      <w:r>
        <w:rPr>
          <w:rFonts w:hint="eastAsia" w:ascii="仿宋_GB2312" w:eastAsia="仿宋_GB2312"/>
          <w:sz w:val="32"/>
          <w:szCs w:val="32"/>
          <w:highlight w:val="yellow"/>
          <w:lang w:val="en-US" w:eastAsia="zh-CN"/>
        </w:rPr>
        <w:t>财政</w:t>
      </w:r>
      <w:r>
        <w:rPr>
          <w:rFonts w:ascii="仿宋_GB2312" w:eastAsia="仿宋_GB2312"/>
          <w:sz w:val="32"/>
          <w:szCs w:val="32"/>
          <w:highlight w:val="yellow"/>
        </w:rPr>
        <w:t>拨款支出无变动。</w:t>
      </w:r>
    </w:p>
    <w:p>
      <w:pPr>
        <w:widowControl/>
        <w:ind w:firstLine="640" w:firstLineChars="200"/>
        <w:rPr>
          <w:rFonts w:hint="eastAsia" w:ascii="仿宋_GB2312" w:eastAsia="仿宋_GB2312"/>
          <w:sz w:val="32"/>
          <w:szCs w:val="32"/>
          <w:lang w:eastAsia="zh-CN"/>
        </w:rPr>
      </w:pPr>
      <w:r>
        <w:rPr>
          <w:rFonts w:ascii="仿宋_GB2312" w:eastAsia="仿宋_GB2312"/>
          <w:sz w:val="32"/>
          <w:szCs w:val="32"/>
        </w:rPr>
        <w:t>7、资源勘探工业信息等支出（类）支持中小企业发展和管理支出（款）其他支持中小企业发展和管理支出（项）：支出决算数为255.85万元，比上年决算减少14.54万元，下降5.38%，主要原因是：两名在职人员调出，导致人员经费减少</w:t>
      </w:r>
      <w:r>
        <w:rPr>
          <w:rFonts w:hint="eastAsia" w:ascii="仿宋_GB2312" w:eastAsia="仿宋_GB2312"/>
          <w:sz w:val="32"/>
          <w:szCs w:val="32"/>
          <w:lang w:eastAsia="zh-CN"/>
        </w:rPr>
        <w:t>。</w:t>
      </w:r>
    </w:p>
    <w:p>
      <w:pPr>
        <w:widowControl/>
        <w:ind w:firstLine="640" w:firstLineChars="200"/>
        <w:rPr>
          <w:rFonts w:ascii="仿宋_GB2312" w:eastAsia="仿宋_GB2312"/>
          <w:sz w:val="32"/>
          <w:szCs w:val="32"/>
          <w:highlight w:val="yellow"/>
        </w:rPr>
      </w:pPr>
      <w:r>
        <w:rPr>
          <w:rFonts w:ascii="仿宋_GB2312" w:eastAsia="仿宋_GB2312"/>
          <w:sz w:val="32"/>
          <w:szCs w:val="32"/>
        </w:rPr>
        <w:t>8、住房保障支出（类）住房改革支出（款）住房公积金（项）：支出决算数为27.37万元，比上年决算增加2.29万元，增长9.13%，主要原因是：</w:t>
      </w:r>
      <w:r>
        <w:rPr>
          <w:rFonts w:ascii="仿宋_GB2312" w:eastAsia="仿宋_GB2312"/>
          <w:sz w:val="32"/>
          <w:szCs w:val="32"/>
          <w:highlight w:val="yellow"/>
        </w:rPr>
        <w:t>工资调标使</w:t>
      </w:r>
      <w:r>
        <w:rPr>
          <w:rFonts w:hint="eastAsia" w:ascii="仿宋_GB2312" w:eastAsia="仿宋_GB2312"/>
          <w:sz w:val="32"/>
          <w:szCs w:val="32"/>
          <w:highlight w:val="yellow"/>
          <w:lang w:val="en-US" w:eastAsia="zh-CN"/>
        </w:rPr>
        <w:t>住房公积金</w:t>
      </w:r>
      <w:r>
        <w:rPr>
          <w:rFonts w:ascii="仿宋_GB2312" w:eastAsia="仿宋_GB2312"/>
          <w:sz w:val="32"/>
          <w:szCs w:val="32"/>
          <w:highlight w:val="yellow"/>
        </w:rPr>
        <w:t>基数增加，</w:t>
      </w:r>
      <w:r>
        <w:rPr>
          <w:rFonts w:hint="eastAsia" w:ascii="仿宋_GB2312" w:eastAsia="仿宋_GB2312"/>
          <w:sz w:val="32"/>
          <w:szCs w:val="32"/>
          <w:highlight w:val="yellow"/>
          <w:lang w:val="en-US" w:eastAsia="zh-CN"/>
        </w:rPr>
        <w:t>本年</w:t>
      </w:r>
      <w:r>
        <w:rPr>
          <w:rFonts w:ascii="仿宋_GB2312" w:eastAsia="仿宋_GB2312"/>
          <w:sz w:val="32"/>
          <w:szCs w:val="32"/>
          <w:highlight w:val="yellow"/>
        </w:rPr>
        <w:t>一般公共预算</w:t>
      </w:r>
      <w:r>
        <w:rPr>
          <w:rFonts w:hint="eastAsia" w:ascii="仿宋_GB2312" w:eastAsia="仿宋_GB2312"/>
          <w:sz w:val="32"/>
          <w:szCs w:val="32"/>
          <w:highlight w:val="yellow"/>
          <w:lang w:val="en-US" w:eastAsia="zh-CN"/>
        </w:rPr>
        <w:t>财政</w:t>
      </w:r>
      <w:r>
        <w:rPr>
          <w:rFonts w:ascii="仿宋_GB2312" w:eastAsia="仿宋_GB2312"/>
          <w:sz w:val="32"/>
          <w:szCs w:val="32"/>
          <w:highlight w:val="yellow"/>
        </w:rPr>
        <w:t>拨款支出增加。</w:t>
      </w:r>
    </w:p>
    <w:p>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376.26万元，其中：人员经费350.72万元，包括：基本工资、津贴补贴、奖金、绩效工资、机关事业单位基本养老保险缴费、职业年金缴费、职工基本医疗保险缴费、公务员医疗补助缴费、其他社会保障缴费、住房公积金、其他工资福利支出、退休费和其他对个人和家庭的补助。</w:t>
      </w:r>
    </w:p>
    <w:p>
      <w:pPr>
        <w:widowControl/>
        <w:ind w:firstLine="640" w:firstLineChars="200"/>
        <w:rPr>
          <w:rFonts w:ascii="仿宋_GB2312" w:eastAsia="仿宋_GB2312"/>
          <w:sz w:val="32"/>
          <w:szCs w:val="32"/>
        </w:rPr>
      </w:pPr>
      <w:r>
        <w:rPr>
          <w:rFonts w:ascii="仿宋_GB2312" w:eastAsia="仿宋_GB2312"/>
          <w:sz w:val="32"/>
          <w:szCs w:val="32"/>
        </w:rPr>
        <w:t>公用经费25.55万元，包括：办公费、水费、邮电费、取暖费、差旅费、工会经费、福利费和其他商品和服务支出。</w:t>
      </w:r>
    </w:p>
    <w:p>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pPr>
        <w:widowControl/>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pPr>
        <w:widowControl/>
        <w:ind w:firstLine="640" w:firstLineChars="200"/>
        <w:rPr>
          <w:rFonts w:ascii="仿宋_GB2312" w:eastAsia="仿宋_GB2312"/>
          <w:sz w:val="32"/>
          <w:szCs w:val="32"/>
        </w:rPr>
      </w:pPr>
      <w:r>
        <w:rPr>
          <w:rFonts w:ascii="仿宋_GB2312" w:eastAsia="仿宋_GB2312"/>
          <w:sz w:val="32"/>
          <w:szCs w:val="32"/>
        </w:rPr>
        <w:t>2024年度财政拨款“三公”经费支出0.00万元，与上年相比无变化，主要原因是：无财政拨款“三公”经费支出。其中：因公出国（境）费支出0.00万元,占0.00%，与上年相比无变化，主要原因是：无因公出国（境）费；公务用车购置及运行维护费支出0.00万元，占0.00%，与上年相比无变化，主要原因是：无公务用车购置及运行维护费；公务接待费支出0.00万元，占0.00%，与上年相比无变化，主要原因是：无公务接待费。</w:t>
      </w:r>
    </w:p>
    <w:p>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因公出国（境）费支出0.00万元，开支内容包括无因公出国（境）费。单位全年安排的因公出国（境）团组0个，因公出国（境）0人次。</w:t>
      </w:r>
    </w:p>
    <w:p>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无公务用车运行维护费。公务用车购置数0辆，公务用车保有量0辆。国有资产占用情况中固定资产车辆1辆，与公务用车保有量差异原因是：用于企业走访、机构调研等业务用车1辆。</w:t>
      </w:r>
    </w:p>
    <w:p>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公务接待费0.00万元，开支内容包括无公务接待费。单位全年安排的国内公务接待0批次，0人次。</w:t>
      </w:r>
    </w:p>
    <w:p>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无财政拨款“三公”经费支出。其中：因公出国（境）费全年预算数0.00万元，决算数0.00万元，预决算差异率0.00%，主要原因是：无因公出国（境）费；公务用车购置费全年预算数0.00万元，决算数0.00万元，预决算差异率0.00%，主要原因是：无公务用车购置费；公务用车运行维护费全年预算数0.00万元，决算数0.00万元，预决算差异率0.00%，主要原因是：无公务用车运行维护费；公务接待费全年预算数0.00万元，决算数0.00万元，预决算差异率0.00%，主要原因是：无公务接待费。</w:t>
      </w:r>
    </w:p>
    <w:p>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pPr>
        <w:widowControl/>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ind w:firstLine="640" w:firstLineChars="200"/>
        <w:rPr>
          <w:rFonts w:ascii="仿宋_GB2312" w:eastAsia="仿宋_GB2312"/>
          <w:sz w:val="32"/>
          <w:szCs w:val="32"/>
        </w:rPr>
      </w:pPr>
      <w:r>
        <w:rPr>
          <w:rFonts w:ascii="仿宋_GB2312" w:eastAsia="仿宋_GB2312"/>
          <w:sz w:val="32"/>
          <w:szCs w:val="32"/>
        </w:rPr>
        <w:t>2024年度新疆维吾尔自治区中小企业发展促进中心单位​（事业单位）公用经费支出25.55万元，比上年增加2.01万元，增长8.54%，主要原因是：人员工资调标，事业单位</w:t>
      </w:r>
      <w:r>
        <w:rPr>
          <w:rFonts w:hint="eastAsia" w:ascii="仿宋_GB2312" w:eastAsia="仿宋_GB2312"/>
          <w:sz w:val="32"/>
          <w:szCs w:val="32"/>
          <w:lang w:val="en-US" w:eastAsia="zh-CN"/>
        </w:rPr>
        <w:t>运行</w:t>
      </w:r>
      <w:bookmarkStart w:id="0" w:name="_GoBack"/>
      <w:bookmarkEnd w:id="0"/>
      <w:r>
        <w:rPr>
          <w:rFonts w:ascii="仿宋_GB2312" w:eastAsia="仿宋_GB2312"/>
          <w:sz w:val="32"/>
          <w:szCs w:val="32"/>
        </w:rPr>
        <w:t>经费财政拨款增加。</w:t>
      </w:r>
    </w:p>
    <w:p>
      <w:pPr>
        <w:widowControl/>
        <w:ind w:firstLine="643" w:firstLineChars="200"/>
        <w:jc w:val="left"/>
        <w:outlineLvl w:val="2"/>
        <w:rPr>
          <w:rFonts w:ascii="黑体" w:eastAsia="黑体"/>
          <w:sz w:val="32"/>
          <w:szCs w:val="32"/>
        </w:rPr>
      </w:pPr>
      <w:r>
        <w:rPr>
          <w:rFonts w:ascii="黑体" w:eastAsia="黑体"/>
          <w:b/>
          <w:sz w:val="32"/>
          <w:szCs w:val="32"/>
        </w:rPr>
        <w:t>（二）政府采购情况</w:t>
      </w:r>
    </w:p>
    <w:p>
      <w:pPr>
        <w:widowControl/>
        <w:ind w:firstLine="640" w:firstLineChars="200"/>
        <w:rPr>
          <w:rFonts w:ascii="仿宋_GB2312" w:eastAsia="仿宋_GB2312"/>
          <w:sz w:val="32"/>
          <w:szCs w:val="32"/>
        </w:rPr>
      </w:pPr>
      <w:r>
        <w:rPr>
          <w:rFonts w:ascii="仿宋_GB2312" w:eastAsia="仿宋_GB2312"/>
          <w:sz w:val="32"/>
          <w:szCs w:val="32"/>
        </w:rPr>
        <w:t>2024年度政府采购支出总额371.97万元，其中：政府采购货物支出4.00万元、政府采购工程支出0.00万元、政府采购服务支出367.97万元。</w:t>
      </w:r>
    </w:p>
    <w:p>
      <w:pPr>
        <w:widowControl/>
        <w:ind w:firstLine="640" w:firstLineChars="200"/>
        <w:rPr>
          <w:rFonts w:ascii="仿宋_GB2312" w:eastAsia="仿宋_GB2312"/>
          <w:sz w:val="32"/>
          <w:szCs w:val="32"/>
        </w:rPr>
      </w:pPr>
      <w:r>
        <w:rPr>
          <w:rFonts w:ascii="仿宋_GB2312" w:eastAsia="仿宋_GB2312"/>
          <w:sz w:val="32"/>
          <w:szCs w:val="32"/>
        </w:rPr>
        <w:t>授予中小企业合同金额371.69万元，占政府采购支出总额的99.92%，其中：授予小微企业合同金额371.69万元，占政府采购支出总额的99.92%。</w:t>
      </w:r>
    </w:p>
    <w:p>
      <w:pPr>
        <w:widowControl/>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ind w:firstLine="640" w:firstLineChars="200"/>
        <w:rPr>
          <w:rFonts w:ascii="仿宋_GB2312" w:eastAsia="仿宋_GB2312"/>
          <w:sz w:val="32"/>
          <w:szCs w:val="32"/>
        </w:rPr>
      </w:pPr>
      <w:r>
        <w:rPr>
          <w:rFonts w:ascii="仿宋_GB2312" w:eastAsia="仿宋_GB2312"/>
          <w:sz w:val="32"/>
          <w:szCs w:val="32"/>
        </w:rPr>
        <w:t>截至2024年12月31日，房屋2,593.38平方米，价值548.14万元。车辆1辆，价值27.46万元，其中：副部（省）级及以上领导用车0辆、主要负责人用车0辆、机要通信用车0辆、应急保障用车0辆、执法执勤用车0辆、特种专业技术用车0辆、离退休干部服务用车0辆、其他用车1辆，其他用车主要是：用于企业走访、机构调研等业务用车;单价100万元（含）以上设备（不含车辆）0台（套）。</w:t>
      </w:r>
    </w:p>
    <w:p>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根据预算绩效管理要求，本单位2024年度预算绩效评价项目2个，全年预算数463.80万元，全年执行数</w:t>
      </w:r>
      <w:r>
        <w:rPr>
          <w:rFonts w:ascii="仿宋_GB2312" w:eastAsia="仿宋_GB2312"/>
          <w:sz w:val="32"/>
          <w:szCs w:val="32"/>
          <w:highlight w:val="none"/>
        </w:rPr>
        <w:t>384.9</w:t>
      </w:r>
      <w:r>
        <w:rPr>
          <w:rFonts w:hint="eastAsia" w:ascii="仿宋_GB2312" w:eastAsia="仿宋_GB2312"/>
          <w:sz w:val="32"/>
          <w:szCs w:val="32"/>
          <w:highlight w:val="none"/>
          <w:lang w:val="en-US" w:eastAsia="zh-CN"/>
        </w:rPr>
        <w:t>6</w:t>
      </w:r>
      <w:r>
        <w:rPr>
          <w:rFonts w:ascii="仿宋_GB2312" w:eastAsia="仿宋_GB2312"/>
          <w:sz w:val="32"/>
          <w:szCs w:val="32"/>
        </w:rPr>
        <w:t>万元。预算绩效管理取得的成效：一是严格执行《工信厅全面预算绩效管理办法》，规范和加快预算执行，积极做好绩效监控和绩效评价工作，确保预算执行的准确性，及时性和规范性,切实发挥财政资金最大效用；二是各项工作实施及资金使用情况均在绩效目标设定时限完成，在项目经费的使用上，在保证各项任务顺利完成的同时，严格落实厉行节约原则；三是继续发挥新疆中小企业公共服务平台枢纽作用，强化完善核心服务功能。发现的问题及原因：根据重点工作安排，在项目支出绩效监控工作中，存在预算整体支出绩效目标与产出的数量指标、质量指标缺乏对应性，关联性和可操作性不强、执行周期较长，影响了预算执行率，降低了绩效监控及绩效评价报告工作质量。下一步改进措施：一是建成单位系统内控体系，进一步规范资金使用管理全流程，依程序高质量完成各项工作任务。二是在今后的绩效目标设定过程中，注意考虑突发事件的影响，制定出更加符合实际的绩效目标，加强绩效目标对管理工作的指导作用。具体附项目支出绩效自评表。</w:t>
      </w:r>
    </w:p>
    <w:p>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pPr>
        <w:widowControl/>
        <w:ind w:firstLine="640" w:firstLineChars="200"/>
        <w:jc w:val="left"/>
        <w:rPr>
          <w:rFonts w:ascii="仿宋_GB2312" w:eastAsia="仿宋_GB2312"/>
          <w:sz w:val="32"/>
          <w:szCs w:val="32"/>
        </w:rPr>
      </w:pP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第三部分 专业名词解释</w:t>
      </w:r>
    </w:p>
    <w:p>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第四部分 部门决算报表（见附表）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4D10CB"/>
    <w:rsid w:val="004D10CB"/>
    <w:rsid w:val="007E177A"/>
    <w:rsid w:val="008409CE"/>
    <w:rsid w:val="00965DED"/>
    <w:rsid w:val="00DE1C51"/>
    <w:rsid w:val="00FF5F2E"/>
    <w:rsid w:val="04E24C54"/>
    <w:rsid w:val="0A6B358A"/>
    <w:rsid w:val="147E3097"/>
    <w:rsid w:val="192E3B22"/>
    <w:rsid w:val="199B46CA"/>
    <w:rsid w:val="1CA108E6"/>
    <w:rsid w:val="1CD6789E"/>
    <w:rsid w:val="22060AFD"/>
    <w:rsid w:val="27AB64C3"/>
    <w:rsid w:val="2C120057"/>
    <w:rsid w:val="2CB238F8"/>
    <w:rsid w:val="2FFF7F00"/>
    <w:rsid w:val="323D00C7"/>
    <w:rsid w:val="35000073"/>
    <w:rsid w:val="37306759"/>
    <w:rsid w:val="37AA347F"/>
    <w:rsid w:val="3A5A1B6C"/>
    <w:rsid w:val="3B71253E"/>
    <w:rsid w:val="3FBD1EDD"/>
    <w:rsid w:val="41D44B84"/>
    <w:rsid w:val="44F90CA4"/>
    <w:rsid w:val="4DA14564"/>
    <w:rsid w:val="55AB198F"/>
    <w:rsid w:val="593B0645"/>
    <w:rsid w:val="6221031B"/>
    <w:rsid w:val="68EE2884"/>
    <w:rsid w:val="782B2C72"/>
    <w:rsid w:val="7A747A30"/>
    <w:rsid w:val="7E6D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5728</Words>
  <Characters>6311</Characters>
  <Lines>45</Lines>
  <Paragraphs>12</Paragraphs>
  <TotalTime>15</TotalTime>
  <ScaleCrop>false</ScaleCrop>
  <LinksUpToDate>false</LinksUpToDate>
  <CharactersWithSpaces>6321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2025-08-22T02:20:00Z</dcterms:created>
  <dc:creator>Administrator</dc:creator>
  <cp:lastModifiedBy>Administrator</cp:lastModifiedBy>
  <dcterms:modified xsi:type="dcterms:W3CDTF">2025-08-25T11:08:01Z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KSOTemplateDocerSaveRecord">
    <vt:lpwstr>eyJoZGlkIjoiMTQ2NzI0ZjUzODYxOWE1YWJiNjUyOWU0YzFkMzY5Y2YiLCJ1c2VySWQiOiI0MzIyNjc3ODgifQ==</vt:lpwstr>
  </property>
  <property fmtid="{D5CDD505-2E9C-101B-9397-08002B2CF9AE}" pid="4" name="ICV">
    <vt:lpwstr>141B040128BB40EC98B8C1BC431CB6FB_12</vt:lpwstr>
  </property>
</Properties>
</file>