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C3988F">
      <w:pPr>
        <w:spacing w:line="540" w:lineRule="exact"/>
        <w:jc w:val="center"/>
        <w:rPr>
          <w:rFonts w:hint="default" w:ascii="Times New Roman" w:hAnsi="Times New Roman" w:eastAsia="华文中宋" w:cs="Times New Roman"/>
          <w:b/>
          <w:kern w:val="0"/>
          <w:sz w:val="52"/>
          <w:szCs w:val="52"/>
        </w:rPr>
      </w:pPr>
    </w:p>
    <w:p w14:paraId="27DE8E20">
      <w:pPr>
        <w:spacing w:line="540" w:lineRule="exact"/>
        <w:rPr>
          <w:rFonts w:hint="default" w:ascii="Times New Roman" w:hAnsi="Times New Roman" w:eastAsia="华文中宋" w:cs="Times New Roman"/>
          <w:b/>
          <w:kern w:val="0"/>
          <w:sz w:val="52"/>
          <w:szCs w:val="52"/>
        </w:rPr>
      </w:pPr>
    </w:p>
    <w:p w14:paraId="56BBE17F">
      <w:pPr>
        <w:spacing w:line="540" w:lineRule="exact"/>
        <w:jc w:val="center"/>
        <w:rPr>
          <w:rFonts w:hint="default" w:ascii="Times New Roman" w:hAnsi="Times New Roman" w:eastAsia="华文中宋" w:cs="Times New Roman"/>
          <w:b/>
          <w:kern w:val="0"/>
          <w:sz w:val="52"/>
          <w:szCs w:val="52"/>
        </w:rPr>
      </w:pPr>
    </w:p>
    <w:p w14:paraId="5125081C">
      <w:pPr>
        <w:spacing w:line="540" w:lineRule="exact"/>
        <w:jc w:val="center"/>
        <w:rPr>
          <w:rFonts w:hint="default" w:ascii="Times New Roman" w:hAnsi="Times New Roman" w:eastAsia="华文中宋" w:cs="Times New Roman"/>
          <w:b/>
          <w:kern w:val="0"/>
          <w:sz w:val="52"/>
          <w:szCs w:val="52"/>
        </w:rPr>
      </w:pPr>
    </w:p>
    <w:p w14:paraId="242DEA9E">
      <w:pPr>
        <w:spacing w:line="540" w:lineRule="exact"/>
        <w:jc w:val="center"/>
        <w:rPr>
          <w:rFonts w:hint="default" w:ascii="Times New Roman" w:hAnsi="Times New Roman" w:eastAsia="方正小标宋_GBK" w:cs="Times New Roman"/>
          <w:kern w:val="0"/>
          <w:sz w:val="48"/>
          <w:szCs w:val="48"/>
        </w:rPr>
      </w:pPr>
      <w:r>
        <w:rPr>
          <w:rFonts w:hint="eastAsia" w:ascii="Times New Roman" w:hAnsi="Times New Roman" w:eastAsia="方正小标宋_GBK" w:cs="Times New Roman"/>
          <w:kern w:val="0"/>
          <w:sz w:val="48"/>
          <w:szCs w:val="48"/>
          <w:lang w:eastAsia="zh-CN"/>
        </w:rPr>
        <w:t>为中小企业提供服务</w:t>
      </w:r>
      <w:r>
        <w:rPr>
          <w:rFonts w:hint="default" w:ascii="Times New Roman" w:hAnsi="Times New Roman" w:eastAsia="方正小标宋_GBK" w:cs="Times New Roman"/>
          <w:kern w:val="0"/>
          <w:sz w:val="48"/>
          <w:szCs w:val="48"/>
        </w:rPr>
        <w:t>项目支出</w:t>
      </w:r>
      <w:r>
        <w:rPr>
          <w:rFonts w:hint="eastAsia" w:eastAsia="方正小标宋_GBK" w:cs="Times New Roman"/>
          <w:kern w:val="0"/>
          <w:sz w:val="48"/>
          <w:szCs w:val="48"/>
          <w:lang w:val="en-US" w:eastAsia="zh-CN"/>
        </w:rPr>
        <w:t xml:space="preserve">        </w:t>
      </w:r>
      <w:r>
        <w:rPr>
          <w:rFonts w:hint="default" w:ascii="Times New Roman" w:hAnsi="Times New Roman" w:eastAsia="方正小标宋_GBK" w:cs="Times New Roman"/>
          <w:kern w:val="0"/>
          <w:sz w:val="48"/>
          <w:szCs w:val="48"/>
        </w:rPr>
        <w:t>绩效评价报告</w:t>
      </w:r>
    </w:p>
    <w:p w14:paraId="13E9016A">
      <w:pPr>
        <w:spacing w:line="540" w:lineRule="exact"/>
        <w:jc w:val="center"/>
        <w:rPr>
          <w:rFonts w:hint="default" w:ascii="Times New Roman" w:hAnsi="Times New Roman" w:eastAsia="华文中宋" w:cs="Times New Roman"/>
          <w:b/>
          <w:kern w:val="0"/>
          <w:sz w:val="52"/>
          <w:szCs w:val="52"/>
        </w:rPr>
      </w:pPr>
    </w:p>
    <w:p w14:paraId="3CD0B1BB">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41C01E64">
      <w:pPr>
        <w:spacing w:line="540" w:lineRule="exact"/>
        <w:jc w:val="center"/>
        <w:rPr>
          <w:rFonts w:hint="default" w:ascii="Times New Roman" w:hAnsi="Times New Roman" w:eastAsia="仿宋_GB2312" w:cs="Times New Roman"/>
          <w:kern w:val="0"/>
          <w:sz w:val="30"/>
          <w:szCs w:val="30"/>
        </w:rPr>
      </w:pPr>
    </w:p>
    <w:p w14:paraId="085BB58C">
      <w:pPr>
        <w:spacing w:line="540" w:lineRule="exact"/>
        <w:jc w:val="center"/>
        <w:rPr>
          <w:rFonts w:hint="default" w:ascii="Times New Roman" w:hAnsi="Times New Roman" w:eastAsia="仿宋_GB2312" w:cs="Times New Roman"/>
          <w:kern w:val="0"/>
          <w:sz w:val="30"/>
          <w:szCs w:val="30"/>
        </w:rPr>
      </w:pPr>
    </w:p>
    <w:p w14:paraId="6634FCF5">
      <w:pPr>
        <w:spacing w:line="540" w:lineRule="exact"/>
        <w:jc w:val="center"/>
        <w:rPr>
          <w:rFonts w:hint="default" w:ascii="Times New Roman" w:hAnsi="Times New Roman" w:eastAsia="仿宋_GB2312" w:cs="Times New Roman"/>
          <w:kern w:val="0"/>
          <w:sz w:val="30"/>
          <w:szCs w:val="30"/>
        </w:rPr>
      </w:pPr>
    </w:p>
    <w:p w14:paraId="0A6ACE60">
      <w:pPr>
        <w:pStyle w:val="2"/>
        <w:rPr>
          <w:rFonts w:hint="default" w:ascii="Times New Roman" w:hAnsi="Times New Roman" w:cs="Times New Roman"/>
        </w:rPr>
      </w:pPr>
    </w:p>
    <w:p w14:paraId="764EEF58">
      <w:pPr>
        <w:spacing w:line="540" w:lineRule="exact"/>
        <w:jc w:val="center"/>
        <w:rPr>
          <w:rFonts w:hint="default" w:ascii="Times New Roman" w:hAnsi="Times New Roman" w:eastAsia="仿宋_GB2312" w:cs="Times New Roman"/>
          <w:kern w:val="0"/>
          <w:sz w:val="30"/>
          <w:szCs w:val="30"/>
        </w:rPr>
      </w:pPr>
    </w:p>
    <w:p w14:paraId="415C9D6D">
      <w:pPr>
        <w:spacing w:line="540" w:lineRule="exact"/>
        <w:rPr>
          <w:rFonts w:hint="default" w:ascii="Times New Roman" w:hAnsi="Times New Roman" w:eastAsia="仿宋_GB2312" w:cs="Times New Roman"/>
          <w:kern w:val="0"/>
          <w:sz w:val="30"/>
          <w:szCs w:val="30"/>
        </w:rPr>
      </w:pPr>
    </w:p>
    <w:p w14:paraId="57FEBAFA">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项目名称：</w:t>
      </w:r>
      <w:r>
        <w:rPr>
          <w:rFonts w:hint="eastAsia" w:eastAsia="仿宋_GB2312" w:cs="Times New Roman"/>
          <w:kern w:val="0"/>
          <w:sz w:val="36"/>
          <w:szCs w:val="36"/>
          <w:lang w:eastAsia="zh-CN"/>
        </w:rPr>
        <w:t>为中小企业提供服务项目</w:t>
      </w:r>
    </w:p>
    <w:p w14:paraId="4A657F9B">
      <w:pPr>
        <w:spacing w:line="700" w:lineRule="exact"/>
        <w:ind w:firstLine="1440" w:firstLineChars="400"/>
        <w:jc w:val="left"/>
        <w:rPr>
          <w:rFonts w:hint="default" w:eastAsia="仿宋_GB2312" w:cs="Times New Roman"/>
          <w:kern w:val="0"/>
          <w:sz w:val="36"/>
          <w:szCs w:val="36"/>
          <w:lang w:val="en-US"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eastAsia="zh-CN"/>
        </w:rPr>
        <w:t>新疆维吾尔自治区中小企业</w:t>
      </w:r>
      <w:r>
        <w:rPr>
          <w:rFonts w:hint="eastAsia" w:eastAsia="仿宋_GB2312" w:cs="Times New Roman"/>
          <w:kern w:val="0"/>
          <w:sz w:val="36"/>
          <w:szCs w:val="36"/>
          <w:lang w:val="en-US" w:eastAsia="zh-CN"/>
        </w:rPr>
        <w:t>发展促进中心</w:t>
      </w:r>
    </w:p>
    <w:p w14:paraId="35099C90">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eastAsia="zh-CN"/>
        </w:rPr>
        <w:t>杨晋辉</w:t>
      </w:r>
    </w:p>
    <w:p w14:paraId="0BCA6EE9">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3</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14</w:t>
      </w:r>
      <w:r>
        <w:rPr>
          <w:rFonts w:hint="default" w:ascii="Times New Roman" w:hAnsi="Times New Roman" w:eastAsia="仿宋_GB2312" w:cs="Times New Roman"/>
          <w:kern w:val="0"/>
          <w:sz w:val="36"/>
          <w:szCs w:val="36"/>
        </w:rPr>
        <w:t>日</w:t>
      </w:r>
    </w:p>
    <w:p w14:paraId="0672D42D">
      <w:pPr>
        <w:spacing w:line="540" w:lineRule="exact"/>
        <w:jc w:val="center"/>
        <w:rPr>
          <w:rFonts w:hint="default" w:ascii="Times New Roman" w:hAnsi="Times New Roman" w:eastAsia="仿宋_GB2312" w:cs="Times New Roman"/>
          <w:kern w:val="0"/>
          <w:sz w:val="30"/>
          <w:szCs w:val="30"/>
        </w:rPr>
      </w:pPr>
    </w:p>
    <w:p w14:paraId="18073CFA">
      <w:pPr>
        <w:spacing w:line="540" w:lineRule="exact"/>
        <w:rPr>
          <w:rStyle w:val="16"/>
          <w:rFonts w:hint="default" w:ascii="Times New Roman" w:hAnsi="Times New Roman" w:eastAsia="黑体" w:cs="Times New Roman"/>
          <w:b w:val="0"/>
          <w:spacing w:val="-4"/>
          <w:sz w:val="32"/>
          <w:szCs w:val="32"/>
        </w:rPr>
      </w:pPr>
    </w:p>
    <w:p w14:paraId="1C6011FE">
      <w:pPr>
        <w:spacing w:line="540" w:lineRule="exact"/>
        <w:ind w:firstLine="640"/>
        <w:rPr>
          <w:rStyle w:val="16"/>
          <w:rFonts w:hint="default" w:ascii="Times New Roman" w:hAnsi="Times New Roman" w:eastAsia="黑体" w:cs="Times New Roman"/>
          <w:b w:val="0"/>
          <w:spacing w:val="-4"/>
          <w:sz w:val="32"/>
          <w:szCs w:val="32"/>
        </w:rPr>
      </w:pPr>
    </w:p>
    <w:p w14:paraId="6186DF35">
      <w:pPr>
        <w:spacing w:line="540" w:lineRule="exact"/>
        <w:rPr>
          <w:rStyle w:val="16"/>
          <w:rFonts w:hint="default" w:ascii="Times New Roman" w:hAnsi="Times New Roman" w:eastAsia="黑体" w:cs="Times New Roman"/>
          <w:b w:val="0"/>
          <w:spacing w:val="-4"/>
          <w:sz w:val="32"/>
          <w:szCs w:val="32"/>
        </w:rPr>
      </w:pPr>
    </w:p>
    <w:p w14:paraId="517ECD5C">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76B8DD82">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6A3D8E63">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30A892F9">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49C8406C">
      <w:pPr>
        <w:spacing w:line="600" w:lineRule="exact"/>
        <w:ind w:firstLine="640" w:firstLineChars="200"/>
        <w:rPr>
          <w:rFonts w:hint="eastAsia" w:eastAsia="仿宋_GB2312"/>
          <w:sz w:val="32"/>
          <w:szCs w:val="32"/>
          <w:highlight w:val="none"/>
        </w:rPr>
      </w:pPr>
      <w:r>
        <w:rPr>
          <w:rFonts w:hint="eastAsia" w:eastAsia="仿宋_GB2312"/>
          <w:sz w:val="32"/>
          <w:szCs w:val="32"/>
          <w:highlight w:val="none"/>
        </w:rPr>
        <w:t>为了深入贯彻落实《中小企业促进法》，根据中办、国办印发《关于促进中小企业健康发展的指导意见》，结合自治区人民政府《关于促进中小企业发展的实施意见》(新政发(2010) 92号)文件精神，按照自治区工信厅发布的关于促进中小企业发展的各项工作部署，中小企业服务中心结合我区中小企业的实际需求，计划通过开展咨询与培训、志愿服务、金融服务、 创新创业服务、法律服务等的方式，为我区中小企业高质量发展提供多样化的综合服务。</w:t>
      </w:r>
    </w:p>
    <w:p w14:paraId="326E9ECD">
      <w:pPr>
        <w:spacing w:line="600" w:lineRule="exact"/>
        <w:ind w:firstLine="640" w:firstLineChars="200"/>
        <w:rPr>
          <w:rFonts w:eastAsia="仿宋_GB2312"/>
          <w:sz w:val="32"/>
          <w:szCs w:val="32"/>
          <w:highlight w:val="none"/>
        </w:rPr>
      </w:pPr>
      <w:r>
        <w:rPr>
          <w:rFonts w:hint="eastAsia" w:eastAsia="仿宋_GB2312"/>
          <w:sz w:val="32"/>
          <w:szCs w:val="32"/>
          <w:highlight w:val="none"/>
        </w:rPr>
        <w:t>中小企业服务中心承担着提升和改善我区中小企业经营管理水平，解决中小企业生产发展的问题和困难，不断提高中小企业核心竞争力，推动中小企业健康发展的职责，除为我区中小企业直接提供技术推广、管理咨询、人才培训、投融资顾问、技术创新等服务之外，还承担着协调和引导各类服务资源助力中小企业高质量发展的职责使命，因此，如何更好地聚集优质服务资源，如何更好地服务中小企业，就成为了目前的一个工作重点。</w:t>
      </w:r>
    </w:p>
    <w:p w14:paraId="5D5D0644">
      <w:pPr>
        <w:pStyle w:val="2"/>
        <w:numPr>
          <w:ilvl w:val="0"/>
          <w:numId w:val="0"/>
        </w:numPr>
        <w:spacing w:before="0" w:after="0" w:line="560" w:lineRule="exact"/>
        <w:ind w:firstLine="643" w:firstLineChars="200"/>
        <w:jc w:val="both"/>
        <w:rPr>
          <w:rFonts w:hint="default" w:ascii="Times New Roman" w:hAnsi="Times New Roman" w:eastAsia="仿宋_GB2312" w:cs="Times New Roman"/>
          <w:kern w:val="2"/>
          <w:lang w:val="en-US" w:eastAsia="zh-CN"/>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r>
        <w:rPr>
          <w:rFonts w:hint="eastAsia" w:ascii="Times New Roman" w:hAnsi="Times New Roman" w:eastAsia="仿宋_GB2312" w:cs="Times New Roman"/>
          <w:kern w:val="2"/>
          <w:lang w:val="en-US" w:eastAsia="zh-CN"/>
        </w:rPr>
        <w:t>及实施情况</w:t>
      </w:r>
    </w:p>
    <w:p w14:paraId="6F97453E">
      <w:pPr>
        <w:spacing w:line="600" w:lineRule="exact"/>
        <w:ind w:firstLine="600" w:firstLineChars="200"/>
        <w:rPr>
          <w:rFonts w:hint="eastAsia" w:eastAsia="仿宋_GB2312"/>
          <w:sz w:val="32"/>
          <w:szCs w:val="32"/>
          <w:highlight w:val="none"/>
          <w:lang w:val="en-US" w:eastAsia="zh-CN"/>
        </w:rPr>
      </w:pPr>
      <w:r>
        <w:rPr>
          <w:rFonts w:hint="default" w:ascii="Times New Roman" w:hAnsi="Times New Roman" w:eastAsia="仿宋_GB2312" w:cs="Times New Roman"/>
          <w:sz w:val="30"/>
          <w:szCs w:val="30"/>
          <w:highlight w:val="none"/>
          <w:lang w:val="en-US" w:eastAsia="zh-CN"/>
        </w:rPr>
        <w:t>项目主要内容：</w:t>
      </w:r>
      <w:r>
        <w:rPr>
          <w:rFonts w:hint="eastAsia" w:eastAsia="仿宋_GB2312"/>
          <w:sz w:val="32"/>
          <w:szCs w:val="32"/>
          <w:highlight w:val="none"/>
          <w:lang w:eastAsia="zh-CN"/>
        </w:rPr>
        <w:t>根据我区中小企业的实际需求，</w:t>
      </w:r>
      <w:r>
        <w:rPr>
          <w:rFonts w:hint="eastAsia" w:eastAsia="仿宋_GB2312"/>
          <w:sz w:val="32"/>
          <w:szCs w:val="32"/>
          <w:highlight w:val="none"/>
          <w:lang w:val="en-US" w:eastAsia="zh-CN"/>
        </w:rPr>
        <w:t>结合我中心的具体工作职能，2024年度计划实施的</w:t>
      </w:r>
      <w:r>
        <w:rPr>
          <w:rFonts w:hint="eastAsia" w:eastAsia="仿宋_GB2312"/>
          <w:sz w:val="32"/>
          <w:szCs w:val="32"/>
          <w:highlight w:val="none"/>
        </w:rPr>
        <w:t>为中小企业提供服务项目</w:t>
      </w:r>
      <w:r>
        <w:rPr>
          <w:rFonts w:hint="eastAsia" w:eastAsia="仿宋_GB2312"/>
          <w:sz w:val="32"/>
          <w:szCs w:val="32"/>
          <w:highlight w:val="none"/>
          <w:lang w:val="en-US" w:eastAsia="zh-CN"/>
        </w:rPr>
        <w:t>将从以下方面开展：</w:t>
      </w:r>
    </w:p>
    <w:p w14:paraId="47DE4D6E">
      <w:pPr>
        <w:spacing w:line="600" w:lineRule="exact"/>
        <w:ind w:firstLine="640" w:firstLineChars="200"/>
        <w:rPr>
          <w:rFonts w:hint="eastAsia" w:eastAsia="仿宋_GB2312"/>
          <w:sz w:val="32"/>
          <w:szCs w:val="32"/>
          <w:highlight w:val="none"/>
          <w:lang w:val="en-US" w:eastAsia="zh-CN"/>
        </w:rPr>
      </w:pPr>
      <w:r>
        <w:rPr>
          <w:rFonts w:hint="eastAsia" w:eastAsia="仿宋_GB2312"/>
          <w:sz w:val="32"/>
          <w:szCs w:val="32"/>
          <w:highlight w:val="none"/>
          <w:lang w:val="en-US" w:eastAsia="zh-CN"/>
        </w:rPr>
        <w:t>中小企业人才培养工作方面，为贯彻落实习近平总书记关于促进中小企业高质量发展的指示精神，引领中小企业经营管理者全面学习理解国家、自治区关于推动制造业发展、网络建设和中小企业健康发展的决策部署，以企业成长阶段渐进培育为目标，围绕一带一路与企业转型升级、智能制造、企业产业链整合、企业管理创新、企业竞争力打造，遵循“专精特新”企业成长规律，为企业找到各阶段驱动要素开展定制化培训，不断提高中小企业发展质量和水平，开展中小企业高层次人才培养班。</w:t>
      </w:r>
    </w:p>
    <w:p w14:paraId="7A31BCFA">
      <w:pPr>
        <w:spacing w:line="600" w:lineRule="exact"/>
        <w:ind w:firstLine="640" w:firstLineChars="200"/>
        <w:rPr>
          <w:rFonts w:hint="eastAsia" w:eastAsia="仿宋_GB2312"/>
          <w:sz w:val="32"/>
          <w:szCs w:val="32"/>
          <w:highlight w:val="none"/>
          <w:lang w:val="en-US" w:eastAsia="zh-CN"/>
        </w:rPr>
      </w:pPr>
      <w:r>
        <w:rPr>
          <w:rFonts w:hint="eastAsia" w:eastAsia="仿宋_GB2312"/>
          <w:sz w:val="32"/>
          <w:szCs w:val="32"/>
          <w:highlight w:val="none"/>
          <w:lang w:val="en-US" w:eastAsia="zh-CN"/>
        </w:rPr>
        <w:t>乡村振兴发展方面，以习近平新时代中国特色社会主义思想为指导，推动实现农业农村现代化为目标，培育乡村产业发展新动能、打造农民增收新亮点，促进农业全面升级、农村全面进步、农民全面发展，推动向实现共同富裕、乡村振兴迈出坚实步伐。围绕现代农业生产经营、农产品电子商务、农民素养与现代生活、农产品质量安全等内容，采取课堂教学、现场教学、观摩交流等方式，培养职业农民，帮助农民转变理念，以高素质农民引领现代农业高质量发展，助力乡村振兴，开展乡村振兴培训班。</w:t>
      </w:r>
    </w:p>
    <w:p w14:paraId="3D9FCA35">
      <w:pPr>
        <w:spacing w:line="600" w:lineRule="exact"/>
        <w:ind w:firstLine="640" w:firstLineChars="200"/>
        <w:rPr>
          <w:rFonts w:hint="eastAsia" w:eastAsia="仿宋_GB2312"/>
          <w:sz w:val="32"/>
          <w:szCs w:val="32"/>
          <w:highlight w:val="none"/>
          <w:lang w:val="en-US" w:eastAsia="zh-CN"/>
        </w:rPr>
      </w:pPr>
      <w:r>
        <w:rPr>
          <w:rFonts w:hint="eastAsia" w:eastAsia="仿宋_GB2312"/>
          <w:sz w:val="32"/>
          <w:szCs w:val="32"/>
          <w:highlight w:val="none"/>
          <w:lang w:val="en-US" w:eastAsia="zh-CN"/>
        </w:rPr>
        <w:t>提供各类服务方面，结合我区中小企业的实际需求，计划开展培训、志愿、金融、创新创业、法律等各类服务活动25场次。</w:t>
      </w:r>
    </w:p>
    <w:p w14:paraId="51EF32DC">
      <w:pPr>
        <w:spacing w:line="600" w:lineRule="exact"/>
        <w:ind w:firstLine="640" w:firstLineChars="200"/>
        <w:rPr>
          <w:rFonts w:hint="default" w:ascii="Times New Roman" w:hAnsi="Times New Roman" w:eastAsia="黑体" w:cs="Times New Roman"/>
          <w:highlight w:val="yellow"/>
          <w:lang w:eastAsia="zh-CN"/>
        </w:rPr>
      </w:pPr>
      <w:r>
        <w:rPr>
          <w:rFonts w:hint="eastAsia" w:eastAsia="仿宋_GB2312"/>
          <w:sz w:val="32"/>
          <w:szCs w:val="32"/>
          <w:highlight w:val="none"/>
          <w:lang w:val="en-US" w:eastAsia="zh-CN"/>
        </w:rPr>
        <w:t>以志愿服务促进中小企业发展，开展志愿者服务平台的认定、宣传与推广等活动。针对我区中小企业发展过程中遇到的“融资难、融资贵”的问题，依托中小企业金融服务平台，广泛聚集金融资源，积极对接我区优质金融服务机构，为广大中小企业提供融资信息服务、金融知识培训、交流对接会等金融服务。通过科技成果推广、高新企业认定、“专精特新”企业难题征集和创新创业大赛等服务活动开展创新创业服务，进而推动我区双创工作深入开展。开展法律服务及其他各类服务工作。</w:t>
      </w:r>
    </w:p>
    <w:p w14:paraId="0776B75B">
      <w:pPr>
        <w:spacing w:line="600" w:lineRule="exact"/>
        <w:ind w:firstLine="600" w:firstLineChars="200"/>
        <w:rPr>
          <w:rFonts w:eastAsia="仿宋_GB2312"/>
          <w:sz w:val="32"/>
          <w:szCs w:val="32"/>
          <w:highlight w:val="none"/>
        </w:rPr>
      </w:pPr>
      <w:r>
        <w:rPr>
          <w:rFonts w:hint="default" w:ascii="Times New Roman" w:hAnsi="Times New Roman" w:eastAsia="仿宋_GB2312" w:cs="Times New Roman"/>
          <w:sz w:val="30"/>
          <w:szCs w:val="30"/>
          <w:highlight w:val="none"/>
          <w:lang w:val="en-US" w:eastAsia="zh-CN"/>
        </w:rPr>
        <w:t>项目实施情况</w:t>
      </w:r>
      <w:r>
        <w:rPr>
          <w:rFonts w:hint="default" w:ascii="Times New Roman" w:hAnsi="Times New Roman" w:eastAsia="仿宋_GB2312" w:cs="Times New Roman"/>
          <w:sz w:val="32"/>
          <w:szCs w:val="32"/>
        </w:rPr>
        <w:t>：</w:t>
      </w:r>
      <w:r>
        <w:rPr>
          <w:rFonts w:eastAsia="仿宋_GB2312"/>
          <w:sz w:val="32"/>
          <w:szCs w:val="32"/>
          <w:highlight w:val="none"/>
        </w:rPr>
        <w:t>项目目前已经完成实际设立的目标，项目在实施过程中严格按照目标设立的各阶段任务进行开展工作，在前期立项过程中严格把质量关，建立安全防护机制，保证项目实施各阶段安全顺利进行。</w:t>
      </w:r>
    </w:p>
    <w:p w14:paraId="5A6BFB85">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056D4D6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56CD115C">
      <w:pPr>
        <w:shd w:val="clear"/>
        <w:spacing w:line="600" w:lineRule="exact"/>
        <w:ind w:firstLine="640" w:firstLineChars="200"/>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232.3</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211.2</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ascii="仿宋_GB2312" w:hAnsi="仿宋_GB2312" w:eastAsia="仿宋_GB2312" w:cs="仿宋_GB2312"/>
          <w:sz w:val="32"/>
          <w:szCs w:val="32"/>
          <w:highlight w:val="none"/>
          <w:lang w:val="en-US" w:eastAsia="zh-CN"/>
        </w:rPr>
        <w:t>其他资金</w:t>
      </w:r>
      <w:r>
        <w:rPr>
          <w:rFonts w:hint="default" w:ascii="Times New Roman" w:hAnsi="Times New Roman" w:eastAsia="仿宋_GB2312" w:cs="Times New Roman"/>
          <w:sz w:val="32"/>
          <w:szCs w:val="32"/>
          <w:highlight w:val="none"/>
          <w:lang w:val="en-US" w:eastAsia="zh-CN"/>
        </w:rPr>
        <w:t>。</w:t>
      </w:r>
    </w:p>
    <w:p w14:paraId="396A8EAF">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34909B6B">
      <w:pPr>
        <w:shd w:val="clear"/>
        <w:spacing w:line="600" w:lineRule="exact"/>
        <w:ind w:firstLine="640" w:firstLineChars="200"/>
        <w:outlineLvl w:val="0"/>
        <w:rPr>
          <w:rFonts w:hint="default" w:ascii="Times New Roman" w:hAnsi="Times New Roman" w:eastAsia="仿宋_GB2312" w:cs="Times New Roman"/>
          <w:sz w:val="32"/>
          <w:szCs w:val="32"/>
          <w:highlight w:val="yellow"/>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232.3</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232.3</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w:t>
      </w:r>
      <w:r>
        <w:rPr>
          <w:rFonts w:hint="eastAsia" w:eastAsia="仿宋_GB2312" w:cs="Times New Roman"/>
          <w:sz w:val="32"/>
          <w:szCs w:val="32"/>
          <w:highlight w:val="none"/>
          <w:lang w:val="en-US" w:eastAsia="zh-CN"/>
        </w:rPr>
        <w:t>211.2</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90.92</w:t>
      </w:r>
      <w:r>
        <w:rPr>
          <w:rFonts w:hint="default" w:ascii="Times New Roman" w:hAnsi="Times New Roman" w:eastAsia="仿宋_GB2312" w:cs="Times New Roman"/>
          <w:sz w:val="32"/>
          <w:szCs w:val="32"/>
          <w:highlight w:val="none"/>
          <w:lang w:val="en-US" w:eastAsia="zh-CN"/>
        </w:rPr>
        <w:t>%，</w:t>
      </w:r>
      <w:r>
        <w:rPr>
          <w:rFonts w:hint="eastAsia" w:ascii="仿宋_GB2312" w:hAnsi="仿宋_GB2312" w:eastAsia="仿宋_GB2312" w:cs="仿宋_GB2312"/>
          <w:sz w:val="32"/>
          <w:szCs w:val="32"/>
          <w:highlight w:val="yellow"/>
          <w:lang w:val="en-US" w:eastAsia="zh-CN"/>
        </w:rPr>
        <w:t>主要用于：纾困解难金融服务助力中小企业高质量发展咨询服务、“专精特新”高质量发展培训、质量品牌提升服务、金融服务地州行等活动支付项目实施进程中的各项费用。</w:t>
      </w:r>
    </w:p>
    <w:p w14:paraId="088CBEA7">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271ACF66">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4F544B1E">
      <w:pPr>
        <w:spacing w:line="600" w:lineRule="exact"/>
        <w:ind w:firstLine="640" w:firstLineChars="200"/>
        <w:rPr>
          <w:rFonts w:hint="eastAsia"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协调和引导各类服务资源，助力我区中小企业发展，为我区中小企业提供人才培养、金融服务、创新创业</w:t>
      </w:r>
      <w:r>
        <w:rPr>
          <w:rFonts w:hint="eastAsia" w:eastAsia="仿宋_GB2312" w:cs="Times New Roman"/>
          <w:b w:val="0"/>
          <w:bCs w:val="0"/>
          <w:kern w:val="2"/>
          <w:sz w:val="32"/>
          <w:szCs w:val="32"/>
          <w:highlight w:val="none"/>
          <w:lang w:val="en-US" w:eastAsia="zh-CN" w:bidi="ar-SA"/>
        </w:rPr>
        <w:t>服务</w:t>
      </w:r>
      <w:r>
        <w:rPr>
          <w:rFonts w:hint="eastAsia" w:ascii="Times New Roman" w:hAnsi="Times New Roman" w:eastAsia="仿宋_GB2312" w:cs="Times New Roman"/>
          <w:b w:val="0"/>
          <w:bCs w:val="0"/>
          <w:kern w:val="2"/>
          <w:sz w:val="32"/>
          <w:szCs w:val="32"/>
          <w:highlight w:val="none"/>
          <w:lang w:val="en-US" w:eastAsia="zh-CN" w:bidi="ar-SA"/>
        </w:rPr>
        <w:t>、法律服务、志愿服务活动等多样化的综合服务，力求在服务能力、服务水平、服务效果等方面让中小企业满意，以达到促进我区中小企业健康高质量发展的目标。</w:t>
      </w:r>
    </w:p>
    <w:p w14:paraId="1FA45EFB">
      <w:pPr>
        <w:numPr>
          <w:ilvl w:val="0"/>
          <w:numId w:val="1"/>
        </w:num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阶段性目标</w:t>
      </w:r>
    </w:p>
    <w:p w14:paraId="64B1C60C">
      <w:pPr>
        <w:numPr>
          <w:ilvl w:val="0"/>
          <w:numId w:val="0"/>
        </w:numPr>
        <w:spacing w:line="600" w:lineRule="exact"/>
        <w:ind w:firstLine="320" w:firstLineChars="100"/>
        <w:rPr>
          <w:rFonts w:hint="eastAsia"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（1）前期准备：通过制定项目实施方案，经项目负责人审核通过后，有序开展后续工作。</w:t>
      </w:r>
    </w:p>
    <w:p w14:paraId="069F459E">
      <w:pPr>
        <w:spacing w:line="600" w:lineRule="exact"/>
        <w:ind w:firstLine="320" w:firstLineChars="100"/>
        <w:rPr>
          <w:rFonts w:hint="eastAsia"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（2）组织实施：资金一到位，立即根据项目要求实施项目。项目责任人按照项目实施方案要求逐一进行项目部署安排，提高项目质量及效率性。</w:t>
      </w:r>
    </w:p>
    <w:p w14:paraId="3521FF92">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4A1C9527">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288FC146">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14:paraId="5E78E3C0">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7AFE6228">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在评价指标体系的构建上，充分考虑了项目的性质、目标以及预期成果，选取了具有代表性和可衡量性的关键指标，涵盖了经济效益、社会效益、</w:t>
      </w:r>
      <w:r>
        <w:rPr>
          <w:rFonts w:hint="eastAsia" w:eastAsia="仿宋_GB2312" w:cs="Times New Roman"/>
          <w:sz w:val="32"/>
          <w:szCs w:val="32"/>
          <w:highlight w:val="none"/>
          <w:lang w:val="en-US" w:eastAsia="zh-CN"/>
        </w:rPr>
        <w:t>满意度</w:t>
      </w:r>
      <w:r>
        <w:rPr>
          <w:rFonts w:hint="default" w:ascii="Times New Roman" w:hAnsi="Times New Roman" w:eastAsia="仿宋_GB2312" w:cs="Times New Roman"/>
          <w:sz w:val="32"/>
          <w:szCs w:val="32"/>
          <w:highlight w:val="none"/>
          <w:lang w:val="en-US" w:eastAsia="zh-CN"/>
        </w:rPr>
        <w:t>等多个维度，力求全方位反映项目的绩效状况。同时，对于每个指标的评价标准和数据来源均进行了明确说明，确保评价结果的客观性和可追溯性。</w:t>
      </w:r>
    </w:p>
    <w:p w14:paraId="5005D5F8">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19A68B4D">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02E42FA2">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B4E4BE0">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14:paraId="6C1DA1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575FC71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通过对项目预算执行情况及各项绩效目标达成程度的系统性分析，全面、客观地评估项目在预定周期内的实施效果，包括经济效益、社会效益以及可持续性等多维度指标，为项目后续的改进与优化提供科学依据。</w:t>
      </w:r>
    </w:p>
    <w:p w14:paraId="1189D1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624911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108377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4B7D68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3642693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2A2AA2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682BB7B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407A31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443F79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346ECDC">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14:paraId="7908D631">
      <w:pPr>
        <w:spacing w:line="560" w:lineRule="exact"/>
        <w:ind w:firstLine="640" w:firstLineChars="200"/>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本项目预算绩效评价报告的评价对象是</w:t>
      </w:r>
      <w:r>
        <w:rPr>
          <w:rFonts w:hint="eastAsia" w:ascii="Times New Roman" w:hAnsi="Times New Roman" w:eastAsia="仿宋_GB2312" w:cs="Times New Roman"/>
          <w:b w:val="0"/>
          <w:bCs w:val="0"/>
          <w:kern w:val="28"/>
          <w:sz w:val="32"/>
          <w:szCs w:val="32"/>
          <w:highlight w:val="none"/>
          <w:lang w:val="en-US" w:eastAsia="zh-CN" w:bidi="ar-SA"/>
        </w:rPr>
        <w:t>为中小企业提供服务项目</w:t>
      </w:r>
      <w:r>
        <w:rPr>
          <w:rFonts w:hint="default" w:ascii="Times New Roman" w:hAnsi="Times New Roman" w:eastAsia="仿宋_GB2312" w:cs="Times New Roman"/>
          <w:b w:val="0"/>
          <w:bCs w:val="0"/>
          <w:kern w:val="28"/>
          <w:sz w:val="32"/>
          <w:szCs w:val="32"/>
          <w:highlight w:val="none"/>
          <w:lang w:val="en-US" w:eastAsia="zh-CN" w:bidi="ar-SA"/>
        </w:rPr>
        <w:t>及其预算执行情况。该项目由</w:t>
      </w:r>
      <w:r>
        <w:rPr>
          <w:rFonts w:hint="eastAsia" w:ascii="Times New Roman" w:hAnsi="Times New Roman" w:eastAsia="仿宋_GB2312" w:cs="Times New Roman"/>
          <w:b w:val="0"/>
          <w:bCs w:val="0"/>
          <w:kern w:val="28"/>
          <w:sz w:val="32"/>
          <w:szCs w:val="32"/>
          <w:highlight w:val="none"/>
          <w:lang w:val="en-US" w:eastAsia="zh-CN" w:bidi="ar-SA"/>
        </w:rPr>
        <w:t>自治区中小企业服务中心</w:t>
      </w:r>
      <w:r>
        <w:rPr>
          <w:rFonts w:hint="default" w:ascii="Times New Roman" w:hAnsi="Times New Roman" w:eastAsia="仿宋_GB2312" w:cs="Times New Roman"/>
          <w:b w:val="0"/>
          <w:bCs w:val="0"/>
          <w:kern w:val="28"/>
          <w:sz w:val="32"/>
          <w:szCs w:val="32"/>
          <w:highlight w:val="none"/>
          <w:lang w:val="en-US" w:eastAsia="zh-CN" w:bidi="ar-SA"/>
        </w:rPr>
        <w:t>负责实施，旨在</w:t>
      </w:r>
      <w:r>
        <w:rPr>
          <w:rFonts w:hint="eastAsia" w:ascii="Times New Roman" w:hAnsi="Times New Roman" w:eastAsia="仿宋_GB2312" w:cs="Times New Roman"/>
          <w:b w:val="0"/>
          <w:bCs w:val="0"/>
          <w:kern w:val="28"/>
          <w:sz w:val="32"/>
          <w:szCs w:val="32"/>
          <w:highlight w:val="none"/>
          <w:lang w:val="en-US" w:eastAsia="zh-CN" w:bidi="ar-SA"/>
        </w:rPr>
        <w:t>为中小企业提供服务项目的决策、过程、产出、效益等</w:t>
      </w:r>
      <w:r>
        <w:rPr>
          <w:rFonts w:hint="default" w:ascii="Times New Roman" w:hAnsi="Times New Roman" w:eastAsia="仿宋_GB2312" w:cs="Times New Roman"/>
          <w:b w:val="0"/>
          <w:bCs w:val="0"/>
          <w:kern w:val="28"/>
          <w:sz w:val="32"/>
          <w:szCs w:val="32"/>
          <w:highlight w:val="none"/>
          <w:lang w:val="en-US" w:eastAsia="zh-CN" w:bidi="ar-SA"/>
        </w:rPr>
        <w:t>。项目预算涵盖从</w:t>
      </w:r>
      <w:r>
        <w:rPr>
          <w:rFonts w:hint="eastAsia" w:eastAsia="仿宋_GB2312" w:cs="Times New Roman"/>
          <w:b w:val="0"/>
          <w:bCs w:val="0"/>
          <w:kern w:val="28"/>
          <w:sz w:val="32"/>
          <w:szCs w:val="32"/>
          <w:highlight w:val="none"/>
          <w:lang w:val="en-US" w:eastAsia="zh-CN" w:bidi="ar-SA"/>
        </w:rPr>
        <w:t>2024年1月1日</w:t>
      </w:r>
      <w:r>
        <w:rPr>
          <w:rFonts w:hint="default" w:ascii="Times New Roman" w:hAnsi="Times New Roman" w:eastAsia="仿宋_GB2312" w:cs="Times New Roman"/>
          <w:b w:val="0"/>
          <w:bCs w:val="0"/>
          <w:kern w:val="28"/>
          <w:sz w:val="32"/>
          <w:szCs w:val="32"/>
          <w:highlight w:val="none"/>
          <w:lang w:val="en-US" w:eastAsia="zh-CN" w:bidi="ar-SA"/>
        </w:rPr>
        <w:t>至</w:t>
      </w:r>
      <w:r>
        <w:rPr>
          <w:rFonts w:hint="eastAsia" w:eastAsia="仿宋_GB2312" w:cs="Times New Roman"/>
          <w:b w:val="0"/>
          <w:bCs w:val="0"/>
          <w:kern w:val="28"/>
          <w:sz w:val="32"/>
          <w:szCs w:val="32"/>
          <w:highlight w:val="none"/>
          <w:lang w:val="en-US" w:eastAsia="zh-CN" w:bidi="ar-SA"/>
        </w:rPr>
        <w:t>2024年12月31日</w:t>
      </w:r>
      <w:r>
        <w:rPr>
          <w:rFonts w:hint="default" w:ascii="Times New Roman" w:hAnsi="Times New Roman" w:eastAsia="仿宋_GB2312" w:cs="Times New Roman"/>
          <w:b w:val="0"/>
          <w:bCs w:val="0"/>
          <w:kern w:val="28"/>
          <w:sz w:val="32"/>
          <w:szCs w:val="32"/>
          <w:highlight w:val="none"/>
          <w:lang w:val="en-US" w:eastAsia="zh-CN" w:bidi="ar-SA"/>
        </w:rPr>
        <w:t>的全部资金投入与支出，涉及资金总额为</w:t>
      </w:r>
      <w:r>
        <w:rPr>
          <w:rFonts w:hint="eastAsia" w:eastAsia="仿宋_GB2312" w:cs="Times New Roman"/>
          <w:b w:val="0"/>
          <w:bCs w:val="0"/>
          <w:kern w:val="28"/>
          <w:sz w:val="32"/>
          <w:szCs w:val="32"/>
          <w:highlight w:val="none"/>
          <w:lang w:val="en-US" w:eastAsia="zh-CN" w:bidi="ar-SA"/>
        </w:rPr>
        <w:t>232.3</w:t>
      </w:r>
      <w:r>
        <w:rPr>
          <w:rFonts w:hint="default" w:ascii="Times New Roman" w:hAnsi="Times New Roman" w:eastAsia="仿宋_GB2312" w:cs="Times New Roman"/>
          <w:b w:val="0"/>
          <w:bCs w:val="0"/>
          <w:kern w:val="28"/>
          <w:sz w:val="32"/>
          <w:szCs w:val="32"/>
          <w:highlight w:val="none"/>
          <w:lang w:val="en-US" w:eastAsia="zh-CN" w:bidi="ar-SA"/>
        </w:rPr>
        <w:t>万元。</w:t>
      </w:r>
    </w:p>
    <w:p w14:paraId="55F54CF5">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14:paraId="68FAA055">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4E56E625">
      <w:pPr>
        <w:pStyle w:val="2"/>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6990CEF4">
      <w:pPr>
        <w:pStyle w:val="2"/>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2860B335">
      <w:pPr>
        <w:pStyle w:val="2"/>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613C8BB1">
      <w:pPr>
        <w:pStyle w:val="2"/>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green"/>
          <w:lang w:eastAsia="zh-CN"/>
        </w:rPr>
      </w:pP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4</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eastAsia="zh-CN"/>
        </w:rPr>
        <w:t>经济</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影响：考察项目对社会、经济等方面的综合影响。</w:t>
      </w:r>
    </w:p>
    <w:p w14:paraId="15EDE5E2">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14:paraId="0AC33C1D">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14:paraId="0F18B8C5">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271AAA9A">
      <w:pPr>
        <w:pStyle w:val="2"/>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1C6064B7">
      <w:pPr>
        <w:pStyle w:val="2"/>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10F6F60D">
      <w:pPr>
        <w:pStyle w:val="2"/>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w:t>
      </w:r>
      <w:r>
        <w:rPr>
          <w:rFonts w:hint="eastAsia" w:ascii="Times New Roman" w:hAnsi="Times New Roman" w:eastAsia="仿宋_GB2312" w:cs="Times New Roman"/>
          <w:b w:val="0"/>
          <w:bCs w:val="0"/>
          <w:lang w:eastAsia="zh-CN"/>
        </w:rPr>
        <w:t>要</w:t>
      </w:r>
      <w:r>
        <w:rPr>
          <w:rFonts w:hint="default" w:ascii="Times New Roman" w:hAnsi="Times New Roman" w:eastAsia="仿宋_GB2312" w:cs="Times New Roman"/>
          <w:b w:val="0"/>
          <w:bCs w:val="0"/>
        </w:rPr>
        <w:t>安排、低效要压减、无效要问责。</w:t>
      </w:r>
    </w:p>
    <w:p w14:paraId="4A87D13C">
      <w:pPr>
        <w:pStyle w:val="2"/>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001B02BC">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14:paraId="66FAF37C">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5DD0AA8F">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07EE3935">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5C8EAED9">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7CA5828C">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2CC52468">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14:paraId="70B746ED">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31C4944E">
      <w:pPr>
        <w:pStyle w:val="2"/>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21C7857B">
      <w:pPr>
        <w:pStyle w:val="2"/>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47BD80FF">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14:paraId="06FC6493">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17E7192B">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395D6EEA">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 xml:space="preserve">（一）成本效益分析法。是指将投入与产出、效益进行关联性分析的方法。 </w:t>
      </w:r>
    </w:p>
    <w:p w14:paraId="4BA3EBF6">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（二）比较法。是指将实施情况与绩效目标、历史情况、不同部门和地区同类支出情况进行比较的方法。</w:t>
      </w:r>
    </w:p>
    <w:p w14:paraId="743E356F">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14:paraId="6CCA0DAD">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绩效评价标准通常包括计划标准、行业标准、历史标准等，用于对绩效指标完成情况进行比较、分析、评价。本次评价主要采用了计划标准和</w:t>
      </w:r>
      <w:r>
        <w:rPr>
          <w:rFonts w:hint="eastAsia" w:ascii="Times New Roman" w:hAnsi="Times New Roman" w:eastAsia="仿宋_GB2312" w:cs="Times New Roman"/>
          <w:b w:val="0"/>
          <w:bCs w:val="0"/>
          <w:lang w:eastAsia="zh-CN"/>
        </w:rPr>
        <w:t>历史</w:t>
      </w:r>
      <w:r>
        <w:rPr>
          <w:rFonts w:hint="default" w:ascii="Times New Roman" w:hAnsi="Times New Roman" w:eastAsia="仿宋_GB2312" w:cs="Times New Roman"/>
          <w:b w:val="0"/>
          <w:bCs w:val="0"/>
        </w:rPr>
        <w:t>标准。</w:t>
      </w:r>
    </w:p>
    <w:p w14:paraId="4242921F">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1</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计划标准。指以预先制定的目标、计划、预算、定额等作为评价标准。</w:t>
      </w:r>
    </w:p>
    <w:p w14:paraId="1D453317">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eastAsia" w:ascii="Times New Roman" w:hAnsi="Times New Roman" w:eastAsia="仿宋_GB2312" w:cs="Times New Roman"/>
          <w:b w:val="0"/>
          <w:bCs w:val="0"/>
          <w:lang w:val="en-US" w:eastAsia="zh-CN"/>
        </w:rPr>
        <w:t>2</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历史标准。指参照历史数据制定的评价标准，为体现绩效改进的原则，在可实现的条件下应当确定相对较高的评价标准。</w:t>
      </w:r>
    </w:p>
    <w:p w14:paraId="2F41AE34">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eastAsia" w:ascii="Times New Roman" w:hAnsi="Times New Roman" w:eastAsia="仿宋_GB2312" w:cs="Times New Roman"/>
          <w:b w:val="0"/>
          <w:bCs w:val="0"/>
          <w:lang w:val="en-US" w:eastAsia="zh-CN"/>
        </w:rPr>
        <w:t>3</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财政部门和预算部门确认或认可的其他标准。</w:t>
      </w:r>
    </w:p>
    <w:p w14:paraId="7437E9C6">
      <w:pPr>
        <w:pStyle w:val="2"/>
        <w:numPr>
          <w:ilvl w:val="0"/>
          <w:numId w:val="3"/>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14:paraId="356AFA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前期准备与规划</w:t>
      </w:r>
    </w:p>
    <w:p w14:paraId="25967F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461827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5A1672B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2ACDFE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44CAAF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531557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40BB5F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37C003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4C8E99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7CBA4B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6CAABD1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4FACFEA5">
      <w:pPr>
        <w:numPr>
          <w:ilvl w:val="0"/>
          <w:numId w:val="4"/>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25B3CC5E">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14:paraId="546242B9">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eastAsia="仿宋_GB2312"/>
          <w:sz w:val="32"/>
          <w:szCs w:val="32"/>
          <w:highlight w:val="none"/>
          <w:lang w:val="en-US" w:eastAsia="zh-C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eastAsia="仿宋_GB2312" w:cs="Times New Roman"/>
          <w:sz w:val="32"/>
          <w:szCs w:val="32"/>
          <w:highlight w:val="none"/>
          <w:lang w:eastAsia="zh-CN"/>
        </w:rPr>
        <w:t>为中小企业提供服务项目</w:t>
      </w:r>
      <w:r>
        <w:rPr>
          <w:rFonts w:hint="default" w:ascii="Times New Roman" w:hAnsi="Times New Roman" w:eastAsia="仿宋_GB2312" w:cs="Times New Roman"/>
          <w:sz w:val="32"/>
          <w:szCs w:val="32"/>
          <w:highlight w:val="none"/>
        </w:rPr>
        <w:t>在</w:t>
      </w:r>
      <w:r>
        <w:rPr>
          <w:rFonts w:hint="eastAsia" w:eastAsia="仿宋_GB2312" w:cs="Times New Roman"/>
          <w:sz w:val="32"/>
          <w:szCs w:val="32"/>
          <w:highlight w:val="none"/>
          <w:lang w:eastAsia="zh-CN"/>
        </w:rPr>
        <w:t>如何更好地服务中小企业、如何更好地聚集优质服务资源</w:t>
      </w:r>
      <w:r>
        <w:rPr>
          <w:rFonts w:hint="default" w:ascii="Times New Roman" w:hAnsi="Times New Roman" w:eastAsia="仿宋_GB2312" w:cs="Times New Roman"/>
          <w:sz w:val="32"/>
          <w:szCs w:val="32"/>
          <w:highlight w:val="none"/>
        </w:rPr>
        <w:t>等方面表现出色，达到了预期的标准与要求。同时，项目也在</w:t>
      </w:r>
      <w:r>
        <w:rPr>
          <w:rFonts w:hint="eastAsia" w:eastAsia="仿宋_GB2312"/>
          <w:sz w:val="32"/>
          <w:szCs w:val="32"/>
          <w:highlight w:val="none"/>
          <w:lang w:val="en-US" w:eastAsia="zh-CN"/>
        </w:rPr>
        <w:t>针对我区中小企业发展过程中遇到的“融资难、融资贵”的问题，依托中小企业金融服务平台，广泛聚集金融资源，积极对接我区优质金融服务机构，为广大中小企业提供融资信息服务、金融知识培训、交流对接会等金融服务，</w:t>
      </w:r>
      <w:r>
        <w:rPr>
          <w:rFonts w:hint="default" w:ascii="Times New Roman" w:hAnsi="Times New Roman" w:eastAsia="仿宋_GB2312" w:cs="Times New Roman"/>
          <w:sz w:val="32"/>
          <w:szCs w:val="32"/>
          <w:highlight w:val="none"/>
        </w:rPr>
        <w:t>取得了显著的成效，</w:t>
      </w:r>
      <w:r>
        <w:rPr>
          <w:rFonts w:hint="default" w:eastAsia="仿宋_GB2312"/>
          <w:sz w:val="32"/>
          <w:szCs w:val="32"/>
          <w:highlight w:val="none"/>
          <w:lang w:val="en-US" w:eastAsia="zh-CN"/>
        </w:rPr>
        <w:t>如</w:t>
      </w:r>
      <w:r>
        <w:rPr>
          <w:rFonts w:hint="eastAsia" w:eastAsia="仿宋_GB2312"/>
          <w:sz w:val="32"/>
          <w:szCs w:val="32"/>
          <w:highlight w:val="none"/>
          <w:lang w:val="en-US" w:eastAsia="zh-CN"/>
        </w:rPr>
        <w:t>通过多种形式线上线下相结合的活动，直接服务企业超过2000余家、带动服务机构50余家，其中12家企业与11家金融机构签订融资协议近4亿元，服务效果较好</w:t>
      </w:r>
      <w:r>
        <w:rPr>
          <w:rFonts w:hint="default" w:eastAsia="仿宋_GB2312"/>
          <w:sz w:val="32"/>
          <w:szCs w:val="32"/>
          <w:highlight w:val="none"/>
          <w:lang w:val="en-US" w:eastAsia="zh-CN"/>
        </w:rPr>
        <w:t>、</w:t>
      </w:r>
      <w:r>
        <w:rPr>
          <w:rFonts w:hint="eastAsia" w:eastAsia="仿宋_GB2312"/>
          <w:sz w:val="32"/>
          <w:szCs w:val="32"/>
          <w:highlight w:val="none"/>
          <w:lang w:val="en-US" w:eastAsia="zh-CN"/>
        </w:rPr>
        <w:t>不断汇聚服务资源，与申万宏源、新疆鑫源担保、伊犁国民村镇银行签署战略合作协议，服务中小微企业资源和产品更加丰富</w:t>
      </w:r>
      <w:r>
        <w:rPr>
          <w:rFonts w:hint="default" w:eastAsia="仿宋_GB2312"/>
          <w:sz w:val="32"/>
          <w:szCs w:val="32"/>
          <w:highlight w:val="none"/>
          <w:lang w:val="en-US" w:eastAsia="zh-CN"/>
        </w:rPr>
        <w:t>等。</w:t>
      </w:r>
    </w:p>
    <w:p w14:paraId="3AE97211">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eastAsia="zh-CN"/>
        </w:rPr>
        <w:t>自治区中小企业服务中心</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4D9A0CE6">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经济效益</w:t>
      </w:r>
      <w:r>
        <w:rPr>
          <w:rFonts w:hint="default" w:ascii="Times New Roman" w:hAnsi="Times New Roman" w:eastAsia="仿宋_GB2312" w:cs="Times New Roman"/>
          <w:sz w:val="32"/>
          <w:szCs w:val="32"/>
          <w:highlight w:val="none"/>
        </w:rPr>
        <w:t>等方面产生了积极的影响。具体而言</w:t>
      </w:r>
      <w:r>
        <w:rPr>
          <w:rFonts w:hint="eastAsia" w:eastAsia="仿宋_GB2312" w:cs="Times New Roman"/>
          <w:sz w:val="32"/>
          <w:szCs w:val="32"/>
          <w:highlight w:val="none"/>
          <w:lang w:eastAsia="zh-CN"/>
        </w:rPr>
        <w:t>，</w:t>
      </w:r>
      <w:r>
        <w:rPr>
          <w:rFonts w:hint="eastAsia" w:ascii="仿宋_GB2312" w:hAnsi="仿宋_GB2312" w:eastAsia="仿宋_GB2312" w:cs="仿宋_GB2312"/>
          <w:sz w:val="32"/>
          <w:szCs w:val="32"/>
          <w:lang w:eastAsia="zh-CN"/>
        </w:rPr>
        <w:t>为全疆中小微企业提供“</w:t>
      </w:r>
      <w:r>
        <w:rPr>
          <w:rFonts w:hint="eastAsia" w:ascii="仿宋_GB2312" w:hAnsi="仿宋_GB2312" w:eastAsia="仿宋_GB2312" w:cs="仿宋_GB2312"/>
          <w:sz w:val="32"/>
          <w:szCs w:val="32"/>
          <w:highlight w:val="none"/>
          <w:lang w:eastAsia="zh-CN"/>
        </w:rPr>
        <w:t>专精特新</w:t>
      </w:r>
      <w:r>
        <w:rPr>
          <w:rFonts w:hint="eastAsia" w:ascii="仿宋_GB2312" w:hAnsi="仿宋_GB2312" w:eastAsia="仿宋_GB2312" w:cs="仿宋_GB2312"/>
          <w:sz w:val="32"/>
          <w:szCs w:val="32"/>
          <w:lang w:eastAsia="zh-CN"/>
        </w:rPr>
        <w:t>”梯度培育</w:t>
      </w:r>
      <w:r>
        <w:rPr>
          <w:rFonts w:hint="eastAsia" w:ascii="Times New Roman" w:hAnsi="Times New Roman" w:eastAsia="仿宋_GB2312" w:cs="Times New Roman"/>
          <w:sz w:val="32"/>
          <w:szCs w:val="32"/>
          <w:highlight w:val="none"/>
          <w:lang w:val="en-US" w:eastAsia="zh-CN"/>
        </w:rPr>
        <w:t>、</w:t>
      </w:r>
      <w:r>
        <w:rPr>
          <w:rFonts w:hint="eastAsia" w:ascii="仿宋_GB2312" w:hAnsi="仿宋_GB2312" w:eastAsia="仿宋_GB2312" w:cs="仿宋_GB2312"/>
          <w:sz w:val="32"/>
          <w:szCs w:val="32"/>
          <w:lang w:eastAsia="zh-CN"/>
        </w:rPr>
        <w:t>缓解中小微企业发展中面临的政策落实堵点、经营发展难点</w:t>
      </w:r>
      <w:r>
        <w:rPr>
          <w:rFonts w:hint="default" w:ascii="Times New Roman" w:hAnsi="Times New Roman" w:eastAsia="仿宋_GB2312" w:cs="Times New Roman"/>
          <w:sz w:val="32"/>
          <w:szCs w:val="32"/>
          <w:highlight w:val="none"/>
        </w:rPr>
        <w:t>等方面的提升，为项目的利益相关者带来了实实在在的利益。</w:t>
      </w:r>
    </w:p>
    <w:p w14:paraId="27877408">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eastAsia" w:eastAsia="仿宋_GB2312" w:cs="Times New Roman"/>
          <w:sz w:val="32"/>
          <w:szCs w:val="32"/>
          <w:highlight w:val="none"/>
          <w:lang w:eastAsia="zh-CN"/>
        </w:rPr>
        <w:t>为中小企业提供服务项目</w:t>
      </w:r>
      <w:r>
        <w:rPr>
          <w:rFonts w:hint="default" w:ascii="Times New Roman" w:hAnsi="Times New Roman" w:eastAsia="仿宋_GB2312" w:cs="Times New Roman"/>
          <w:sz w:val="32"/>
          <w:szCs w:val="32"/>
          <w:highlight w:val="none"/>
        </w:rPr>
        <w:t>在绩效评价中表现出色，达到项目的预期目标，并在多个方面取得显著的成效。</w:t>
      </w:r>
    </w:p>
    <w:p w14:paraId="38572A3E">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14:paraId="5FF4FE6D">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总得分</w:t>
      </w:r>
      <w:r>
        <w:rPr>
          <w:rFonts w:hint="eastAsia" w:ascii="Times New Roman" w:hAnsi="Times New Roman" w:eastAsia="仿宋_GB2312" w:cs="Times New Roman"/>
          <w:b w:val="0"/>
          <w:bCs w:val="0"/>
          <w:highlight w:val="none"/>
          <w:lang w:eastAsia="zh-CN"/>
        </w:rPr>
        <w:t>为</w:t>
      </w:r>
      <w:r>
        <w:rPr>
          <w:rFonts w:hint="eastAsia" w:ascii="Times New Roman" w:hAnsi="Times New Roman" w:eastAsia="仿宋_GB2312" w:cs="Times New Roman"/>
          <w:b w:val="0"/>
          <w:bCs w:val="0"/>
          <w:highlight w:val="none"/>
          <w:lang w:val="en-US" w:eastAsia="zh-CN"/>
        </w:rPr>
        <w:t>98分</w:t>
      </w:r>
      <w:r>
        <w:rPr>
          <w:rFonts w:hint="default" w:ascii="Times New Roman" w:hAnsi="Times New Roman" w:eastAsia="仿宋_GB2312" w:cs="Times New Roman"/>
          <w:b w:val="0"/>
          <w:bCs w:val="0"/>
          <w:highlight w:val="none"/>
        </w:rPr>
        <w:t xml:space="preserve">，属于“优”。其中，项目决策类指标权重为20分，得分为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19.5</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97.5</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38.5</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96.3</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14:paraId="52F505CD">
      <w:pPr>
        <w:pStyle w:val="2"/>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p>
    <w:p w14:paraId="500B287F">
      <w:pPr>
        <w:pStyle w:val="2"/>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p>
    <w:p w14:paraId="1750A098">
      <w:pPr>
        <w:pStyle w:val="2"/>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p>
    <w:p w14:paraId="6F64FBA8">
      <w:pPr>
        <w:pStyle w:val="2"/>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14:paraId="4CCE61B9">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65C3E18C">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4BD04812">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1288AEDD">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14:paraId="2EF91EBD">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114E4C7">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14:paraId="419C2DE3">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26842073">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71E4D24D">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B1A089D">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14:paraId="64B693DB">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22DA6132">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19.5</w:t>
            </w:r>
          </w:p>
        </w:tc>
      </w:tr>
      <w:tr w14:paraId="41D5BECB">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6506D114">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14:paraId="4DF215FC">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301D7EEC">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38.5</w:t>
            </w:r>
          </w:p>
        </w:tc>
      </w:tr>
      <w:tr w14:paraId="082CFA48">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0D60A3A">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14:paraId="6D667F46">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3059B0DF">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384F7E55">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6750CB05">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14:paraId="56F2B6E4">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245F8396">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98</w:t>
            </w:r>
          </w:p>
        </w:tc>
      </w:tr>
    </w:tbl>
    <w:p w14:paraId="7EA25C56">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25530217">
      <w:pPr>
        <w:pStyle w:val="2"/>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1D6152D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1902DC87">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5225ACE2">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5709F7D1">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07F1D3ED">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01B7887F">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程序的规范性。</w:t>
      </w:r>
    </w:p>
    <w:p w14:paraId="664C1534">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18B72C03">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6EF96841">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75594783">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3205F0F0">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35A6C99A">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050F2D63">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40F58C2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0F8C6251">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预留与规划，以应对项目实施过程中的不确定性。</w:t>
      </w:r>
    </w:p>
    <w:p w14:paraId="02E1BFE9">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4452EF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01EE39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2D5EEBA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3EEE3659">
      <w:pPr>
        <w:pStyle w:val="2"/>
        <w:numPr>
          <w:ilvl w:val="0"/>
          <w:numId w:val="5"/>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14:paraId="6829787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lang w:val="en-US" w:eastAsia="zh-CN"/>
        </w:rPr>
        <w:t>三级指标构成，权重分值为20分，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19.5</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97.5</w:t>
      </w:r>
      <w:r>
        <w:rPr>
          <w:rFonts w:hint="default" w:ascii="Times New Roman" w:hAnsi="Times New Roman" w:eastAsia="仿宋_GB2312" w:cs="Times New Roman"/>
          <w:sz w:val="32"/>
          <w:szCs w:val="32"/>
          <w:highlight w:val="none"/>
          <w:lang w:val="en-US" w:eastAsia="zh-CN"/>
        </w:rPr>
        <w:t>%。</w:t>
      </w:r>
    </w:p>
    <w:p w14:paraId="0EA3DC2D">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14:paraId="66FAA191">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14:paraId="2C926D79">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w:t>
      </w:r>
      <w:r>
        <w:rPr>
          <w:rFonts w:hint="default" w:ascii="Times New Roman" w:hAnsi="Times New Roman" w:eastAsia="仿宋_GB2312" w:cs="Times New Roman"/>
          <w:sz w:val="32"/>
          <w:szCs w:val="32"/>
          <w:highlight w:val="none"/>
          <w:lang w:val="en-US" w:eastAsia="zh-CN"/>
        </w:rPr>
        <w:t>总投资</w:t>
      </w:r>
      <w:r>
        <w:rPr>
          <w:rFonts w:hint="eastAsia" w:eastAsia="仿宋_GB2312" w:cs="Times New Roman"/>
          <w:sz w:val="32"/>
          <w:szCs w:val="32"/>
          <w:highlight w:val="none"/>
          <w:lang w:val="en-US" w:eastAsia="zh-CN"/>
        </w:rPr>
        <w:t>232.3</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w:t>
      </w:r>
      <w:r>
        <w:rPr>
          <w:rFonts w:hint="default" w:ascii="Times New Roman" w:hAnsi="Times New Roman" w:eastAsia="仿宋_GB2312" w:cs="Times New Roman"/>
          <w:sz w:val="32"/>
          <w:szCs w:val="32"/>
          <w:lang w:val="en-US" w:eastAsia="zh-CN"/>
        </w:rPr>
        <w:t>资金按计划进度执行。</w:t>
      </w:r>
    </w:p>
    <w:p w14:paraId="696F348E">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14:paraId="637C6EA3">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预算编制较为详细，项目资金支出总体能够按照预算执行，</w:t>
      </w:r>
      <w:r>
        <w:rPr>
          <w:rFonts w:hint="default" w:ascii="Times New Roman" w:hAnsi="Times New Roman" w:eastAsia="仿宋_GB2312" w:cs="Times New Roman"/>
          <w:sz w:val="32"/>
          <w:szCs w:val="32"/>
          <w:highlight w:val="none"/>
          <w:lang w:val="en-US" w:eastAsia="zh-CN"/>
        </w:rPr>
        <w:t>预算资金支出</w:t>
      </w:r>
      <w:r>
        <w:rPr>
          <w:rFonts w:hint="eastAsia" w:eastAsia="仿宋_GB2312" w:cs="Times New Roman"/>
          <w:sz w:val="32"/>
          <w:szCs w:val="32"/>
          <w:highlight w:val="none"/>
          <w:lang w:val="en-US" w:eastAsia="zh-CN"/>
        </w:rPr>
        <w:t>211.2</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90.92</w:t>
      </w:r>
      <w:r>
        <w:rPr>
          <w:rFonts w:hint="default" w:ascii="Times New Roman" w:hAnsi="Times New Roman" w:eastAsia="仿宋_GB2312" w:cs="Times New Roman"/>
          <w:sz w:val="32"/>
          <w:szCs w:val="32"/>
          <w:highlight w:val="none"/>
          <w:lang w:val="en-US" w:eastAsia="zh-CN"/>
        </w:rPr>
        <w:t>%。</w:t>
      </w:r>
    </w:p>
    <w:p w14:paraId="0F147B76">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14:paraId="0B021CC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3DF3FED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自纠，及时发现并纠正可能存在的问题。此外，资金使用还充分考虑了成本效益原则，通过优化资源配置、提高资金使用效率等措施，确保了项目资金的最大化利用。</w:t>
      </w:r>
    </w:p>
    <w:p w14:paraId="0D4D67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69AF525F">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14:paraId="522CF15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14:paraId="2D4AAE8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19CF24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03BD6C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12C19146">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57DBB587">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14:paraId="5126975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14:paraId="63FCA6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4AA6F0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14:paraId="2ADAC846">
      <w:pPr>
        <w:pStyle w:val="12"/>
        <w:numPr>
          <w:ilvl w:val="0"/>
          <w:numId w:val="5"/>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14:paraId="3C13951D">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项目产出类指标包括产出数量、产出质量、产出时效、产出成本四方面的内容，由</w:t>
      </w:r>
      <w:r>
        <w:rPr>
          <w:rFonts w:hint="eastAsia" w:eastAsia="仿宋_GB2312" w:cs="Times New Roman"/>
          <w:sz w:val="32"/>
          <w:szCs w:val="32"/>
          <w:lang w:val="en-US" w:eastAsia="zh-CN"/>
        </w:rPr>
        <w:t>9</w:t>
      </w:r>
      <w:r>
        <w:rPr>
          <w:rFonts w:hint="default" w:ascii="Times New Roman" w:hAnsi="Times New Roman" w:eastAsia="仿宋_GB2312" w:cs="Times New Roman"/>
          <w:sz w:val="32"/>
          <w:szCs w:val="32"/>
          <w:lang w:val="en-US" w:eastAsia="zh-CN"/>
        </w:rPr>
        <w:t>个三级指标构成，权重分为40分，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38.5</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96.3</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具体产出指标完成情况如下：</w:t>
      </w:r>
    </w:p>
    <w:p w14:paraId="45D37A20">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bookmarkStart w:id="3" w:name="_GoBack"/>
      <w:bookmarkEnd w:id="3"/>
    </w:p>
    <w:p w14:paraId="42C2AE37">
      <w:pPr>
        <w:shd w:val="clear"/>
        <w:spacing w:line="600" w:lineRule="exact"/>
        <w:ind w:firstLine="640" w:firstLineChars="200"/>
        <w:outlineLvl w:val="0"/>
        <w:rPr>
          <w:rFonts w:hint="eastAsia" w:ascii="仿宋_GB2312" w:hAnsi="仿宋_GB2312" w:eastAsia="仿宋_GB2312" w:cs="仿宋_GB2312"/>
          <w:b w:val="0"/>
          <w:bCs w:val="0"/>
          <w:kern w:val="2"/>
          <w:sz w:val="32"/>
          <w:szCs w:val="32"/>
          <w:highlight w:val="none"/>
          <w:lang w:val="en-US" w:eastAsia="zh-CN" w:bidi="ar-SA"/>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培训、服务活动次数</w:t>
      </w:r>
      <w:r>
        <w:rPr>
          <w:rFonts w:hint="default" w:ascii="Times New Roman" w:hAnsi="Times New Roman" w:eastAsia="仿宋_GB2312" w:cs="Times New Roman"/>
          <w:sz w:val="32"/>
          <w:szCs w:val="32"/>
          <w:highlight w:val="none"/>
        </w:rPr>
        <w:t>，指标值：</w:t>
      </w:r>
      <w:r>
        <w:rPr>
          <w:rFonts w:hint="eastAsia" w:ascii="宋体" w:hAnsi="宋体" w:eastAsia="宋体" w:cs="宋体"/>
          <w:sz w:val="32"/>
          <w:szCs w:val="32"/>
          <w:highlight w:val="none"/>
        </w:rPr>
        <w:t>≧</w:t>
      </w:r>
      <w:r>
        <w:rPr>
          <w:rFonts w:hint="eastAsia" w:eastAsia="仿宋_GB2312" w:cs="Times New Roman"/>
          <w:sz w:val="32"/>
          <w:szCs w:val="32"/>
          <w:highlight w:val="none"/>
          <w:lang w:val="en-US" w:eastAsia="zh-CN"/>
        </w:rPr>
        <w:t>25次</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25次</w:t>
      </w:r>
      <w:r>
        <w:rPr>
          <w:rFonts w:hint="default" w:ascii="Times New Roman" w:hAnsi="Times New Roman" w:eastAsia="仿宋_GB2312" w:cs="Times New Roman"/>
          <w:sz w:val="32"/>
          <w:szCs w:val="32"/>
          <w:highlight w:val="none"/>
        </w:rPr>
        <w:t xml:space="preserve"> ，指标完成率 </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r>
        <w:rPr>
          <w:rFonts w:hint="eastAsia" w:ascii="仿宋_GB2312" w:hAnsi="仿宋_GB2312" w:eastAsia="仿宋_GB2312" w:cs="仿宋_GB2312"/>
          <w:b w:val="0"/>
          <w:bCs w:val="0"/>
          <w:kern w:val="2"/>
          <w:sz w:val="32"/>
          <w:szCs w:val="32"/>
          <w:highlight w:val="none"/>
          <w:lang w:val="en-US" w:eastAsia="zh-CN" w:bidi="ar-SA"/>
        </w:rPr>
        <w:t>偏差率0%。</w:t>
      </w:r>
    </w:p>
    <w:p w14:paraId="06F0748F">
      <w:pPr>
        <w:pStyle w:val="2"/>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指标</w:t>
      </w:r>
      <w:r>
        <w:rPr>
          <w:rFonts w:hint="eastAsia" w:ascii="Times New Roman" w:hAnsi="Times New Roman" w:eastAsia="仿宋_GB2312" w:cs="Times New Roman"/>
          <w:b w:val="0"/>
          <w:bCs w:val="0"/>
          <w:kern w:val="2"/>
          <w:sz w:val="32"/>
          <w:szCs w:val="32"/>
          <w:highlight w:val="none"/>
          <w:lang w:val="en-US" w:eastAsia="zh-CN" w:bidi="ar-SA"/>
        </w:rPr>
        <w:t>2</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ascii="Times New Roman" w:hAnsi="Times New Roman" w:eastAsia="仿宋_GB2312" w:cs="Times New Roman"/>
          <w:b w:val="0"/>
          <w:bCs w:val="0"/>
          <w:kern w:val="2"/>
          <w:sz w:val="32"/>
          <w:szCs w:val="32"/>
          <w:highlight w:val="none"/>
          <w:lang w:val="en-US" w:eastAsia="zh-CN" w:bidi="ar-SA"/>
        </w:rPr>
        <w:t>培训、服务活动人数，指标值：</w:t>
      </w:r>
      <w:r>
        <w:rPr>
          <w:rFonts w:hint="eastAsia" w:ascii="宋体" w:hAnsi="宋体" w:eastAsia="宋体" w:cs="宋体"/>
          <w:b w:val="0"/>
          <w:bCs w:val="0"/>
          <w:kern w:val="2"/>
          <w:sz w:val="32"/>
          <w:szCs w:val="32"/>
          <w:highlight w:val="none"/>
          <w:lang w:val="en-US" w:eastAsia="zh-CN" w:bidi="ar-SA"/>
        </w:rPr>
        <w:t>≧</w:t>
      </w:r>
      <w:r>
        <w:rPr>
          <w:rFonts w:hint="eastAsia" w:ascii="Times New Roman" w:hAnsi="Times New Roman" w:eastAsia="仿宋_GB2312" w:cs="Times New Roman"/>
          <w:b w:val="0"/>
          <w:bCs w:val="0"/>
          <w:kern w:val="2"/>
          <w:sz w:val="32"/>
          <w:szCs w:val="32"/>
          <w:highlight w:val="none"/>
          <w:lang w:val="en-US" w:eastAsia="zh-CN" w:bidi="ar-SA"/>
        </w:rPr>
        <w:t>1000人，实际完成值：1000人，完成率100%，偏差率0%。</w:t>
      </w:r>
    </w:p>
    <w:p w14:paraId="5A01B949">
      <w:pPr>
        <w:numPr>
          <w:ilvl w:val="0"/>
          <w:numId w:val="0"/>
        </w:numPr>
        <w:ind w:firstLine="640" w:firstLineChars="200"/>
        <w:rPr>
          <w:rFonts w:hint="eastAsia"/>
          <w:lang w:val="en-US" w:eastAsia="zh-CN"/>
        </w:rPr>
      </w:pPr>
      <w:r>
        <w:rPr>
          <w:rFonts w:hint="default" w:ascii="Times New Roman" w:hAnsi="Times New Roman" w:eastAsia="仿宋_GB2312" w:cs="Times New Roman"/>
          <w:b w:val="0"/>
          <w:bCs w:val="0"/>
          <w:kern w:val="2"/>
          <w:sz w:val="32"/>
          <w:szCs w:val="32"/>
          <w:highlight w:val="none"/>
          <w:lang w:val="en-US" w:eastAsia="zh-CN" w:bidi="ar-SA"/>
        </w:rPr>
        <w:t>指标</w:t>
      </w:r>
      <w:r>
        <w:rPr>
          <w:rFonts w:hint="eastAsia" w:eastAsia="仿宋_GB2312" w:cs="Times New Roman"/>
          <w:b w:val="0"/>
          <w:bCs w:val="0"/>
          <w:kern w:val="2"/>
          <w:sz w:val="32"/>
          <w:szCs w:val="32"/>
          <w:highlight w:val="none"/>
          <w:lang w:val="en-US" w:eastAsia="zh-CN" w:bidi="ar-SA"/>
        </w:rPr>
        <w:t>3：</w:t>
      </w:r>
      <w:r>
        <w:rPr>
          <w:rFonts w:hint="eastAsia" w:ascii="Times New Roman" w:hAnsi="Times New Roman" w:eastAsia="仿宋_GB2312" w:cs="Times New Roman"/>
          <w:sz w:val="32"/>
          <w:szCs w:val="32"/>
          <w:highlight w:val="none"/>
          <w:lang w:val="en-US" w:eastAsia="zh-CN"/>
        </w:rPr>
        <w:t>培训、服务活动天数，指标值：</w:t>
      </w:r>
      <w:r>
        <w:rPr>
          <w:rFonts w:hint="eastAsia" w:ascii="宋体" w:hAnsi="宋体" w:eastAsia="宋体" w:cs="宋体"/>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12天，实际完成值：12天，完成率100%，偏差率0%。</w:t>
      </w:r>
    </w:p>
    <w:p w14:paraId="6C5E80E1">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169F1629">
      <w:pPr>
        <w:pStyle w:val="2"/>
        <w:ind w:firstLine="640" w:firstLineChars="200"/>
        <w:jc w:val="left"/>
        <w:rPr>
          <w:rFonts w:hint="default" w:ascii="Times New Roman" w:hAnsi="Times New Roman" w:eastAsia="仿宋_GB2312" w:cs="Times New Roman"/>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bidi="ar-SA"/>
        </w:rPr>
        <w:t>培训、服务活动出勤率指标，</w:t>
      </w:r>
      <w:r>
        <w:rPr>
          <w:rFonts w:hint="eastAsia" w:ascii="Times New Roman" w:hAnsi="Times New Roman" w:eastAsia="仿宋_GB2312" w:cs="Times New Roman"/>
          <w:b w:val="0"/>
          <w:bCs w:val="0"/>
          <w:kern w:val="2"/>
          <w:sz w:val="32"/>
          <w:szCs w:val="32"/>
          <w:highlight w:val="none"/>
          <w:lang w:val="en-US" w:eastAsia="zh-CN" w:bidi="ar-SA"/>
        </w:rPr>
        <w:t>指标值：≧90%，实际完成90%，完成率100%，偏差率0%。</w:t>
      </w:r>
    </w:p>
    <w:p w14:paraId="32A557AB">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4D7B174B">
      <w:pPr>
        <w:pStyle w:val="2"/>
        <w:ind w:firstLine="640" w:firstLineChars="200"/>
        <w:jc w:val="left"/>
        <w:rPr>
          <w:rFonts w:hint="default" w:ascii="Times New Roman" w:hAnsi="Times New Roman" w:eastAsia="仿宋_GB2312" w:cs="Times New Roman"/>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bidi="ar-SA"/>
        </w:rPr>
        <w:t>培训、服务活动按期完成率指标，指标值为90%，实际完</w:t>
      </w:r>
      <w:r>
        <w:rPr>
          <w:rFonts w:hint="eastAsia" w:ascii="Times New Roman" w:hAnsi="Times New Roman" w:eastAsia="仿宋_GB2312" w:cs="Times New Roman"/>
          <w:b w:val="0"/>
          <w:bCs w:val="0"/>
          <w:kern w:val="2"/>
          <w:sz w:val="32"/>
          <w:szCs w:val="32"/>
          <w:highlight w:val="none"/>
          <w:lang w:val="en-US" w:eastAsia="zh-CN" w:bidi="ar-SA"/>
        </w:rPr>
        <w:t>成90%，完成率100%，偏差率0%</w:t>
      </w:r>
    </w:p>
    <w:p w14:paraId="0F5E1735">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3FC506EC">
      <w:pPr>
        <w:ind w:firstLine="640" w:firstLineChars="200"/>
        <w:rPr>
          <w:rFonts w:hint="default" w:ascii="Times New Roman" w:hAnsi="Times New Roman" w:eastAsia="仿宋_GB2312" w:cs="Times New Roman"/>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bidi="ar-SA"/>
        </w:rPr>
        <w:t>培训、服</w:t>
      </w:r>
      <w:r>
        <w:rPr>
          <w:rFonts w:hint="eastAsia" w:ascii="Times New Roman" w:hAnsi="Times New Roman" w:eastAsia="仿宋_GB2312" w:cs="Times New Roman"/>
          <w:b w:val="0"/>
          <w:bCs w:val="0"/>
          <w:kern w:val="2"/>
          <w:sz w:val="32"/>
          <w:szCs w:val="32"/>
          <w:highlight w:val="none"/>
          <w:lang w:val="en-US" w:eastAsia="zh-CN" w:bidi="ar-SA"/>
        </w:rPr>
        <w:t>务活动人均支出标准指标，指标值为200元/人/天，实际完成200元/人/天，完成率100%，偏差率0%。</w:t>
      </w:r>
    </w:p>
    <w:p w14:paraId="3A060B57">
      <w:pPr>
        <w:pStyle w:val="12"/>
        <w:numPr>
          <w:ilvl w:val="0"/>
          <w:numId w:val="5"/>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14:paraId="64AA0377">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项目效益类指标包括项目实施效益和满意度两方面的内容，由</w:t>
      </w:r>
      <w:r>
        <w:rPr>
          <w:rFonts w:hint="eastAsia"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个三级指标构成，权重分为20分，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w:t>
      </w:r>
      <w:r>
        <w:rPr>
          <w:rFonts w:hint="default" w:ascii="Times New Roman" w:hAnsi="Times New Roman" w:eastAsia="仿宋_GB2312" w:cs="Times New Roman"/>
          <w:sz w:val="32"/>
          <w:szCs w:val="32"/>
          <w:lang w:val="en-US" w:eastAsia="zh-CN"/>
        </w:rPr>
        <w:t>体效益指标及满意度指标完成情况如下：</w:t>
      </w:r>
    </w:p>
    <w:p w14:paraId="4FDB31BB">
      <w:pPr>
        <w:shd w:val="clear"/>
        <w:spacing w:line="600" w:lineRule="exact"/>
        <w:ind w:firstLine="640" w:firstLineChars="200"/>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14:paraId="6E411EE1">
      <w:pPr>
        <w:spacing w:line="60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eastAsia" w:eastAsia="仿宋_GB2312" w:cs="Times New Roman"/>
          <w:sz w:val="32"/>
          <w:szCs w:val="32"/>
          <w:highlight w:val="none"/>
          <w:lang w:val="en-US" w:eastAsia="zh-CN"/>
        </w:rPr>
        <w:t>社会</w:t>
      </w:r>
      <w:r>
        <w:rPr>
          <w:rFonts w:hint="default" w:ascii="Times New Roman" w:hAnsi="Times New Roman" w:eastAsia="仿宋_GB2312" w:cs="Times New Roman"/>
          <w:sz w:val="32"/>
          <w:szCs w:val="32"/>
          <w:highlight w:val="none"/>
        </w:rPr>
        <w:t>效益指标：</w:t>
      </w:r>
    </w:p>
    <w:p w14:paraId="44143C5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提高我区中小企业高质量发展动能指标，指标值为提高，实际完成提高，完成率100%，偏差率0%。</w:t>
      </w:r>
    </w:p>
    <w:p w14:paraId="584B5687">
      <w:pPr>
        <w:numPr>
          <w:ilvl w:val="0"/>
          <w:numId w:val="0"/>
        </w:numPr>
        <w:shd w:val="clear"/>
        <w:spacing w:line="600" w:lineRule="exact"/>
        <w:ind w:leftChars="200" w:firstLine="320" w:firstLineChars="100"/>
        <w:outlineLvl w:val="0"/>
        <w:rPr>
          <w:highlight w:val="none"/>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满意度</w:t>
      </w:r>
    </w:p>
    <w:p w14:paraId="76064846">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培训、服务活动人员满意度指标，指标值为</w:t>
      </w:r>
      <w:r>
        <w:rPr>
          <w:rFonts w:hint="eastAsia" w:eastAsia="仿宋_GB2312" w:cs="Times New Roman"/>
          <w:sz w:val="32"/>
          <w:szCs w:val="32"/>
          <w:highlight w:val="none"/>
          <w:lang w:val="en-US" w:eastAsia="zh-CN"/>
        </w:rPr>
        <w:t>90</w:t>
      </w:r>
      <w:r>
        <w:rPr>
          <w:rFonts w:hint="eastAsia" w:ascii="Times New Roman" w:hAnsi="Times New Roman" w:eastAsia="仿宋_GB2312" w:cs="Times New Roman"/>
          <w:sz w:val="32"/>
          <w:szCs w:val="32"/>
          <w:highlight w:val="none"/>
          <w:lang w:val="en-US" w:eastAsia="zh-CN"/>
        </w:rPr>
        <w:t>%，实际完成</w:t>
      </w:r>
      <w:r>
        <w:rPr>
          <w:rFonts w:hint="eastAsia" w:eastAsia="仿宋_GB2312" w:cs="Times New Roman"/>
          <w:sz w:val="32"/>
          <w:szCs w:val="32"/>
          <w:highlight w:val="none"/>
          <w:lang w:val="en-US" w:eastAsia="zh-CN"/>
        </w:rPr>
        <w:t>90</w:t>
      </w:r>
      <w:r>
        <w:rPr>
          <w:rFonts w:hint="eastAsia" w:ascii="Times New Roman" w:hAnsi="Times New Roman" w:eastAsia="仿宋_GB2312" w:cs="Times New Roman"/>
          <w:sz w:val="32"/>
          <w:szCs w:val="32"/>
          <w:highlight w:val="none"/>
          <w:lang w:val="en-US" w:eastAsia="zh-CN"/>
        </w:rPr>
        <w:t>%，完成率100%，偏差率</w:t>
      </w:r>
      <w:r>
        <w:rPr>
          <w:rFonts w:hint="eastAsia" w:eastAsia="仿宋_GB2312" w:cs="Times New Roman"/>
          <w:sz w:val="32"/>
          <w:szCs w:val="32"/>
          <w:highlight w:val="none"/>
          <w:lang w:val="en-US" w:eastAsia="zh-CN"/>
        </w:rPr>
        <w:t>5.88</w:t>
      </w:r>
      <w:r>
        <w:rPr>
          <w:rFonts w:hint="eastAsia" w:ascii="Times New Roman" w:hAnsi="Times New Roman" w:eastAsia="仿宋_GB2312" w:cs="Times New Roman"/>
          <w:sz w:val="32"/>
          <w:szCs w:val="32"/>
          <w:highlight w:val="none"/>
          <w:lang w:val="en-US" w:eastAsia="zh-CN"/>
        </w:rPr>
        <w:t>%。</w:t>
      </w:r>
    </w:p>
    <w:p w14:paraId="4FF4B6C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p>
    <w:p w14:paraId="2CECDA25">
      <w:pPr>
        <w:spacing w:line="560" w:lineRule="exact"/>
        <w:ind w:firstLine="640" w:firstLineChars="200"/>
        <w:rPr>
          <w:rFonts w:hint="eastAsia" w:ascii="黑体" w:hAnsi="黑体" w:eastAsia="黑体" w:cs="黑体"/>
          <w:b w:val="0"/>
          <w:bCs w:val="0"/>
          <w:sz w:val="32"/>
          <w:szCs w:val="32"/>
          <w:lang w:val="en-US" w:eastAsia="zh-Hans"/>
        </w:rPr>
      </w:pPr>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lang w:val="en-US" w:eastAsia="zh-Hans"/>
        </w:rPr>
        <w:t>预算执行进度与绩效指标总体完成率偏差</w:t>
      </w:r>
    </w:p>
    <w:p w14:paraId="75A05020">
      <w:pPr>
        <w:pStyle w:val="2"/>
        <w:numPr>
          <w:ilvl w:val="0"/>
          <w:numId w:val="0"/>
        </w:numPr>
        <w:spacing w:before="0" w:after="0"/>
        <w:ind w:firstLine="640" w:firstLineChars="200"/>
        <w:jc w:val="both"/>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eastAsia="zh-CN"/>
        </w:rPr>
        <w:t>为中小企业提供服务</w:t>
      </w:r>
      <w:r>
        <w:rPr>
          <w:rFonts w:hint="eastAsia" w:ascii="仿宋_GB2312" w:hAnsi="仿宋_GB2312" w:eastAsia="仿宋_GB2312" w:cs="仿宋_GB2312"/>
          <w:b w:val="0"/>
          <w:bCs w:val="0"/>
          <w:sz w:val="32"/>
          <w:szCs w:val="32"/>
          <w:highlight w:val="none"/>
        </w:rPr>
        <w:t>项目年初预算</w:t>
      </w:r>
      <w:r>
        <w:rPr>
          <w:rFonts w:hint="eastAsia" w:ascii="仿宋_GB2312" w:hAnsi="仿宋_GB2312" w:eastAsia="仿宋_GB2312" w:cs="仿宋_GB2312"/>
          <w:b w:val="0"/>
          <w:bCs w:val="0"/>
          <w:sz w:val="32"/>
          <w:szCs w:val="32"/>
          <w:highlight w:val="none"/>
          <w:lang w:val="en-US" w:eastAsia="zh-CN"/>
        </w:rPr>
        <w:t>232.3</w:t>
      </w:r>
      <w:r>
        <w:rPr>
          <w:rFonts w:hint="eastAsia" w:ascii="仿宋_GB2312" w:hAnsi="仿宋_GB2312" w:eastAsia="仿宋_GB2312" w:cs="仿宋_GB2312"/>
          <w:b w:val="0"/>
          <w:bCs w:val="0"/>
          <w:sz w:val="32"/>
          <w:szCs w:val="32"/>
          <w:highlight w:val="none"/>
        </w:rPr>
        <w:t>万元，全年预算</w:t>
      </w:r>
      <w:r>
        <w:rPr>
          <w:rFonts w:hint="eastAsia" w:ascii="仿宋_GB2312" w:hAnsi="仿宋_GB2312" w:eastAsia="仿宋_GB2312" w:cs="仿宋_GB2312"/>
          <w:b w:val="0"/>
          <w:bCs w:val="0"/>
          <w:sz w:val="32"/>
          <w:szCs w:val="32"/>
          <w:highlight w:val="none"/>
          <w:lang w:val="en-US" w:eastAsia="zh-CN"/>
        </w:rPr>
        <w:t>232.3</w:t>
      </w:r>
      <w:r>
        <w:rPr>
          <w:rFonts w:hint="eastAsia" w:ascii="仿宋_GB2312" w:hAnsi="仿宋_GB2312" w:eastAsia="仿宋_GB2312" w:cs="仿宋_GB2312"/>
          <w:b w:val="0"/>
          <w:bCs w:val="0"/>
          <w:sz w:val="32"/>
          <w:szCs w:val="32"/>
          <w:highlight w:val="none"/>
        </w:rPr>
        <w:t>万元，实际支出</w:t>
      </w:r>
      <w:r>
        <w:rPr>
          <w:rFonts w:hint="eastAsia" w:ascii="仿宋_GB2312" w:hAnsi="仿宋_GB2312" w:eastAsia="仿宋_GB2312" w:cs="仿宋_GB2312"/>
          <w:b w:val="0"/>
          <w:bCs w:val="0"/>
          <w:sz w:val="32"/>
          <w:szCs w:val="32"/>
          <w:highlight w:val="none"/>
          <w:lang w:val="en-US" w:eastAsia="zh-CN"/>
        </w:rPr>
        <w:t>211.2</w:t>
      </w:r>
      <w:r>
        <w:rPr>
          <w:rFonts w:hint="eastAsia" w:ascii="仿宋_GB2312" w:hAnsi="仿宋_GB2312" w:eastAsia="仿宋_GB2312" w:cs="仿宋_GB2312"/>
          <w:b w:val="0"/>
          <w:bCs w:val="0"/>
          <w:sz w:val="32"/>
          <w:szCs w:val="32"/>
          <w:highlight w:val="none"/>
        </w:rPr>
        <w:t>万元，预算执行率为</w:t>
      </w:r>
      <w:r>
        <w:rPr>
          <w:rFonts w:hint="eastAsia" w:ascii="仿宋_GB2312" w:hAnsi="仿宋_GB2312" w:eastAsia="仿宋_GB2312" w:cs="仿宋_GB2312"/>
          <w:b w:val="0"/>
          <w:bCs w:val="0"/>
          <w:sz w:val="32"/>
          <w:szCs w:val="32"/>
          <w:highlight w:val="none"/>
          <w:lang w:val="en-US" w:eastAsia="zh-CN"/>
        </w:rPr>
        <w:t>90.92</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yellow"/>
        </w:rPr>
        <w:t>项目绩效指标总体完成率为</w:t>
      </w:r>
      <w:r>
        <w:rPr>
          <w:rFonts w:hint="eastAsia" w:ascii="仿宋_GB2312" w:hAnsi="仿宋_GB2312" w:eastAsia="仿宋_GB2312" w:cs="仿宋_GB2312"/>
          <w:b w:val="0"/>
          <w:bCs w:val="0"/>
          <w:sz w:val="32"/>
          <w:szCs w:val="32"/>
          <w:highlight w:val="yellow"/>
          <w:lang w:val="en-US" w:eastAsia="zh-CN"/>
        </w:rPr>
        <w:t>98.96</w:t>
      </w:r>
      <w:r>
        <w:rPr>
          <w:rFonts w:hint="eastAsia" w:ascii="仿宋_GB2312" w:hAnsi="仿宋_GB2312" w:eastAsia="仿宋_GB2312" w:cs="仿宋_GB2312"/>
          <w:b w:val="0"/>
          <w:bCs w:val="0"/>
          <w:sz w:val="32"/>
          <w:szCs w:val="32"/>
          <w:highlight w:val="yellow"/>
        </w:rPr>
        <w:t>%，</w:t>
      </w:r>
      <w:r>
        <w:rPr>
          <w:rFonts w:hint="eastAsia" w:ascii="仿宋_GB2312" w:hAnsi="仿宋_GB2312" w:eastAsia="仿宋_GB2312" w:cs="仿宋_GB2312"/>
          <w:b w:val="0"/>
          <w:bCs w:val="0"/>
          <w:sz w:val="32"/>
          <w:szCs w:val="32"/>
          <w:highlight w:val="yellow"/>
          <w:lang w:eastAsia="zh-Hans"/>
        </w:rPr>
        <w:t>总体</w:t>
      </w:r>
      <w:r>
        <w:rPr>
          <w:rFonts w:hint="eastAsia" w:ascii="仿宋_GB2312" w:hAnsi="仿宋_GB2312" w:eastAsia="仿宋_GB2312" w:cs="仿宋_GB2312"/>
          <w:b w:val="0"/>
          <w:bCs w:val="0"/>
          <w:sz w:val="32"/>
          <w:szCs w:val="32"/>
          <w:highlight w:val="yellow"/>
        </w:rPr>
        <w:t>偏差率为</w:t>
      </w:r>
      <w:r>
        <w:rPr>
          <w:rFonts w:hint="eastAsia" w:ascii="仿宋_GB2312" w:hAnsi="仿宋_GB2312" w:eastAsia="仿宋_GB2312" w:cs="仿宋_GB2312"/>
          <w:b w:val="0"/>
          <w:bCs w:val="0"/>
          <w:sz w:val="32"/>
          <w:szCs w:val="32"/>
          <w:highlight w:val="yellow"/>
          <w:lang w:val="en-US" w:eastAsia="zh-CN"/>
        </w:rPr>
        <w:t>8.04</w:t>
      </w:r>
      <w:r>
        <w:rPr>
          <w:rFonts w:hint="eastAsia" w:ascii="仿宋_GB2312" w:hAnsi="仿宋_GB2312" w:eastAsia="仿宋_GB2312" w:cs="仿宋_GB2312"/>
          <w:b w:val="0"/>
          <w:bCs w:val="0"/>
          <w:sz w:val="32"/>
          <w:szCs w:val="32"/>
          <w:highlight w:val="yellow"/>
        </w:rPr>
        <w:t>%</w:t>
      </w:r>
      <w:r>
        <w:rPr>
          <w:rFonts w:hint="eastAsia" w:ascii="仿宋_GB2312" w:hAnsi="仿宋_GB2312" w:eastAsia="仿宋_GB2312" w:cs="仿宋_GB2312"/>
          <w:b w:val="0"/>
          <w:bCs w:val="0"/>
          <w:sz w:val="32"/>
          <w:szCs w:val="32"/>
          <w:highlight w:val="yellow"/>
          <w:lang w:eastAsia="zh-CN"/>
        </w:rPr>
        <w:t>，</w:t>
      </w:r>
      <w:r>
        <w:rPr>
          <w:rFonts w:hint="eastAsia" w:ascii="仿宋_GB2312" w:hAnsi="仿宋_GB2312" w:eastAsia="仿宋_GB2312" w:cs="仿宋_GB2312"/>
          <w:b w:val="0"/>
          <w:bCs w:val="0"/>
          <w:sz w:val="32"/>
          <w:szCs w:val="32"/>
          <w:highlight w:val="none"/>
          <w:lang w:eastAsia="zh-Hans"/>
        </w:rPr>
        <w:t>偏差</w:t>
      </w:r>
      <w:r>
        <w:rPr>
          <w:rFonts w:hint="eastAsia" w:ascii="仿宋_GB2312" w:hAnsi="仿宋_GB2312" w:eastAsia="仿宋_GB2312" w:cs="仿宋_GB2312"/>
          <w:b w:val="0"/>
          <w:bCs w:val="0"/>
          <w:sz w:val="32"/>
          <w:szCs w:val="32"/>
          <w:highlight w:val="none"/>
        </w:rPr>
        <w:t>原因</w:t>
      </w:r>
      <w:r>
        <w:rPr>
          <w:rFonts w:hint="eastAsia" w:ascii="仿宋_GB2312" w:hAnsi="仿宋_GB2312" w:eastAsia="仿宋_GB2312" w:cs="仿宋_GB2312"/>
          <w:b w:val="0"/>
          <w:bCs w:val="0"/>
          <w:sz w:val="32"/>
          <w:szCs w:val="32"/>
          <w:highlight w:val="none"/>
          <w:lang w:eastAsia="zh-CN"/>
        </w:rPr>
        <w:t>：指标设置不够细致，</w:t>
      </w:r>
      <w:r>
        <w:rPr>
          <w:rFonts w:hint="eastAsia" w:ascii="仿宋_GB2312" w:hAnsi="仿宋_GB2312" w:eastAsia="仿宋_GB2312" w:cs="仿宋_GB2312"/>
          <w:b w:val="0"/>
          <w:bCs w:val="0"/>
          <w:sz w:val="32"/>
          <w:szCs w:val="32"/>
          <w:highlight w:val="none"/>
          <w:lang w:eastAsia="zh-Hans"/>
        </w:rPr>
        <w:t>改进</w:t>
      </w:r>
      <w:r>
        <w:rPr>
          <w:rFonts w:hint="eastAsia" w:ascii="仿宋_GB2312" w:hAnsi="仿宋_GB2312" w:eastAsia="仿宋_GB2312" w:cs="仿宋_GB2312"/>
          <w:b w:val="0"/>
          <w:bCs w:val="0"/>
          <w:sz w:val="32"/>
          <w:szCs w:val="32"/>
          <w:highlight w:val="none"/>
        </w:rPr>
        <w:t>措施</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各项指标的设置要进一步优化、完善，主要在细化、量化上改进。</w:t>
      </w:r>
    </w:p>
    <w:p w14:paraId="7351D6F5">
      <w:pPr>
        <w:spacing w:line="560" w:lineRule="exact"/>
        <w:ind w:firstLine="640" w:firstLineChars="200"/>
        <w:rPr>
          <w:rStyle w:val="18"/>
          <w:rFonts w:hint="default" w:ascii="Times New Roman" w:hAnsi="Times New Roman" w:cs="Times New Roman"/>
          <w:color w:val="auto"/>
        </w:rPr>
      </w:pPr>
      <w:r>
        <w:rPr>
          <w:rFonts w:hint="eastAsia" w:eastAsia="黑体" w:cs="Times New Roman"/>
          <w:sz w:val="32"/>
          <w:szCs w:val="32"/>
          <w:lang w:val="en-US" w:eastAsia="zh-CN"/>
        </w:rPr>
        <w:t>六</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14:paraId="67445330">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14:paraId="2B992C2E">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w:t>
      </w:r>
      <w:r>
        <w:rPr>
          <w:rFonts w:eastAsia="仿宋_GB2312"/>
          <w:sz w:val="32"/>
          <w:szCs w:val="32"/>
          <w:highlight w:val="none"/>
        </w:rPr>
        <w:t>做好</w:t>
      </w:r>
      <w:r>
        <w:rPr>
          <w:rFonts w:hint="eastAsia" w:eastAsia="仿宋_GB2312"/>
          <w:sz w:val="32"/>
          <w:szCs w:val="32"/>
          <w:highlight w:val="none"/>
          <w:lang w:eastAsia="zh-CN"/>
        </w:rPr>
        <w:t>服务对象满意度</w:t>
      </w:r>
      <w:r>
        <w:rPr>
          <w:rFonts w:eastAsia="仿宋_GB2312"/>
          <w:sz w:val="32"/>
          <w:szCs w:val="32"/>
          <w:highlight w:val="none"/>
        </w:rPr>
        <w:t>调查及项目</w:t>
      </w:r>
      <w:r>
        <w:rPr>
          <w:rFonts w:hint="eastAsia" w:eastAsia="仿宋_GB2312"/>
          <w:sz w:val="32"/>
          <w:szCs w:val="32"/>
          <w:highlight w:val="none"/>
          <w:lang w:eastAsia="zh-CN"/>
        </w:rPr>
        <w:t>回访</w:t>
      </w:r>
      <w:r>
        <w:rPr>
          <w:rFonts w:eastAsia="仿宋_GB2312"/>
          <w:sz w:val="32"/>
          <w:szCs w:val="32"/>
          <w:highlight w:val="none"/>
        </w:rPr>
        <w:t>工作</w:t>
      </w:r>
      <w:r>
        <w:rPr>
          <w:rFonts w:hint="default" w:ascii="Times New Roman" w:hAnsi="Times New Roman" w:eastAsia="仿宋_GB2312" w:cs="Times New Roman"/>
          <w:sz w:val="32"/>
          <w:szCs w:val="32"/>
        </w:rPr>
        <w:t>。</w:t>
      </w:r>
    </w:p>
    <w:p w14:paraId="5C554257">
      <w:pPr>
        <w:pStyle w:val="2"/>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12118B8A">
      <w:pPr>
        <w:keepNext/>
        <w:keepLines/>
        <w:numPr>
          <w:ilvl w:val="0"/>
          <w:numId w:val="6"/>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14:paraId="4098CAE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6D70A5F7">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14:paraId="76C268E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0CF93B8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29375BB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5D29F891">
      <w:pPr>
        <w:shd w:val="clear"/>
        <w:spacing w:line="600" w:lineRule="exact"/>
        <w:ind w:firstLine="640" w:firstLineChars="200"/>
        <w:outlineLvl w:val="0"/>
        <w:rPr>
          <w:rFonts w:hint="default" w:ascii="Times New Roman" w:hAnsi="Times New Roman" w:cs="Times New Roman"/>
          <w:sz w:val="22"/>
          <w:szCs w:val="28"/>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14:paraId="1699C39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5E9CFA49">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八</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14:paraId="092DB1D7">
      <w:pPr>
        <w:pStyle w:val="13"/>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14:paraId="283E46A4">
      <w:pPr>
        <w:pStyle w:val="13"/>
        <w:spacing w:after="0" w:line="560" w:lineRule="exact"/>
        <w:ind w:left="0" w:leftChars="0" w:firstLine="640"/>
        <w:rPr>
          <w:rFonts w:hint="eastAsia" w:ascii="Times New Roman" w:hAnsi="Times New Roman" w:eastAsia="仿宋_GB2312" w:cs="Times New Roman"/>
          <w:sz w:val="32"/>
          <w:szCs w:val="32"/>
          <w:lang w:eastAsia="zh-CN"/>
        </w:rPr>
      </w:pPr>
    </w:p>
    <w:p w14:paraId="387167B2">
      <w:pPr>
        <w:pStyle w:val="13"/>
        <w:spacing w:after="0" w:line="560" w:lineRule="exact"/>
        <w:ind w:left="0" w:leftChars="0" w:firstLine="640"/>
        <w:rPr>
          <w:rFonts w:hint="eastAsia" w:ascii="Times New Roman" w:hAnsi="Times New Roman" w:eastAsia="仿宋_GB2312" w:cs="Times New Roman"/>
          <w:sz w:val="32"/>
          <w:szCs w:val="32"/>
          <w:lang w:eastAsia="zh-CN"/>
        </w:rPr>
      </w:pPr>
    </w:p>
    <w:p w14:paraId="57138123">
      <w:pPr>
        <w:pStyle w:val="13"/>
        <w:spacing w:after="0" w:line="560" w:lineRule="exact"/>
        <w:ind w:left="0" w:leftChars="0" w:firstLine="640"/>
        <w:rPr>
          <w:rFonts w:hint="eastAsia" w:ascii="Times New Roman" w:hAnsi="Times New Roman" w:eastAsia="仿宋_GB2312" w:cs="Times New Roman"/>
          <w:sz w:val="32"/>
          <w:szCs w:val="32"/>
          <w:lang w:eastAsia="zh-CN"/>
        </w:rPr>
      </w:pPr>
    </w:p>
    <w:p w14:paraId="0A1BADD2">
      <w:pPr>
        <w:pStyle w:val="13"/>
        <w:spacing w:after="0" w:line="560" w:lineRule="exact"/>
        <w:ind w:left="0" w:leftChars="0" w:firstLine="0" w:firstLineChars="0"/>
        <w:rPr>
          <w:rFonts w:hint="default" w:ascii="Times New Roman" w:hAnsi="Times New Roman" w:eastAsia="仿宋_GB2312" w:cs="Times New Roman"/>
          <w:sz w:val="32"/>
          <w:szCs w:val="32"/>
        </w:rPr>
      </w:pPr>
    </w:p>
    <w:p w14:paraId="40D89AA6">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23422B0B">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14:paraId="7B0F22BA">
      <w:pPr>
        <w:pStyle w:val="19"/>
        <w:ind w:firstLine="562"/>
        <w:jc w:val="center"/>
        <w:rPr>
          <w:rFonts w:hint="eastAsia" w:ascii="仿宋_GB2312" w:hAnsi="仿宋_GB2312" w:eastAsia="仿宋_GB2312" w:cs="仿宋_GB2312"/>
          <w:sz w:val="28"/>
          <w:szCs w:val="40"/>
        </w:rPr>
      </w:pPr>
      <w:bookmarkStart w:id="1" w:name="_Toc30064_WPSOffice_Level1"/>
      <w:bookmarkStart w:id="2" w:name="_Toc26499_WPSOffice_Level2"/>
      <w:r>
        <w:rPr>
          <w:rFonts w:hint="eastAsia" w:ascii="仿宋_GB2312" w:hAnsi="仿宋_GB2312" w:eastAsia="仿宋_GB2312" w:cs="仿宋_GB2312"/>
          <w:b/>
          <w:bCs/>
          <w:sz w:val="28"/>
          <w:szCs w:val="40"/>
          <w:highlight w:val="none"/>
          <w:lang w:eastAsia="zh-CN"/>
        </w:rPr>
        <w:t>为中小企业提供服务</w:t>
      </w:r>
      <w:r>
        <w:rPr>
          <w:rFonts w:hint="eastAsia" w:ascii="仿宋_GB2312" w:hAnsi="仿宋_GB2312" w:eastAsia="仿宋_GB2312" w:cs="仿宋_GB2312"/>
          <w:b/>
          <w:bCs/>
          <w:sz w:val="28"/>
          <w:szCs w:val="40"/>
          <w:highlight w:val="none"/>
        </w:rPr>
        <w:t>项目</w:t>
      </w:r>
      <w:r>
        <w:rPr>
          <w:rFonts w:hint="eastAsia" w:ascii="仿宋_GB2312" w:hAnsi="仿宋_GB2312" w:eastAsia="仿宋_GB2312" w:cs="仿宋_GB2312"/>
          <w:b/>
          <w:bCs/>
          <w:sz w:val="28"/>
          <w:szCs w:val="40"/>
        </w:rPr>
        <w:t>绩效评价指标体系及综合评分表</w:t>
      </w:r>
      <w:bookmarkEnd w:id="1"/>
      <w:bookmarkEnd w:id="2"/>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4"/>
        <w:gridCol w:w="1000"/>
        <w:gridCol w:w="1071"/>
        <w:gridCol w:w="1726"/>
        <w:gridCol w:w="5216"/>
        <w:gridCol w:w="1300"/>
        <w:gridCol w:w="1366"/>
      </w:tblGrid>
      <w:tr w14:paraId="0CFF82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4" w:type="dxa"/>
            <w:shd w:val="clear" w:color="auto" w:fill="FFFFFF"/>
            <w:vAlign w:val="center"/>
          </w:tcPr>
          <w:p w14:paraId="40C22A5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1000" w:type="dxa"/>
            <w:shd w:val="clear" w:color="auto" w:fill="FFFFFF"/>
            <w:vAlign w:val="center"/>
          </w:tcPr>
          <w:p w14:paraId="38DF17C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1071" w:type="dxa"/>
            <w:shd w:val="clear" w:color="auto" w:fill="FFFFFF"/>
            <w:vAlign w:val="center"/>
          </w:tcPr>
          <w:p w14:paraId="0A119A4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1726" w:type="dxa"/>
            <w:shd w:val="clear" w:color="auto" w:fill="FFFFFF"/>
            <w:vAlign w:val="center"/>
          </w:tcPr>
          <w:p w14:paraId="4291F3A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5216" w:type="dxa"/>
            <w:shd w:val="clear" w:color="auto" w:fill="FFFFFF"/>
            <w:vAlign w:val="center"/>
          </w:tcPr>
          <w:p w14:paraId="3D5400C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1300" w:type="dxa"/>
            <w:shd w:val="clear" w:color="auto" w:fill="FFFFFF"/>
            <w:vAlign w:val="center"/>
          </w:tcPr>
          <w:p w14:paraId="7393CA4F">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1366" w:type="dxa"/>
            <w:shd w:val="clear" w:color="auto" w:fill="FFFFFF"/>
            <w:vAlign w:val="center"/>
          </w:tcPr>
          <w:p w14:paraId="7AB441E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14:paraId="083995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4" w:type="dxa"/>
            <w:vMerge w:val="restart"/>
            <w:shd w:val="clear" w:color="auto" w:fill="FFFFFF"/>
            <w:vAlign w:val="center"/>
          </w:tcPr>
          <w:p w14:paraId="792909E9">
            <w:pPr>
              <w:widowControl/>
              <w:spacing w:line="0" w:lineRule="atLeast"/>
              <w:jc w:val="center"/>
              <w:rPr>
                <w:rFonts w:hint="default" w:ascii="Times New Roman" w:hAnsi="Times New Roman" w:eastAsia="仿宋_GB2312" w:cs="Times New Roman"/>
                <w:color w:val="000000"/>
                <w:kern w:val="0"/>
                <w:sz w:val="18"/>
                <w:szCs w:val="18"/>
              </w:rPr>
            </w:pPr>
          </w:p>
          <w:p w14:paraId="652339C1">
            <w:pPr>
              <w:widowControl/>
              <w:spacing w:line="0" w:lineRule="atLeast"/>
              <w:jc w:val="center"/>
              <w:rPr>
                <w:rFonts w:hint="default" w:ascii="Times New Roman" w:hAnsi="Times New Roman" w:eastAsia="仿宋_GB2312" w:cs="Times New Roman"/>
                <w:color w:val="000000"/>
                <w:kern w:val="0"/>
                <w:sz w:val="18"/>
                <w:szCs w:val="18"/>
              </w:rPr>
            </w:pPr>
          </w:p>
          <w:p w14:paraId="76A57DDA">
            <w:pPr>
              <w:widowControl/>
              <w:spacing w:line="0" w:lineRule="atLeast"/>
              <w:jc w:val="center"/>
              <w:rPr>
                <w:rFonts w:hint="default" w:ascii="Times New Roman" w:hAnsi="Times New Roman" w:eastAsia="仿宋_GB2312" w:cs="Times New Roman"/>
                <w:color w:val="000000"/>
                <w:kern w:val="0"/>
                <w:sz w:val="18"/>
                <w:szCs w:val="18"/>
              </w:rPr>
            </w:pPr>
          </w:p>
          <w:p w14:paraId="460D7785">
            <w:pPr>
              <w:widowControl/>
              <w:spacing w:line="0" w:lineRule="atLeast"/>
              <w:jc w:val="center"/>
              <w:rPr>
                <w:rFonts w:hint="default" w:ascii="Times New Roman" w:hAnsi="Times New Roman" w:eastAsia="仿宋_GB2312" w:cs="Times New Roman"/>
                <w:color w:val="000000"/>
                <w:kern w:val="0"/>
                <w:sz w:val="18"/>
                <w:szCs w:val="18"/>
              </w:rPr>
            </w:pPr>
          </w:p>
          <w:p w14:paraId="41B3C60F">
            <w:pPr>
              <w:widowControl/>
              <w:spacing w:line="0" w:lineRule="atLeast"/>
              <w:jc w:val="center"/>
              <w:rPr>
                <w:rFonts w:hint="default" w:ascii="Times New Roman" w:hAnsi="Times New Roman" w:eastAsia="仿宋_GB2312" w:cs="Times New Roman"/>
                <w:color w:val="000000"/>
                <w:kern w:val="0"/>
                <w:sz w:val="18"/>
                <w:szCs w:val="18"/>
              </w:rPr>
            </w:pPr>
          </w:p>
          <w:p w14:paraId="1A610C79">
            <w:pPr>
              <w:widowControl/>
              <w:spacing w:line="0" w:lineRule="atLeast"/>
              <w:jc w:val="center"/>
              <w:rPr>
                <w:rFonts w:hint="default" w:ascii="Times New Roman" w:hAnsi="Times New Roman" w:eastAsia="仿宋_GB2312" w:cs="Times New Roman"/>
                <w:color w:val="000000"/>
                <w:kern w:val="0"/>
                <w:sz w:val="18"/>
                <w:szCs w:val="18"/>
              </w:rPr>
            </w:pPr>
          </w:p>
          <w:p w14:paraId="5EFA783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1000" w:type="dxa"/>
            <w:vMerge w:val="restart"/>
            <w:shd w:val="clear" w:color="auto" w:fill="FFFFFF"/>
            <w:vAlign w:val="center"/>
          </w:tcPr>
          <w:p w14:paraId="11D78B3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1071" w:type="dxa"/>
            <w:shd w:val="clear" w:color="auto" w:fill="FFFFFF"/>
            <w:vAlign w:val="center"/>
          </w:tcPr>
          <w:p w14:paraId="77398B8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14:paraId="55FB154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1726" w:type="dxa"/>
            <w:shd w:val="clear" w:color="auto" w:fill="FFFFFF"/>
            <w:vAlign w:val="center"/>
          </w:tcPr>
          <w:p w14:paraId="5FA6596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344FA978">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1300" w:type="dxa"/>
            <w:shd w:val="clear" w:color="auto" w:fill="FFFFFF"/>
            <w:vAlign w:val="center"/>
          </w:tcPr>
          <w:p w14:paraId="0D28DFC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6" w:type="dxa"/>
            <w:shd w:val="clear" w:color="auto" w:fill="FFFFFF"/>
            <w:vAlign w:val="center"/>
          </w:tcPr>
          <w:p w14:paraId="7D3A7F6F">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3</w:t>
            </w:r>
          </w:p>
        </w:tc>
      </w:tr>
      <w:tr w14:paraId="6F82B6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4" w:type="dxa"/>
            <w:vMerge w:val="continue"/>
            <w:shd w:val="clear" w:color="auto" w:fill="FFFFFF"/>
            <w:vAlign w:val="center"/>
          </w:tcPr>
          <w:p w14:paraId="1A21FCA1">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62327215">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090BE9F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14:paraId="454849C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1726" w:type="dxa"/>
            <w:shd w:val="clear" w:color="auto" w:fill="FFFFFF"/>
            <w:vAlign w:val="center"/>
          </w:tcPr>
          <w:p w14:paraId="61A630D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5216" w:type="dxa"/>
            <w:shd w:val="clear" w:color="auto" w:fill="FFFFFF"/>
            <w:vAlign w:val="center"/>
          </w:tcPr>
          <w:p w14:paraId="0775DC52">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1300" w:type="dxa"/>
            <w:shd w:val="clear" w:color="auto" w:fill="FFFFFF"/>
            <w:vAlign w:val="center"/>
          </w:tcPr>
          <w:p w14:paraId="7A10895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6" w:type="dxa"/>
            <w:shd w:val="clear" w:color="auto" w:fill="FFFFFF"/>
            <w:vAlign w:val="center"/>
          </w:tcPr>
          <w:p w14:paraId="5D9C1663">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3</w:t>
            </w:r>
          </w:p>
        </w:tc>
      </w:tr>
      <w:tr w14:paraId="11077E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4" w:type="dxa"/>
            <w:vMerge w:val="continue"/>
            <w:shd w:val="clear" w:color="auto" w:fill="FFFFFF"/>
            <w:vAlign w:val="center"/>
          </w:tcPr>
          <w:p w14:paraId="3E6CCE83">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1AA829F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1071" w:type="dxa"/>
            <w:shd w:val="clear" w:color="auto" w:fill="FFFFFF"/>
            <w:vAlign w:val="center"/>
          </w:tcPr>
          <w:p w14:paraId="72B2A6C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14:paraId="21CDECB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6" w:type="dxa"/>
            <w:shd w:val="clear" w:color="000000" w:fill="FFFFFF"/>
            <w:vAlign w:val="center"/>
          </w:tcPr>
          <w:p w14:paraId="2E00DA2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14:paraId="6D75FFE1">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14:paraId="61DFFA5C">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1300" w:type="dxa"/>
            <w:shd w:val="clear" w:color="000000" w:fill="FFFFFF"/>
            <w:vAlign w:val="center"/>
          </w:tcPr>
          <w:p w14:paraId="394EEB0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6" w:type="dxa"/>
            <w:shd w:val="clear" w:color="000000" w:fill="FFFFFF"/>
            <w:vAlign w:val="center"/>
          </w:tcPr>
          <w:p w14:paraId="0BFDC7E6">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3</w:t>
            </w:r>
          </w:p>
        </w:tc>
      </w:tr>
      <w:tr w14:paraId="1FDC8B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4" w:type="dxa"/>
            <w:vMerge w:val="continue"/>
            <w:shd w:val="clear" w:color="auto" w:fill="FFFFFF"/>
            <w:vAlign w:val="center"/>
          </w:tcPr>
          <w:p w14:paraId="18663BC7">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773E28BC">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36B97BD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14:paraId="54966FE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1726" w:type="dxa"/>
            <w:shd w:val="clear" w:color="000000" w:fill="FFFFFF"/>
            <w:vAlign w:val="center"/>
          </w:tcPr>
          <w:p w14:paraId="68400FE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5216" w:type="dxa"/>
            <w:shd w:val="clear" w:color="000000" w:fill="FFFFFF"/>
            <w:vAlign w:val="center"/>
          </w:tcPr>
          <w:p w14:paraId="1C1AAEE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1300" w:type="dxa"/>
            <w:shd w:val="clear" w:color="000000" w:fill="FFFFFF"/>
            <w:vAlign w:val="center"/>
          </w:tcPr>
          <w:p w14:paraId="5E4E984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6" w:type="dxa"/>
            <w:shd w:val="clear" w:color="000000" w:fill="FFFFFF"/>
            <w:vAlign w:val="center"/>
          </w:tcPr>
          <w:p w14:paraId="658F2AD6">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3</w:t>
            </w:r>
          </w:p>
        </w:tc>
      </w:tr>
      <w:tr w14:paraId="5B3844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4" w:type="dxa"/>
            <w:vMerge w:val="continue"/>
            <w:shd w:val="clear" w:color="auto" w:fill="FFFFFF"/>
            <w:vAlign w:val="center"/>
          </w:tcPr>
          <w:p w14:paraId="4C68357D">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590B008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14:paraId="3AB4BEC9">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14:paraId="6ED91E0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14:paraId="23B42DF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1726" w:type="dxa"/>
            <w:shd w:val="clear" w:color="auto" w:fill="FFFFFF"/>
            <w:vAlign w:val="center"/>
          </w:tcPr>
          <w:p w14:paraId="3ED80D5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1898A72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1300" w:type="dxa"/>
            <w:shd w:val="clear" w:color="auto" w:fill="FFFFFF"/>
            <w:vAlign w:val="center"/>
          </w:tcPr>
          <w:p w14:paraId="51E55DE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auto" w:fill="FFFFFF"/>
            <w:vAlign w:val="center"/>
          </w:tcPr>
          <w:p w14:paraId="133F1CD1">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14:paraId="66D7A7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4" w:type="dxa"/>
            <w:vMerge w:val="continue"/>
            <w:shd w:val="clear" w:color="auto" w:fill="FFFFFF"/>
            <w:vAlign w:val="center"/>
          </w:tcPr>
          <w:p w14:paraId="0CD8D74C">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7B1F037E">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31C0AC2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14:paraId="7725066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6" w:type="dxa"/>
            <w:shd w:val="clear" w:color="auto" w:fill="FFFFFF"/>
            <w:vAlign w:val="center"/>
          </w:tcPr>
          <w:p w14:paraId="463F9C5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2A1BC90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1300" w:type="dxa"/>
            <w:shd w:val="clear" w:color="auto" w:fill="FFFFFF"/>
            <w:vAlign w:val="center"/>
          </w:tcPr>
          <w:p w14:paraId="5FD85D0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auto" w:fill="FFFFFF"/>
            <w:vAlign w:val="center"/>
          </w:tcPr>
          <w:p w14:paraId="7B9666D8">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14:paraId="36869F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4" w:type="dxa"/>
            <w:vMerge w:val="restart"/>
            <w:shd w:val="clear" w:color="auto" w:fill="FFFFFF"/>
            <w:vAlign w:val="center"/>
          </w:tcPr>
          <w:p w14:paraId="2D665A23">
            <w:pPr>
              <w:spacing w:line="0" w:lineRule="atLeast"/>
              <w:jc w:val="center"/>
              <w:rPr>
                <w:rFonts w:hint="default" w:ascii="Times New Roman" w:hAnsi="Times New Roman" w:eastAsia="仿宋_GB2312" w:cs="Times New Roman"/>
                <w:color w:val="000000"/>
                <w:kern w:val="0"/>
                <w:sz w:val="18"/>
                <w:szCs w:val="18"/>
              </w:rPr>
            </w:pPr>
          </w:p>
          <w:p w14:paraId="4707B608">
            <w:pPr>
              <w:spacing w:line="0" w:lineRule="atLeast"/>
              <w:jc w:val="center"/>
              <w:rPr>
                <w:rFonts w:hint="default" w:ascii="Times New Roman" w:hAnsi="Times New Roman" w:eastAsia="仿宋_GB2312" w:cs="Times New Roman"/>
                <w:color w:val="000000"/>
                <w:kern w:val="0"/>
                <w:sz w:val="18"/>
                <w:szCs w:val="18"/>
              </w:rPr>
            </w:pPr>
          </w:p>
          <w:p w14:paraId="5CAA159C">
            <w:pPr>
              <w:spacing w:line="0" w:lineRule="atLeast"/>
              <w:jc w:val="center"/>
              <w:rPr>
                <w:rFonts w:hint="default" w:ascii="Times New Roman" w:hAnsi="Times New Roman" w:eastAsia="仿宋_GB2312" w:cs="Times New Roman"/>
                <w:color w:val="000000"/>
                <w:kern w:val="0"/>
                <w:sz w:val="18"/>
                <w:szCs w:val="18"/>
              </w:rPr>
            </w:pPr>
          </w:p>
          <w:p w14:paraId="69726FB8">
            <w:pPr>
              <w:spacing w:line="0" w:lineRule="atLeast"/>
              <w:jc w:val="center"/>
              <w:rPr>
                <w:rFonts w:hint="default" w:ascii="Times New Roman" w:hAnsi="Times New Roman" w:eastAsia="仿宋_GB2312" w:cs="Times New Roman"/>
                <w:color w:val="000000"/>
                <w:kern w:val="0"/>
                <w:sz w:val="18"/>
                <w:szCs w:val="18"/>
              </w:rPr>
            </w:pPr>
          </w:p>
          <w:p w14:paraId="6DE9277C">
            <w:pPr>
              <w:spacing w:line="0" w:lineRule="atLeast"/>
              <w:jc w:val="center"/>
              <w:rPr>
                <w:rFonts w:hint="default" w:ascii="Times New Roman" w:hAnsi="Times New Roman" w:eastAsia="仿宋_GB2312" w:cs="Times New Roman"/>
                <w:color w:val="000000"/>
                <w:kern w:val="0"/>
                <w:sz w:val="18"/>
                <w:szCs w:val="18"/>
              </w:rPr>
            </w:pPr>
          </w:p>
          <w:p w14:paraId="69BE55F6">
            <w:pPr>
              <w:spacing w:line="0" w:lineRule="atLeast"/>
              <w:jc w:val="center"/>
              <w:rPr>
                <w:rFonts w:hint="default" w:ascii="Times New Roman" w:hAnsi="Times New Roman" w:eastAsia="仿宋_GB2312" w:cs="Times New Roman"/>
                <w:color w:val="000000"/>
                <w:kern w:val="0"/>
                <w:sz w:val="18"/>
                <w:szCs w:val="18"/>
              </w:rPr>
            </w:pPr>
          </w:p>
          <w:p w14:paraId="4AB18C2E">
            <w:pPr>
              <w:spacing w:line="0" w:lineRule="atLeast"/>
              <w:jc w:val="center"/>
              <w:rPr>
                <w:rFonts w:hint="default" w:ascii="Times New Roman" w:hAnsi="Times New Roman" w:eastAsia="仿宋_GB2312" w:cs="Times New Roman"/>
                <w:color w:val="000000"/>
                <w:kern w:val="0"/>
                <w:sz w:val="18"/>
                <w:szCs w:val="18"/>
              </w:rPr>
            </w:pPr>
          </w:p>
          <w:p w14:paraId="33E5979A">
            <w:pPr>
              <w:spacing w:line="0" w:lineRule="atLeast"/>
              <w:jc w:val="center"/>
              <w:rPr>
                <w:rFonts w:hint="default" w:ascii="Times New Roman" w:hAnsi="Times New Roman" w:eastAsia="仿宋_GB2312" w:cs="Times New Roman"/>
                <w:color w:val="000000"/>
                <w:kern w:val="0"/>
                <w:sz w:val="18"/>
                <w:szCs w:val="18"/>
              </w:rPr>
            </w:pPr>
          </w:p>
          <w:p w14:paraId="1718CC66">
            <w:pPr>
              <w:spacing w:line="0" w:lineRule="atLeast"/>
              <w:jc w:val="center"/>
              <w:rPr>
                <w:rFonts w:hint="default" w:ascii="Times New Roman" w:hAnsi="Times New Roman" w:eastAsia="仿宋_GB2312" w:cs="Times New Roman"/>
                <w:color w:val="000000"/>
                <w:kern w:val="0"/>
                <w:sz w:val="18"/>
                <w:szCs w:val="18"/>
              </w:rPr>
            </w:pPr>
          </w:p>
          <w:p w14:paraId="1F2870E0">
            <w:pPr>
              <w:spacing w:line="0" w:lineRule="atLeast"/>
              <w:jc w:val="center"/>
              <w:rPr>
                <w:rFonts w:hint="default" w:ascii="Times New Roman" w:hAnsi="Times New Roman" w:eastAsia="仿宋_GB2312" w:cs="Times New Roman"/>
                <w:color w:val="000000"/>
                <w:kern w:val="0"/>
                <w:sz w:val="18"/>
                <w:szCs w:val="18"/>
              </w:rPr>
            </w:pPr>
          </w:p>
          <w:p w14:paraId="53A95B3C">
            <w:pPr>
              <w:spacing w:line="0" w:lineRule="atLeast"/>
              <w:jc w:val="center"/>
              <w:rPr>
                <w:rFonts w:hint="default" w:ascii="Times New Roman" w:hAnsi="Times New Roman" w:eastAsia="仿宋_GB2312" w:cs="Times New Roman"/>
                <w:color w:val="000000"/>
                <w:kern w:val="0"/>
                <w:sz w:val="18"/>
                <w:szCs w:val="18"/>
              </w:rPr>
            </w:pPr>
          </w:p>
          <w:p w14:paraId="214F0372">
            <w:pPr>
              <w:spacing w:line="0" w:lineRule="atLeast"/>
              <w:jc w:val="center"/>
              <w:rPr>
                <w:rFonts w:hint="default" w:ascii="Times New Roman" w:hAnsi="Times New Roman" w:eastAsia="仿宋_GB2312" w:cs="Times New Roman"/>
                <w:color w:val="000000"/>
                <w:kern w:val="0"/>
                <w:sz w:val="18"/>
                <w:szCs w:val="18"/>
              </w:rPr>
            </w:pPr>
          </w:p>
          <w:p w14:paraId="217E3733">
            <w:pPr>
              <w:spacing w:line="0" w:lineRule="atLeast"/>
              <w:jc w:val="center"/>
              <w:rPr>
                <w:rFonts w:hint="default" w:ascii="Times New Roman" w:hAnsi="Times New Roman" w:eastAsia="仿宋_GB2312" w:cs="Times New Roman"/>
                <w:color w:val="000000"/>
                <w:kern w:val="0"/>
                <w:sz w:val="18"/>
                <w:szCs w:val="18"/>
              </w:rPr>
            </w:pPr>
          </w:p>
          <w:p w14:paraId="305DB041">
            <w:pPr>
              <w:spacing w:line="0" w:lineRule="atLeast"/>
              <w:jc w:val="center"/>
              <w:rPr>
                <w:rFonts w:hint="default" w:ascii="Times New Roman" w:hAnsi="Times New Roman" w:eastAsia="仿宋_GB2312" w:cs="Times New Roman"/>
                <w:color w:val="000000"/>
                <w:kern w:val="0"/>
                <w:sz w:val="18"/>
                <w:szCs w:val="18"/>
              </w:rPr>
            </w:pPr>
          </w:p>
          <w:p w14:paraId="6A9DF1E4">
            <w:pPr>
              <w:spacing w:line="0" w:lineRule="atLeast"/>
              <w:jc w:val="center"/>
              <w:rPr>
                <w:rFonts w:hint="default" w:ascii="Times New Roman" w:hAnsi="Times New Roman" w:eastAsia="仿宋_GB2312" w:cs="Times New Roman"/>
                <w:color w:val="000000"/>
                <w:kern w:val="0"/>
                <w:sz w:val="18"/>
                <w:szCs w:val="18"/>
              </w:rPr>
            </w:pPr>
          </w:p>
          <w:p w14:paraId="64429C40">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14:paraId="0160F07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00" w:type="dxa"/>
            <w:vMerge w:val="restart"/>
            <w:shd w:val="clear" w:color="auto" w:fill="FFFFFF"/>
            <w:vAlign w:val="center"/>
          </w:tcPr>
          <w:p w14:paraId="56190FF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4DAEC33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1726" w:type="dxa"/>
            <w:shd w:val="clear" w:color="000000" w:fill="FFFFFF"/>
            <w:vAlign w:val="center"/>
          </w:tcPr>
          <w:p w14:paraId="18E0DFA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5216" w:type="dxa"/>
            <w:shd w:val="clear" w:color="000000" w:fill="FFFFFF"/>
            <w:vAlign w:val="center"/>
          </w:tcPr>
          <w:p w14:paraId="44839B9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14:paraId="1E090CF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14:paraId="7947169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1300" w:type="dxa"/>
            <w:shd w:val="clear" w:color="000000" w:fill="FFFFFF"/>
            <w:vAlign w:val="center"/>
          </w:tcPr>
          <w:p w14:paraId="7B0FABB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000000" w:fill="FFFFFF"/>
            <w:vAlign w:val="center"/>
          </w:tcPr>
          <w:p w14:paraId="768E7D07">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14:paraId="32F5FE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4" w:type="dxa"/>
            <w:vMerge w:val="continue"/>
            <w:shd w:val="clear" w:color="auto" w:fill="FFFFFF"/>
            <w:vAlign w:val="center"/>
          </w:tcPr>
          <w:p w14:paraId="16128BCD">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3E48C13E">
            <w:pPr>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522B5A6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1726" w:type="dxa"/>
            <w:shd w:val="clear" w:color="auto" w:fill="FFFFFF"/>
            <w:vAlign w:val="center"/>
          </w:tcPr>
          <w:p w14:paraId="71EF96E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5216" w:type="dxa"/>
            <w:shd w:val="clear" w:color="auto" w:fill="FFFFFF"/>
            <w:vAlign w:val="center"/>
          </w:tcPr>
          <w:p w14:paraId="3586B20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1300" w:type="dxa"/>
            <w:shd w:val="clear" w:color="auto" w:fill="FFFFFF"/>
            <w:vAlign w:val="center"/>
          </w:tcPr>
          <w:p w14:paraId="462EC0E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auto" w:fill="FFFFFF"/>
            <w:vAlign w:val="center"/>
          </w:tcPr>
          <w:p w14:paraId="364CE18D">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3.5</w:t>
            </w:r>
          </w:p>
        </w:tc>
      </w:tr>
      <w:tr w14:paraId="0A78E8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4" w:type="dxa"/>
            <w:vMerge w:val="continue"/>
            <w:shd w:val="clear" w:color="auto" w:fill="FFFFFF"/>
            <w:vAlign w:val="center"/>
          </w:tcPr>
          <w:p w14:paraId="17350A43">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4F83B0D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18BFC2D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14:paraId="5E23A8D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1726" w:type="dxa"/>
            <w:shd w:val="clear" w:color="000000" w:fill="FFFFFF"/>
            <w:vAlign w:val="center"/>
          </w:tcPr>
          <w:p w14:paraId="4F54337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5216" w:type="dxa"/>
            <w:shd w:val="clear" w:color="000000" w:fill="FFFFFF"/>
            <w:vAlign w:val="center"/>
          </w:tcPr>
          <w:p w14:paraId="2B0BE9A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1300" w:type="dxa"/>
            <w:shd w:val="clear" w:color="000000" w:fill="FFFFFF"/>
            <w:vAlign w:val="center"/>
          </w:tcPr>
          <w:p w14:paraId="08C69D6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000000" w:fill="FFFFFF"/>
            <w:vAlign w:val="center"/>
          </w:tcPr>
          <w:p w14:paraId="45DEF3F1">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14:paraId="018364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4" w:type="dxa"/>
            <w:vMerge w:val="continue"/>
            <w:shd w:val="clear" w:color="auto" w:fill="FFFFFF"/>
            <w:vAlign w:val="center"/>
          </w:tcPr>
          <w:p w14:paraId="69776CFD">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13AB43C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14:paraId="26CD717E">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14:paraId="1AE22CD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14:paraId="4E855AD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1726" w:type="dxa"/>
            <w:shd w:val="clear" w:color="000000" w:fill="FFFFFF"/>
            <w:vAlign w:val="center"/>
          </w:tcPr>
          <w:p w14:paraId="2ADD365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14:paraId="2509CC2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1300" w:type="dxa"/>
            <w:shd w:val="clear" w:color="000000" w:fill="FFFFFF"/>
            <w:vAlign w:val="center"/>
          </w:tcPr>
          <w:p w14:paraId="3A7219C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000000" w:fill="FFFFFF"/>
            <w:vAlign w:val="center"/>
          </w:tcPr>
          <w:p w14:paraId="4E537ECF">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14:paraId="57E451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4" w:type="dxa"/>
            <w:vMerge w:val="continue"/>
            <w:shd w:val="clear" w:color="auto" w:fill="FFFFFF"/>
            <w:vAlign w:val="center"/>
          </w:tcPr>
          <w:p w14:paraId="730D2480">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6CEBC2FB">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465D466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14:paraId="4A909D9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1726" w:type="dxa"/>
            <w:shd w:val="clear" w:color="000000" w:fill="FFFFFF"/>
            <w:vAlign w:val="center"/>
          </w:tcPr>
          <w:p w14:paraId="7F2EAB3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5216" w:type="dxa"/>
            <w:shd w:val="clear" w:color="000000" w:fill="FFFFFF"/>
            <w:vAlign w:val="center"/>
          </w:tcPr>
          <w:p w14:paraId="7C0EF85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1300" w:type="dxa"/>
            <w:shd w:val="clear" w:color="000000" w:fill="FFFFFF"/>
            <w:vAlign w:val="center"/>
          </w:tcPr>
          <w:p w14:paraId="1055CAF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000000" w:fill="FFFFFF"/>
            <w:vAlign w:val="center"/>
          </w:tcPr>
          <w:p w14:paraId="7EEA44C1">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14:paraId="7013D1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4" w:type="dxa"/>
            <w:vMerge w:val="restart"/>
            <w:shd w:val="clear" w:color="auto" w:fill="FFFFFF"/>
            <w:vAlign w:val="center"/>
          </w:tcPr>
          <w:p w14:paraId="1483F92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1000" w:type="dxa"/>
            <w:shd w:val="clear" w:color="auto" w:fill="FFFFFF"/>
            <w:vAlign w:val="center"/>
          </w:tcPr>
          <w:p w14:paraId="13D443A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1071" w:type="dxa"/>
            <w:shd w:val="clear" w:color="auto" w:fill="FFFFFF"/>
            <w:vAlign w:val="center"/>
          </w:tcPr>
          <w:p w14:paraId="0223C93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1726" w:type="dxa"/>
            <w:shd w:val="clear" w:color="000000" w:fill="FFFFFF"/>
            <w:vAlign w:val="center"/>
          </w:tcPr>
          <w:p w14:paraId="11E4B91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5216" w:type="dxa"/>
            <w:shd w:val="clear" w:color="000000" w:fill="FFFFFF"/>
            <w:vAlign w:val="center"/>
          </w:tcPr>
          <w:p w14:paraId="0C8BD7A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1300" w:type="dxa"/>
            <w:shd w:val="clear" w:color="000000" w:fill="FFFFFF"/>
            <w:vAlign w:val="center"/>
          </w:tcPr>
          <w:p w14:paraId="2C516FC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14:paraId="36AEF309">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14:paraId="6F88AA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1004" w:type="dxa"/>
            <w:vMerge w:val="continue"/>
            <w:shd w:val="clear" w:color="auto" w:fill="FFFFFF"/>
            <w:vAlign w:val="center"/>
          </w:tcPr>
          <w:p w14:paraId="2666F0F7">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018121E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1071" w:type="dxa"/>
            <w:shd w:val="clear" w:color="auto" w:fill="FFFFFF"/>
            <w:vAlign w:val="center"/>
          </w:tcPr>
          <w:p w14:paraId="392EE07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1726" w:type="dxa"/>
            <w:shd w:val="clear" w:color="000000" w:fill="FFFFFF"/>
            <w:vAlign w:val="center"/>
          </w:tcPr>
          <w:p w14:paraId="07B421D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14:paraId="1E097F3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14:paraId="2D84FF4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14:paraId="5827A91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14:paraId="4AFEF205">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14:paraId="2F3291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4" w:type="dxa"/>
            <w:vMerge w:val="continue"/>
            <w:shd w:val="clear" w:color="auto" w:fill="FFFFFF"/>
            <w:vAlign w:val="center"/>
          </w:tcPr>
          <w:p w14:paraId="4C35A73A">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3795C950">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1071" w:type="dxa"/>
            <w:shd w:val="clear" w:color="auto" w:fill="FFFFFF"/>
            <w:vAlign w:val="center"/>
          </w:tcPr>
          <w:p w14:paraId="2965D1D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1726" w:type="dxa"/>
            <w:shd w:val="clear" w:color="000000" w:fill="FFFFFF"/>
            <w:vAlign w:val="center"/>
          </w:tcPr>
          <w:p w14:paraId="1274E40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5216" w:type="dxa"/>
            <w:shd w:val="clear" w:color="000000" w:fill="FFFFFF"/>
            <w:vAlign w:val="center"/>
          </w:tcPr>
          <w:p w14:paraId="6E8E527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1300" w:type="dxa"/>
            <w:shd w:val="clear" w:color="000000" w:fill="FFFFFF"/>
            <w:vAlign w:val="center"/>
          </w:tcPr>
          <w:p w14:paraId="1059623F">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14:paraId="7280C96E">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14:paraId="5E693F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4" w:type="dxa"/>
            <w:vMerge w:val="continue"/>
            <w:shd w:val="clear" w:color="auto" w:fill="FFFFFF"/>
            <w:vAlign w:val="center"/>
          </w:tcPr>
          <w:p w14:paraId="2EA00AE0">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2F623C8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1071" w:type="dxa"/>
            <w:shd w:val="clear" w:color="auto" w:fill="FFFFFF"/>
            <w:vAlign w:val="center"/>
          </w:tcPr>
          <w:p w14:paraId="3006A73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1726" w:type="dxa"/>
            <w:shd w:val="clear" w:color="000000" w:fill="FFFFFF"/>
            <w:vAlign w:val="center"/>
          </w:tcPr>
          <w:p w14:paraId="780505D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14:paraId="6301AD9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1300" w:type="dxa"/>
            <w:shd w:val="clear" w:color="000000" w:fill="FFFFFF"/>
            <w:vAlign w:val="center"/>
          </w:tcPr>
          <w:p w14:paraId="76AF0A7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14:paraId="3223431B">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9.5</w:t>
            </w:r>
          </w:p>
        </w:tc>
      </w:tr>
      <w:tr w14:paraId="1A6E77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4" w:type="dxa"/>
            <w:vMerge w:val="restart"/>
            <w:shd w:val="clear" w:color="auto" w:fill="FFFFFF"/>
            <w:vAlign w:val="center"/>
          </w:tcPr>
          <w:p w14:paraId="6A6E652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1000" w:type="dxa"/>
            <w:vMerge w:val="restart"/>
            <w:shd w:val="clear" w:color="auto" w:fill="FFFFFF"/>
            <w:vAlign w:val="center"/>
          </w:tcPr>
          <w:p w14:paraId="5A68D2D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1071" w:type="dxa"/>
            <w:shd w:val="clear" w:color="auto" w:fill="FFFFFF"/>
            <w:vAlign w:val="center"/>
          </w:tcPr>
          <w:p w14:paraId="4688234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1726" w:type="dxa"/>
            <w:shd w:val="clear" w:color="auto" w:fill="FFFFFF"/>
            <w:vAlign w:val="center"/>
          </w:tcPr>
          <w:p w14:paraId="26B68AC1">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5216" w:type="dxa"/>
            <w:shd w:val="clear" w:color="auto" w:fill="FFFFFF"/>
            <w:vAlign w:val="center"/>
          </w:tcPr>
          <w:p w14:paraId="046F671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1300" w:type="dxa"/>
            <w:shd w:val="clear" w:color="auto" w:fill="FFFFFF"/>
            <w:vAlign w:val="center"/>
          </w:tcPr>
          <w:p w14:paraId="44DE018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auto" w:fill="FFFFFF"/>
            <w:vAlign w:val="center"/>
          </w:tcPr>
          <w:p w14:paraId="71BDBDBC">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14:paraId="23D9C3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4" w:type="dxa"/>
            <w:vMerge w:val="continue"/>
            <w:shd w:val="clear" w:color="auto" w:fill="FFFFFF"/>
            <w:vAlign w:val="center"/>
          </w:tcPr>
          <w:p w14:paraId="5373323D">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13F39ADE">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4C41CA7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1726" w:type="dxa"/>
            <w:shd w:val="clear" w:color="000000" w:fill="FFFFFF"/>
            <w:vAlign w:val="center"/>
          </w:tcPr>
          <w:p w14:paraId="6E96505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5216" w:type="dxa"/>
            <w:shd w:val="clear" w:color="000000" w:fill="FFFFFF"/>
            <w:vAlign w:val="center"/>
          </w:tcPr>
          <w:p w14:paraId="3B6937E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1300" w:type="dxa"/>
            <w:shd w:val="clear" w:color="000000" w:fill="FFFFFF"/>
            <w:vAlign w:val="center"/>
          </w:tcPr>
          <w:p w14:paraId="2D770E6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14:paraId="421C9625">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bl>
    <w:p w14:paraId="16D15941">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14:paraId="0778D54D">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ascii="黑体" w:hAnsi="黑体" w:eastAsia="黑体" w:cs="黑体"/>
          <w:b/>
          <w:bCs/>
          <w:i w:val="0"/>
          <w:iCs w:val="0"/>
          <w:color w:val="000000"/>
          <w:kern w:val="0"/>
          <w:sz w:val="32"/>
          <w:szCs w:val="32"/>
          <w:u w:val="none"/>
          <w:lang w:val="en-US" w:eastAsia="zh-CN" w:bidi="ar"/>
        </w:rPr>
      </w:pPr>
      <w:r>
        <w:rPr>
          <w:rFonts w:hint="eastAsia" w:ascii="黑体" w:hAnsi="黑体" w:eastAsia="黑体" w:cs="黑体"/>
          <w:b/>
          <w:bCs/>
          <w:i w:val="0"/>
          <w:iCs w:val="0"/>
          <w:color w:val="000000"/>
          <w:kern w:val="0"/>
          <w:sz w:val="32"/>
          <w:szCs w:val="32"/>
          <w:u w:val="none"/>
          <w:lang w:val="en-US" w:eastAsia="zh-CN" w:bidi="ar"/>
        </w:rPr>
        <w:t>附件2</w:t>
      </w:r>
    </w:p>
    <w:p w14:paraId="7B70AAA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p w14:paraId="21601FA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tbl>
      <w:tblPr>
        <w:tblStyle w:val="14"/>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292"/>
        <w:gridCol w:w="1312"/>
        <w:gridCol w:w="1032"/>
        <w:gridCol w:w="1140"/>
        <w:gridCol w:w="1164"/>
        <w:gridCol w:w="924"/>
        <w:gridCol w:w="837"/>
        <w:gridCol w:w="882"/>
        <w:gridCol w:w="777"/>
        <w:gridCol w:w="1032"/>
        <w:gridCol w:w="830"/>
        <w:gridCol w:w="748"/>
        <w:gridCol w:w="1287"/>
      </w:tblGrid>
      <w:tr w14:paraId="16886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5C1EA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1196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2374009E">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为中小企业提供服务项目</w:t>
            </w:r>
          </w:p>
        </w:tc>
      </w:tr>
      <w:tr w14:paraId="5FC7A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7E0FF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557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80211CF">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新疆维吾尔自治区工业和信息化厅</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68739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5A2D9DA">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新疆维吾尔自治区中小企业服务中心</w:t>
            </w:r>
          </w:p>
        </w:tc>
      </w:tr>
      <w:tr w14:paraId="1A354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84864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项目资金</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（万元）</w:t>
            </w: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75CBB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资金来源</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10A2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年初预算数</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8615F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全年预算数</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0D224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全年执行数</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A24EC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分值权重</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86845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执行率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C2D7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r>
      <w:tr w14:paraId="7B18D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1C5D5D">
            <w:pPr>
              <w:jc w:val="center"/>
              <w:rPr>
                <w:rFonts w:hint="eastAsia" w:ascii="仿宋_GB2312" w:hAnsi="仿宋_GB2312" w:eastAsia="仿宋_GB2312" w:cs="仿宋_GB2312"/>
                <w:i w:val="0"/>
                <w:iCs w:val="0"/>
                <w:color w:val="000000"/>
                <w:sz w:val="18"/>
                <w:szCs w:val="18"/>
                <w:u w:val="none"/>
              </w:rPr>
            </w:pP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496CF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年度资金总额</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A3C17">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232.3</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E648B0">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232.3</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B1AFF4">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211.2</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B973D2">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782FC1">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90.92%</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C9EF3">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9.09</w:t>
            </w:r>
          </w:p>
        </w:tc>
      </w:tr>
      <w:tr w14:paraId="32EFE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D10A16">
            <w:pPr>
              <w:jc w:val="center"/>
              <w:rPr>
                <w:rFonts w:hint="eastAsia" w:ascii="仿宋_GB2312" w:hAnsi="仿宋_GB2312" w:eastAsia="仿宋_GB2312" w:cs="仿宋_GB2312"/>
                <w:i w:val="0"/>
                <w:iCs w:val="0"/>
                <w:color w:val="000000"/>
                <w:sz w:val="18"/>
                <w:szCs w:val="18"/>
                <w:u w:val="none"/>
              </w:rPr>
            </w:pP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9415C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其中：当年财政拨款</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2F84B">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C850ED">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F94A30">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8CB91B">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B26E62">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B7FCE">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w:t>
            </w:r>
          </w:p>
        </w:tc>
      </w:tr>
      <w:tr w14:paraId="4423F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B9A2E1">
            <w:pPr>
              <w:jc w:val="center"/>
              <w:rPr>
                <w:rFonts w:hint="eastAsia" w:ascii="仿宋_GB2312" w:hAnsi="仿宋_GB2312" w:eastAsia="仿宋_GB2312" w:cs="仿宋_GB2312"/>
                <w:i w:val="0"/>
                <w:iCs w:val="0"/>
                <w:color w:val="000000"/>
                <w:sz w:val="18"/>
                <w:szCs w:val="18"/>
                <w:u w:val="none"/>
              </w:rPr>
            </w:pPr>
          </w:p>
        </w:tc>
        <w:tc>
          <w:tcPr>
            <w:tcW w:w="2344" w:type="dxa"/>
            <w:gridSpan w:val="2"/>
            <w:tcBorders>
              <w:top w:val="single" w:color="000000" w:sz="4" w:space="0"/>
              <w:left w:val="single" w:color="000000" w:sz="4" w:space="0"/>
              <w:bottom w:val="nil"/>
              <w:right w:val="single" w:color="000000" w:sz="4" w:space="0"/>
            </w:tcBorders>
            <w:shd w:val="clear" w:color="auto" w:fill="auto"/>
            <w:vAlign w:val="center"/>
          </w:tcPr>
          <w:p w14:paraId="680D0E3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1140" w:type="dxa"/>
            <w:tcBorders>
              <w:top w:val="single" w:color="000000" w:sz="4" w:space="0"/>
              <w:left w:val="single" w:color="000000" w:sz="4" w:space="0"/>
              <w:bottom w:val="nil"/>
              <w:right w:val="single" w:color="000000" w:sz="4" w:space="0"/>
            </w:tcBorders>
            <w:shd w:val="clear" w:color="auto" w:fill="auto"/>
            <w:vAlign w:val="center"/>
          </w:tcPr>
          <w:p w14:paraId="4E5E5A90">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232.3</w:t>
            </w:r>
          </w:p>
        </w:tc>
        <w:tc>
          <w:tcPr>
            <w:tcW w:w="2088" w:type="dxa"/>
            <w:gridSpan w:val="2"/>
            <w:tcBorders>
              <w:top w:val="single" w:color="000000" w:sz="4" w:space="0"/>
              <w:left w:val="single" w:color="000000" w:sz="4" w:space="0"/>
              <w:bottom w:val="nil"/>
              <w:right w:val="single" w:color="000000" w:sz="4" w:space="0"/>
            </w:tcBorders>
            <w:shd w:val="clear" w:color="auto" w:fill="auto"/>
            <w:vAlign w:val="center"/>
          </w:tcPr>
          <w:p w14:paraId="280A8FB9">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232.3</w:t>
            </w:r>
          </w:p>
        </w:tc>
        <w:tc>
          <w:tcPr>
            <w:tcW w:w="1719" w:type="dxa"/>
            <w:gridSpan w:val="2"/>
            <w:tcBorders>
              <w:top w:val="single" w:color="000000" w:sz="4" w:space="0"/>
              <w:left w:val="single" w:color="000000" w:sz="4" w:space="0"/>
              <w:bottom w:val="nil"/>
              <w:right w:val="single" w:color="000000" w:sz="4" w:space="0"/>
            </w:tcBorders>
            <w:shd w:val="clear" w:color="auto" w:fill="auto"/>
            <w:vAlign w:val="center"/>
          </w:tcPr>
          <w:p w14:paraId="0B85A318">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211.2</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2128B8">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63CF53">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90.92%</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24F34">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9.09</w:t>
            </w:r>
          </w:p>
        </w:tc>
      </w:tr>
      <w:tr w14:paraId="3801EA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F13EB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年度总体目标</w:t>
            </w:r>
          </w:p>
        </w:tc>
        <w:tc>
          <w:tcPr>
            <w:tcW w:w="8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E998C8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BAD1C5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总体目标完成情况</w:t>
            </w:r>
          </w:p>
        </w:tc>
      </w:tr>
      <w:tr w14:paraId="547AE1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1EC4D0">
            <w:pPr>
              <w:jc w:val="center"/>
              <w:rPr>
                <w:rFonts w:hint="eastAsia" w:ascii="仿宋_GB2312" w:hAnsi="仿宋_GB2312" w:eastAsia="仿宋_GB2312" w:cs="仿宋_GB2312"/>
                <w:i w:val="0"/>
                <w:iCs w:val="0"/>
                <w:color w:val="000000"/>
                <w:sz w:val="18"/>
                <w:szCs w:val="18"/>
                <w:u w:val="none"/>
              </w:rPr>
            </w:pPr>
          </w:p>
        </w:tc>
        <w:tc>
          <w:tcPr>
            <w:tcW w:w="8583" w:type="dxa"/>
            <w:gridSpan w:val="8"/>
            <w:tcBorders>
              <w:top w:val="single" w:color="000000" w:sz="4" w:space="0"/>
              <w:left w:val="single" w:color="000000" w:sz="4" w:space="0"/>
              <w:bottom w:val="single" w:color="000000" w:sz="4" w:space="0"/>
              <w:right w:val="single" w:color="000000" w:sz="4" w:space="0"/>
            </w:tcBorders>
            <w:shd w:val="clear" w:color="auto" w:fill="auto"/>
            <w:vAlign w:val="top"/>
          </w:tcPr>
          <w:p w14:paraId="794BB502">
            <w:pPr>
              <w:jc w:val="left"/>
              <w:rPr>
                <w:rFonts w:hint="eastAsia" w:ascii="仿宋_GB2312" w:hAnsi="仿宋_GB2312" w:eastAsia="仿宋_GB2312" w:cs="仿宋_GB2312"/>
                <w:i w:val="0"/>
                <w:iCs w:val="0"/>
                <w:color w:val="000000"/>
                <w:sz w:val="18"/>
                <w:szCs w:val="18"/>
                <w:u w:val="none"/>
              </w:rPr>
            </w:pP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592E898">
            <w:pPr>
              <w:jc w:val="left"/>
              <w:rPr>
                <w:rFonts w:hint="eastAsia" w:ascii="仿宋_GB2312" w:hAnsi="仿宋_GB2312" w:eastAsia="仿宋_GB2312" w:cs="仿宋_GB2312"/>
                <w:i w:val="0"/>
                <w:iCs w:val="0"/>
                <w:color w:val="000000"/>
                <w:sz w:val="18"/>
                <w:szCs w:val="18"/>
                <w:u w:val="none"/>
              </w:rPr>
            </w:pPr>
          </w:p>
        </w:tc>
      </w:tr>
      <w:tr w14:paraId="36BD3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03FA87">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绩效指标</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5314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CA8B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1FB1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FF13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FF49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指标值设置依据</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1F44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上年完成值</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B649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指标分值权重</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F192D">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指标赋分规则</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6959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佐证资料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EBE4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指标实际完成值</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D508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完成率</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1B8E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指标得分</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860B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偏差原因分析及改进措施</w:t>
            </w:r>
          </w:p>
        </w:tc>
      </w:tr>
      <w:tr w14:paraId="3AF3D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63E10E">
            <w:pPr>
              <w:jc w:val="center"/>
              <w:rPr>
                <w:rFonts w:hint="eastAsia" w:ascii="仿宋_GB2312" w:hAnsi="仿宋_GB2312" w:eastAsia="仿宋_GB2312" w:cs="仿宋_GB2312"/>
                <w:i w:val="0"/>
                <w:iCs w:val="0"/>
                <w:color w:val="000000"/>
                <w:sz w:val="18"/>
                <w:szCs w:val="18"/>
                <w:u w:val="none"/>
              </w:rPr>
            </w:pPr>
          </w:p>
        </w:tc>
        <w:tc>
          <w:tcPr>
            <w:tcW w:w="1292" w:type="dxa"/>
            <w:vMerge w:val="restart"/>
            <w:tcBorders>
              <w:top w:val="single" w:color="000000" w:sz="4" w:space="0"/>
              <w:left w:val="single" w:color="000000" w:sz="4" w:space="0"/>
              <w:right w:val="single" w:color="000000" w:sz="4" w:space="0"/>
            </w:tcBorders>
            <w:shd w:val="clear" w:color="auto" w:fill="auto"/>
            <w:noWrap/>
            <w:vAlign w:val="center"/>
          </w:tcPr>
          <w:p w14:paraId="62C0216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产出指标</w:t>
            </w:r>
          </w:p>
        </w:tc>
        <w:tc>
          <w:tcPr>
            <w:tcW w:w="1312" w:type="dxa"/>
            <w:vMerge w:val="restart"/>
            <w:tcBorders>
              <w:top w:val="single" w:color="000000" w:sz="4" w:space="0"/>
              <w:left w:val="single" w:color="000000" w:sz="4" w:space="0"/>
              <w:right w:val="single" w:color="000000" w:sz="4" w:space="0"/>
            </w:tcBorders>
            <w:shd w:val="clear" w:color="auto" w:fill="auto"/>
            <w:noWrap/>
            <w:vAlign w:val="center"/>
          </w:tcPr>
          <w:p w14:paraId="7A489A5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1032" w:type="dxa"/>
            <w:tcBorders>
              <w:top w:val="single" w:color="000000" w:sz="4" w:space="0"/>
              <w:left w:val="nil"/>
              <w:bottom w:val="single" w:color="000000" w:sz="4" w:space="0"/>
              <w:right w:val="single" w:color="000000" w:sz="4" w:space="0"/>
            </w:tcBorders>
            <w:shd w:val="clear" w:color="auto" w:fill="auto"/>
            <w:vAlign w:val="center"/>
          </w:tcPr>
          <w:p w14:paraId="2D9008F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培训、服务活动次数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2FE58">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&gt;=25次</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2A2C3">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A615E">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25</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A4A53">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6B27F">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按照完成比例 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8FE86">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AA437">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25</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E7456">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69443">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8FBB3">
            <w:pPr>
              <w:jc w:val="center"/>
              <w:rPr>
                <w:rFonts w:hint="eastAsia" w:ascii="仿宋_GB2312" w:hAnsi="仿宋_GB2312" w:eastAsia="仿宋_GB2312" w:cs="仿宋_GB2312"/>
                <w:i w:val="0"/>
                <w:iCs w:val="0"/>
                <w:color w:val="000000"/>
                <w:sz w:val="18"/>
                <w:szCs w:val="18"/>
                <w:u w:val="none"/>
              </w:rPr>
            </w:pPr>
          </w:p>
        </w:tc>
      </w:tr>
      <w:tr w14:paraId="3DA9F6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EB98CB">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left w:val="single" w:color="000000" w:sz="4" w:space="0"/>
              <w:right w:val="single" w:color="000000" w:sz="4" w:space="0"/>
            </w:tcBorders>
            <w:shd w:val="clear" w:color="auto" w:fill="auto"/>
            <w:noWrap/>
            <w:vAlign w:val="center"/>
          </w:tcPr>
          <w:p w14:paraId="6EB247DF">
            <w:pPr>
              <w:jc w:val="center"/>
              <w:rPr>
                <w:rFonts w:hint="eastAsia" w:ascii="仿宋_GB2312" w:hAnsi="仿宋_GB2312" w:eastAsia="仿宋_GB2312" w:cs="仿宋_GB2312"/>
                <w:i w:val="0"/>
                <w:iCs w:val="0"/>
                <w:color w:val="000000"/>
                <w:sz w:val="18"/>
                <w:szCs w:val="18"/>
                <w:u w:val="none"/>
              </w:rPr>
            </w:pPr>
          </w:p>
        </w:tc>
        <w:tc>
          <w:tcPr>
            <w:tcW w:w="1312" w:type="dxa"/>
            <w:vMerge w:val="continue"/>
            <w:tcBorders>
              <w:left w:val="single" w:color="000000" w:sz="4" w:space="0"/>
              <w:right w:val="single" w:color="000000" w:sz="4" w:space="0"/>
            </w:tcBorders>
            <w:shd w:val="clear" w:color="auto" w:fill="auto"/>
            <w:vAlign w:val="center"/>
          </w:tcPr>
          <w:p w14:paraId="1335BB3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DAC2B">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培训、服务活动人数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20B44">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&gt;=1000人次</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E676D">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A9E08">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700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7D90F">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D91F0">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按照完成比例 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1928E">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5A320">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CA614">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FB09F">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19A8C">
            <w:pPr>
              <w:jc w:val="center"/>
              <w:rPr>
                <w:rFonts w:hint="eastAsia" w:ascii="仿宋_GB2312" w:hAnsi="仿宋_GB2312" w:eastAsia="仿宋_GB2312" w:cs="仿宋_GB2312"/>
                <w:i w:val="0"/>
                <w:iCs w:val="0"/>
                <w:color w:val="000000"/>
                <w:sz w:val="18"/>
                <w:szCs w:val="18"/>
                <w:u w:val="none"/>
              </w:rPr>
            </w:pPr>
          </w:p>
        </w:tc>
      </w:tr>
      <w:tr w14:paraId="58BDB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0E81F">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left w:val="single" w:color="000000" w:sz="4" w:space="0"/>
              <w:right w:val="single" w:color="000000" w:sz="4" w:space="0"/>
            </w:tcBorders>
            <w:shd w:val="clear" w:color="auto" w:fill="auto"/>
            <w:noWrap/>
            <w:vAlign w:val="center"/>
          </w:tcPr>
          <w:p w14:paraId="6685F6E9">
            <w:pPr>
              <w:jc w:val="center"/>
              <w:rPr>
                <w:rFonts w:hint="eastAsia" w:ascii="仿宋_GB2312" w:hAnsi="仿宋_GB2312" w:eastAsia="仿宋_GB2312" w:cs="仿宋_GB2312"/>
                <w:i w:val="0"/>
                <w:iCs w:val="0"/>
                <w:color w:val="000000"/>
                <w:sz w:val="18"/>
                <w:szCs w:val="18"/>
                <w:u w:val="none"/>
              </w:rPr>
            </w:pPr>
          </w:p>
        </w:tc>
        <w:tc>
          <w:tcPr>
            <w:tcW w:w="1312" w:type="dxa"/>
            <w:vMerge w:val="continue"/>
            <w:tcBorders>
              <w:left w:val="single" w:color="000000" w:sz="4" w:space="0"/>
              <w:right w:val="single" w:color="000000" w:sz="4" w:space="0"/>
            </w:tcBorders>
            <w:shd w:val="clear" w:color="auto" w:fill="auto"/>
            <w:noWrap/>
            <w:vAlign w:val="center"/>
          </w:tcPr>
          <w:p w14:paraId="051C607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516AE">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培训、服务活动天数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D39D4">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&gt;=12天</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5840F">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A27DF">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C9066">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234D9">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92B65">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4D738">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12</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07932">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19B54">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22D6C">
            <w:pPr>
              <w:jc w:val="center"/>
              <w:rPr>
                <w:rFonts w:hint="eastAsia" w:ascii="仿宋_GB2312" w:hAnsi="仿宋_GB2312" w:eastAsia="仿宋_GB2312" w:cs="仿宋_GB2312"/>
                <w:b/>
                <w:bCs/>
                <w:i w:val="0"/>
                <w:iCs w:val="0"/>
                <w:color w:val="000000"/>
                <w:sz w:val="18"/>
                <w:szCs w:val="18"/>
                <w:u w:val="none"/>
              </w:rPr>
            </w:pPr>
          </w:p>
        </w:tc>
      </w:tr>
      <w:tr w14:paraId="674A87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353B5">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left w:val="single" w:color="000000" w:sz="4" w:space="0"/>
              <w:right w:val="single" w:color="000000" w:sz="4" w:space="0"/>
            </w:tcBorders>
            <w:shd w:val="clear" w:color="auto" w:fill="auto"/>
            <w:noWrap/>
            <w:vAlign w:val="center"/>
          </w:tcPr>
          <w:p w14:paraId="2604BE3D">
            <w:pPr>
              <w:jc w:val="center"/>
              <w:rPr>
                <w:rFonts w:hint="eastAsia" w:ascii="仿宋_GB2312" w:hAnsi="仿宋_GB2312" w:eastAsia="仿宋_GB2312" w:cs="仿宋_GB2312"/>
                <w:i w:val="0"/>
                <w:iCs w:val="0"/>
                <w:color w:val="000000"/>
                <w:sz w:val="18"/>
                <w:szCs w:val="18"/>
                <w:u w:val="none"/>
              </w:rPr>
            </w:pPr>
          </w:p>
        </w:tc>
        <w:tc>
          <w:tcPr>
            <w:tcW w:w="1312" w:type="dxa"/>
            <w:vMerge w:val="continue"/>
            <w:tcBorders>
              <w:left w:val="single" w:color="000000" w:sz="4" w:space="0"/>
              <w:right w:val="single" w:color="000000" w:sz="4" w:space="0"/>
            </w:tcBorders>
            <w:shd w:val="clear" w:color="auto" w:fill="auto"/>
            <w:noWrap/>
            <w:vAlign w:val="center"/>
          </w:tcPr>
          <w:p w14:paraId="6408039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30CA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保障办公人员数量</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4C4E7">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&gt;=27人</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1A1D8">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CFD4B">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sz w:val="18"/>
                <w:szCs w:val="18"/>
                <w:u w:val="none"/>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9B360">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4B064">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DE235">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AE3C5">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27</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95C60">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2DBC2">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DEC0E">
            <w:pPr>
              <w:jc w:val="center"/>
              <w:rPr>
                <w:rFonts w:hint="eastAsia" w:ascii="仿宋_GB2312" w:hAnsi="仿宋_GB2312" w:eastAsia="仿宋_GB2312" w:cs="仿宋_GB2312"/>
                <w:b/>
                <w:bCs/>
                <w:i w:val="0"/>
                <w:iCs w:val="0"/>
                <w:color w:val="000000"/>
                <w:sz w:val="18"/>
                <w:szCs w:val="18"/>
                <w:u w:val="none"/>
              </w:rPr>
            </w:pPr>
          </w:p>
        </w:tc>
      </w:tr>
      <w:tr w14:paraId="30DA63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72F73">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left w:val="single" w:color="000000" w:sz="4" w:space="0"/>
              <w:bottom w:val="single" w:color="000000" w:sz="4" w:space="0"/>
              <w:right w:val="single" w:color="000000" w:sz="4" w:space="0"/>
            </w:tcBorders>
            <w:shd w:val="clear" w:color="auto" w:fill="auto"/>
            <w:noWrap/>
            <w:vAlign w:val="center"/>
          </w:tcPr>
          <w:p w14:paraId="263F9F50">
            <w:pPr>
              <w:jc w:val="center"/>
              <w:rPr>
                <w:rFonts w:hint="eastAsia" w:ascii="仿宋_GB2312" w:hAnsi="仿宋_GB2312" w:eastAsia="仿宋_GB2312" w:cs="仿宋_GB2312"/>
                <w:i w:val="0"/>
                <w:iCs w:val="0"/>
                <w:color w:val="000000"/>
                <w:sz w:val="18"/>
                <w:szCs w:val="18"/>
                <w:u w:val="none"/>
              </w:rPr>
            </w:pPr>
          </w:p>
        </w:tc>
        <w:tc>
          <w:tcPr>
            <w:tcW w:w="1312" w:type="dxa"/>
            <w:vMerge w:val="continue"/>
            <w:tcBorders>
              <w:left w:val="single" w:color="000000" w:sz="4" w:space="0"/>
              <w:bottom w:val="nil"/>
              <w:right w:val="single" w:color="000000" w:sz="4" w:space="0"/>
            </w:tcBorders>
            <w:shd w:val="clear" w:color="auto" w:fill="auto"/>
            <w:noWrap/>
            <w:vAlign w:val="center"/>
          </w:tcPr>
          <w:p w14:paraId="08731AB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45C32">
            <w:pPr>
              <w:jc w:val="left"/>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人员经费发放次数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12D77">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&gt;=12次</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48806">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AC9BE">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sz w:val="18"/>
                <w:szCs w:val="18"/>
                <w:u w:val="none"/>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656A4">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AF8E9">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D27A0">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8F709">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12</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5A6D5">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C6F77">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59F65">
            <w:pPr>
              <w:jc w:val="center"/>
              <w:rPr>
                <w:rFonts w:hint="eastAsia" w:ascii="仿宋_GB2312" w:hAnsi="仿宋_GB2312" w:eastAsia="仿宋_GB2312" w:cs="仿宋_GB2312"/>
                <w:b/>
                <w:bCs/>
                <w:i w:val="0"/>
                <w:iCs w:val="0"/>
                <w:color w:val="000000"/>
                <w:sz w:val="18"/>
                <w:szCs w:val="18"/>
                <w:u w:val="none"/>
              </w:rPr>
            </w:pPr>
          </w:p>
        </w:tc>
      </w:tr>
      <w:tr w14:paraId="00238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A868E">
            <w:pPr>
              <w:jc w:val="center"/>
              <w:rPr>
                <w:rFonts w:hint="eastAsia" w:ascii="仿宋_GB2312" w:hAnsi="仿宋_GB2312" w:eastAsia="仿宋_GB2312" w:cs="仿宋_GB2312"/>
                <w:i w:val="0"/>
                <w:iCs w:val="0"/>
                <w:color w:val="000000"/>
                <w:sz w:val="18"/>
                <w:szCs w:val="18"/>
                <w:u w:val="none"/>
              </w:rPr>
            </w:pPr>
          </w:p>
        </w:tc>
        <w:tc>
          <w:tcPr>
            <w:tcW w:w="1292" w:type="dxa"/>
            <w:vMerge w:val="restart"/>
            <w:tcBorders>
              <w:left w:val="single" w:color="000000" w:sz="4" w:space="0"/>
              <w:right w:val="single" w:color="000000" w:sz="4" w:space="0"/>
            </w:tcBorders>
            <w:shd w:val="clear" w:color="auto" w:fill="auto"/>
            <w:noWrap/>
            <w:vAlign w:val="center"/>
          </w:tcPr>
          <w:p w14:paraId="3C45081B">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14:paraId="0330704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6E0FD">
            <w:pPr>
              <w:jc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培训、服务活动出勤率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D4B9D">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&gt;=90%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EE02B">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540AB">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3D72A">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3</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2CBE3">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BE62A">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0384D">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0B5BE">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43DB9">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3</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54015">
            <w:pPr>
              <w:jc w:val="center"/>
              <w:rPr>
                <w:rFonts w:hint="eastAsia" w:ascii="仿宋_GB2312" w:hAnsi="仿宋_GB2312" w:eastAsia="仿宋_GB2312" w:cs="仿宋_GB2312"/>
                <w:b/>
                <w:bCs/>
                <w:i w:val="0"/>
                <w:iCs w:val="0"/>
                <w:color w:val="000000"/>
                <w:sz w:val="18"/>
                <w:szCs w:val="18"/>
                <w:u w:val="none"/>
              </w:rPr>
            </w:pPr>
          </w:p>
        </w:tc>
      </w:tr>
      <w:tr w14:paraId="04712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C9845">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left w:val="single" w:color="000000" w:sz="4" w:space="0"/>
              <w:bottom w:val="single" w:color="000000" w:sz="4" w:space="0"/>
              <w:right w:val="single" w:color="000000" w:sz="4" w:space="0"/>
            </w:tcBorders>
            <w:shd w:val="clear" w:color="auto" w:fill="auto"/>
            <w:noWrap/>
            <w:vAlign w:val="center"/>
          </w:tcPr>
          <w:p w14:paraId="41C1EDD0">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14:paraId="79EFD04A">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时效指标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89C11">
            <w:pPr>
              <w:jc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培训、服务活动按期完成率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608EC">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&gt;=90%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F36C7">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19FA5">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B521A">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3</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AD665">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F9DA9">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34290">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F400C">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A71EB">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3</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B2297">
            <w:pPr>
              <w:jc w:val="center"/>
              <w:rPr>
                <w:rFonts w:hint="eastAsia" w:ascii="仿宋_GB2312" w:hAnsi="仿宋_GB2312" w:eastAsia="仿宋_GB2312" w:cs="仿宋_GB2312"/>
                <w:b/>
                <w:bCs/>
                <w:i w:val="0"/>
                <w:iCs w:val="0"/>
                <w:color w:val="000000"/>
                <w:sz w:val="18"/>
                <w:szCs w:val="18"/>
                <w:u w:val="none"/>
              </w:rPr>
            </w:pPr>
          </w:p>
        </w:tc>
      </w:tr>
      <w:tr w14:paraId="3D6FF0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83079">
            <w:pPr>
              <w:jc w:val="center"/>
              <w:rPr>
                <w:rFonts w:hint="eastAsia" w:ascii="仿宋_GB2312" w:hAnsi="仿宋_GB2312" w:eastAsia="仿宋_GB2312" w:cs="仿宋_GB2312"/>
                <w:i w:val="0"/>
                <w:iCs w:val="0"/>
                <w:color w:val="000000"/>
                <w:sz w:val="18"/>
                <w:szCs w:val="18"/>
                <w:u w:val="none"/>
              </w:rPr>
            </w:pPr>
          </w:p>
        </w:tc>
        <w:tc>
          <w:tcPr>
            <w:tcW w:w="1292" w:type="dxa"/>
            <w:vMerge w:val="restart"/>
            <w:tcBorders>
              <w:top w:val="single" w:color="000000" w:sz="4" w:space="0"/>
              <w:left w:val="single" w:color="000000" w:sz="4" w:space="0"/>
              <w:right w:val="single" w:color="000000" w:sz="4" w:space="0"/>
            </w:tcBorders>
            <w:shd w:val="clear" w:color="auto" w:fill="auto"/>
            <w:vAlign w:val="center"/>
          </w:tcPr>
          <w:p w14:paraId="5ACAFA37">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成本指标</w:t>
            </w:r>
          </w:p>
        </w:tc>
        <w:tc>
          <w:tcPr>
            <w:tcW w:w="1312" w:type="dxa"/>
            <w:vMerge w:val="restart"/>
            <w:tcBorders>
              <w:top w:val="single" w:color="000000" w:sz="4" w:space="0"/>
              <w:left w:val="single" w:color="000000" w:sz="4" w:space="0"/>
              <w:right w:val="single" w:color="000000" w:sz="4" w:space="0"/>
            </w:tcBorders>
            <w:shd w:val="clear" w:color="auto" w:fill="auto"/>
            <w:noWrap/>
            <w:vAlign w:val="center"/>
          </w:tcPr>
          <w:p w14:paraId="2B0B1E8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red"/>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16630">
            <w:pPr>
              <w:jc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培训、服务活动人均支出标准</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88D9D">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&lt;=200元/人/天</w:t>
            </w:r>
          </w:p>
        </w:tc>
        <w:tc>
          <w:tcPr>
            <w:tcW w:w="1164" w:type="dxa"/>
            <w:tcBorders>
              <w:top w:val="single" w:color="000000" w:sz="4" w:space="0"/>
              <w:left w:val="single" w:color="000000" w:sz="4" w:space="0"/>
              <w:bottom w:val="nil"/>
              <w:right w:val="single" w:color="000000" w:sz="4" w:space="0"/>
            </w:tcBorders>
            <w:shd w:val="clear" w:color="auto" w:fill="auto"/>
            <w:vAlign w:val="center"/>
          </w:tcPr>
          <w:p w14:paraId="0C769851">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预支出标准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AE602">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200/天/人</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0F26A">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882" w:type="dxa"/>
            <w:tcBorders>
              <w:top w:val="single" w:color="000000" w:sz="4" w:space="0"/>
              <w:left w:val="single" w:color="000000" w:sz="4" w:space="0"/>
              <w:bottom w:val="nil"/>
              <w:right w:val="single" w:color="000000" w:sz="4" w:space="0"/>
            </w:tcBorders>
            <w:shd w:val="clear" w:color="auto" w:fill="auto"/>
            <w:vAlign w:val="center"/>
          </w:tcPr>
          <w:p w14:paraId="42729B70">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162A9">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原始凭证</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5EAD8">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200/天/人</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9B2A0">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8C6BD">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FD15A">
            <w:pPr>
              <w:jc w:val="center"/>
              <w:rPr>
                <w:rFonts w:hint="eastAsia" w:ascii="仿宋_GB2312" w:hAnsi="仿宋_GB2312" w:eastAsia="仿宋_GB2312" w:cs="仿宋_GB2312"/>
                <w:i w:val="0"/>
                <w:iCs w:val="0"/>
                <w:color w:val="000000"/>
                <w:sz w:val="18"/>
                <w:szCs w:val="18"/>
                <w:u w:val="none"/>
              </w:rPr>
            </w:pPr>
          </w:p>
        </w:tc>
      </w:tr>
      <w:tr w14:paraId="4F0509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AD8F4">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left w:val="single" w:color="000000" w:sz="4" w:space="0"/>
              <w:bottom w:val="single" w:color="000000" w:sz="4" w:space="0"/>
              <w:right w:val="single" w:color="000000" w:sz="4" w:space="0"/>
            </w:tcBorders>
            <w:shd w:val="clear" w:color="auto" w:fill="auto"/>
            <w:vAlign w:val="center"/>
          </w:tcPr>
          <w:p w14:paraId="64ED545E">
            <w:pPr>
              <w:jc w:val="center"/>
              <w:rPr>
                <w:rFonts w:hint="eastAsia" w:ascii="仿宋_GB2312" w:hAnsi="仿宋_GB2312" w:eastAsia="仿宋_GB2312" w:cs="仿宋_GB2312"/>
                <w:i w:val="0"/>
                <w:iCs w:val="0"/>
                <w:color w:val="000000"/>
                <w:sz w:val="18"/>
                <w:szCs w:val="18"/>
                <w:u w:val="none"/>
                <w:lang w:val="en-US" w:eastAsia="zh-CN"/>
              </w:rPr>
            </w:pPr>
          </w:p>
        </w:tc>
        <w:tc>
          <w:tcPr>
            <w:tcW w:w="1312" w:type="dxa"/>
            <w:vMerge w:val="continue"/>
            <w:tcBorders>
              <w:left w:val="single" w:color="000000" w:sz="4" w:space="0"/>
              <w:bottom w:val="nil"/>
              <w:right w:val="single" w:color="000000" w:sz="4" w:space="0"/>
            </w:tcBorders>
            <w:shd w:val="clear" w:color="auto" w:fill="auto"/>
            <w:noWrap/>
            <w:vAlign w:val="center"/>
          </w:tcPr>
          <w:p w14:paraId="3556B04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DCCE1">
            <w:pPr>
              <w:jc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sz w:val="18"/>
                <w:szCs w:val="18"/>
                <w:u w:val="none"/>
                <w:lang w:eastAsia="zh-CN"/>
              </w:rPr>
              <w:t>人员运转经费数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D6C64">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&lt;=0.52万元/人/月</w:t>
            </w:r>
          </w:p>
        </w:tc>
        <w:tc>
          <w:tcPr>
            <w:tcW w:w="1164" w:type="dxa"/>
            <w:tcBorders>
              <w:top w:val="single" w:color="000000" w:sz="4" w:space="0"/>
              <w:left w:val="single" w:color="000000" w:sz="4" w:space="0"/>
              <w:bottom w:val="nil"/>
              <w:right w:val="single" w:color="000000" w:sz="4" w:space="0"/>
            </w:tcBorders>
            <w:shd w:val="clear" w:color="auto" w:fill="auto"/>
            <w:vAlign w:val="center"/>
          </w:tcPr>
          <w:p w14:paraId="5C7A76D9">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预支出标准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8FBC8">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sz w:val="18"/>
                <w:szCs w:val="18"/>
                <w:u w:val="none"/>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9A65A">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882" w:type="dxa"/>
            <w:tcBorders>
              <w:top w:val="single" w:color="000000" w:sz="4" w:space="0"/>
              <w:left w:val="single" w:color="000000" w:sz="4" w:space="0"/>
              <w:bottom w:val="nil"/>
              <w:right w:val="single" w:color="000000" w:sz="4" w:space="0"/>
            </w:tcBorders>
            <w:shd w:val="clear" w:color="auto" w:fill="auto"/>
            <w:vAlign w:val="center"/>
          </w:tcPr>
          <w:p w14:paraId="72E064B3">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BB33E">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原始凭证</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5C4F4">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0.43万元/人/月</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058BD">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87.04%</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E3514">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5.76</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8292B">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人员变动</w:t>
            </w:r>
          </w:p>
        </w:tc>
      </w:tr>
      <w:tr w14:paraId="60A8C6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EC833">
            <w:pPr>
              <w:jc w:val="center"/>
              <w:rPr>
                <w:rFonts w:hint="eastAsia" w:ascii="仿宋_GB2312" w:hAnsi="仿宋_GB2312" w:eastAsia="仿宋_GB2312" w:cs="仿宋_GB2312"/>
                <w:i w:val="0"/>
                <w:iCs w:val="0"/>
                <w:color w:val="000000"/>
                <w:sz w:val="18"/>
                <w:szCs w:val="18"/>
                <w:u w:val="none"/>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521A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效益指标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0D8D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经济效益指标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B0B3B">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提高我区中小企业中长期高质量发展</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2DAEE">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提高</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AA828">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eastAsia="zh-CN"/>
              </w:rPr>
              <w:t>其他标准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8A658">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提高</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3AFFA">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741C7">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按照评判等级赋分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EFA4A">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DF69E">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提高</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0343D">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E4094">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41733">
            <w:pPr>
              <w:jc w:val="center"/>
              <w:rPr>
                <w:rFonts w:hint="eastAsia" w:ascii="仿宋_GB2312" w:hAnsi="仿宋_GB2312" w:eastAsia="仿宋_GB2312" w:cs="仿宋_GB2312"/>
                <w:i w:val="0"/>
                <w:iCs w:val="0"/>
                <w:color w:val="000000"/>
                <w:sz w:val="18"/>
                <w:szCs w:val="18"/>
                <w:u w:val="none"/>
              </w:rPr>
            </w:pPr>
          </w:p>
        </w:tc>
      </w:tr>
      <w:tr w14:paraId="600FFB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26674">
            <w:pPr>
              <w:jc w:val="center"/>
              <w:rPr>
                <w:rFonts w:hint="eastAsia" w:ascii="仿宋_GB2312" w:hAnsi="仿宋_GB2312" w:eastAsia="仿宋_GB2312" w:cs="仿宋_GB2312"/>
                <w:i w:val="0"/>
                <w:iCs w:val="0"/>
                <w:color w:val="000000"/>
                <w:sz w:val="18"/>
                <w:szCs w:val="18"/>
                <w:u w:val="none"/>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E15E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C4C4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F39D8">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培训、服务活动人员满意度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0FB5B">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&gt;=85%</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EC7EA">
            <w:pPr>
              <w:jc w:val="center"/>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AA2F6">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85%</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42EB4">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F3329">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满意度赋分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BA3F4">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933A4">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90%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189AF">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7190A">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7FB7B">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参加活动人员满意度达到90%</w:t>
            </w:r>
          </w:p>
        </w:tc>
      </w:tr>
      <w:tr w14:paraId="51459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4553" w:type="dxa"/>
            <w:gridSpan w:val="4"/>
            <w:tcBorders>
              <w:top w:val="single" w:color="000000" w:sz="4" w:space="0"/>
              <w:left w:val="single" w:color="000000" w:sz="4" w:space="0"/>
              <w:bottom w:val="single" w:color="000000" w:sz="4" w:space="0"/>
              <w:right w:val="nil"/>
            </w:tcBorders>
            <w:shd w:val="clear" w:color="auto" w:fill="auto"/>
            <w:vAlign w:val="center"/>
          </w:tcPr>
          <w:p w14:paraId="6DC90C2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总分</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47651">
            <w:pPr>
              <w:jc w:val="center"/>
              <w:rPr>
                <w:rFonts w:hint="default" w:ascii="仿宋_GB2312" w:hAnsi="仿宋_GB2312" w:eastAsia="仿宋_GB2312" w:cs="仿宋_GB2312"/>
                <w:i w:val="0"/>
                <w:iCs w:val="0"/>
                <w:color w:val="000000"/>
                <w:sz w:val="18"/>
                <w:szCs w:val="18"/>
                <w:u w:val="none"/>
                <w:lang w:val="en-US" w:eastAsia="zh-CN"/>
              </w:rPr>
            </w:pPr>
          </w:p>
        </w:tc>
        <w:tc>
          <w:tcPr>
            <w:tcW w:w="1164" w:type="dxa"/>
            <w:tcBorders>
              <w:top w:val="single" w:color="000000" w:sz="4" w:space="0"/>
              <w:left w:val="nil"/>
              <w:bottom w:val="single" w:color="000000" w:sz="4" w:space="0"/>
              <w:right w:val="single" w:color="000000" w:sz="4" w:space="0"/>
            </w:tcBorders>
            <w:shd w:val="clear" w:color="auto" w:fill="auto"/>
            <w:vAlign w:val="center"/>
          </w:tcPr>
          <w:p w14:paraId="14B83FFF">
            <w:pPr>
              <w:rPr>
                <w:rFonts w:hint="eastAsia" w:ascii="仿宋_GB2312" w:hAnsi="仿宋_GB2312" w:eastAsia="仿宋_GB2312" w:cs="仿宋_GB2312"/>
                <w:b/>
                <w:bCs/>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8B1A3">
            <w:pPr>
              <w:jc w:val="center"/>
              <w:rPr>
                <w:rFonts w:hint="eastAsia" w:ascii="仿宋_GB2312" w:hAnsi="仿宋_GB2312" w:eastAsia="仿宋_GB2312" w:cs="仿宋_GB2312"/>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DF218">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BDC7C">
            <w:pPr>
              <w:jc w:val="center"/>
              <w:rPr>
                <w:rFonts w:hint="eastAsia" w:ascii="仿宋_GB2312" w:hAnsi="仿宋_GB2312" w:eastAsia="仿宋_GB2312" w:cs="仿宋_GB2312"/>
                <w:i w:val="0"/>
                <w:iCs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70542">
            <w:pP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2F35A">
            <w:pPr>
              <w:rPr>
                <w:rFonts w:hint="eastAsia" w:ascii="仿宋_GB2312" w:hAnsi="仿宋_GB2312" w:eastAsia="仿宋_GB2312" w:cs="仿宋_GB2312"/>
                <w:i w:val="0"/>
                <w:iCs w:val="0"/>
                <w:color w:val="000000"/>
                <w:sz w:val="18"/>
                <w:szCs w:val="18"/>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11043">
            <w:pPr>
              <w:rPr>
                <w:rFonts w:hint="eastAsia" w:ascii="仿宋_GB2312" w:hAnsi="仿宋_GB2312" w:eastAsia="仿宋_GB2312" w:cs="仿宋_GB2312"/>
                <w:i w:val="0"/>
                <w:iCs w:val="0"/>
                <w:color w:val="000000"/>
                <w:sz w:val="18"/>
                <w:szCs w:val="18"/>
                <w:u w:val="none"/>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6D02C">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94.76</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C5C79">
            <w:pPr>
              <w:rPr>
                <w:rFonts w:hint="eastAsia" w:ascii="仿宋_GB2312" w:hAnsi="仿宋_GB2312" w:eastAsia="仿宋_GB2312" w:cs="仿宋_GB2312"/>
                <w:i w:val="0"/>
                <w:iCs w:val="0"/>
                <w:color w:val="000000"/>
                <w:sz w:val="18"/>
                <w:szCs w:val="18"/>
                <w:u w:val="none"/>
              </w:rPr>
            </w:pPr>
          </w:p>
        </w:tc>
      </w:tr>
    </w:tbl>
    <w:p w14:paraId="2F38616E">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96F03DC-3327-42D9-80FB-3EBBE3F001B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A73C32F1-2A90-4F52-9AE6-8DA8D1EC4ED8}"/>
  </w:font>
  <w:font w:name="华文中宋">
    <w:panose1 w:val="02010600040101010101"/>
    <w:charset w:val="86"/>
    <w:family w:val="auto"/>
    <w:pitch w:val="default"/>
    <w:sig w:usb0="00000287" w:usb1="080F0000" w:usb2="00000000" w:usb3="00000000" w:csb0="0004009F" w:csb1="DFD70000"/>
    <w:embedRegular r:id="rId3" w:fontKey="{39729216-A2DA-4E6A-A7F8-B1B0B9B1A7EA}"/>
  </w:font>
  <w:font w:name="方正小标宋_GBK">
    <w:panose1 w:val="02000000000000000000"/>
    <w:charset w:val="86"/>
    <w:family w:val="script"/>
    <w:pitch w:val="default"/>
    <w:sig w:usb0="A00002BF" w:usb1="38CF7CFA" w:usb2="00082016" w:usb3="00000000" w:csb0="00040001" w:csb1="00000000"/>
    <w:embedRegular r:id="rId4" w:fontKey="{D3C43975-CA46-4290-B5A4-01990C339425}"/>
  </w:font>
  <w:font w:name="楷体_GB2312">
    <w:panose1 w:val="02010609030101010101"/>
    <w:charset w:val="86"/>
    <w:family w:val="auto"/>
    <w:pitch w:val="default"/>
    <w:sig w:usb0="00000001" w:usb1="080E0000" w:usb2="00000000" w:usb3="00000000" w:csb0="00040000" w:csb1="00000000"/>
    <w:embedRegular r:id="rId5" w:fontKey="{303AF4BC-105E-4FA2-88D4-12E2DE9B0DA1}"/>
  </w:font>
  <w:font w:name="方正仿宋_GBK">
    <w:altName w:val="微软雅黑"/>
    <w:panose1 w:val="02000000000000000000"/>
    <w:charset w:val="86"/>
    <w:family w:val="auto"/>
    <w:pitch w:val="default"/>
    <w:sig w:usb0="00000000" w:usb1="00000000" w:usb2="00000000" w:usb3="00000000" w:csb0="00040000" w:csb1="00000000"/>
    <w:embedRegular r:id="rId6" w:fontKey="{5A67EDD1-8B38-42D4-8D9C-EAD156FE42D6}"/>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embedRegular r:id="rId7" w:fontKey="{FF11B54E-5E3B-424A-AF73-48A557B181D5}"/>
  </w:font>
  <w:font w:name="WPSEMBED5">
    <w:panose1 w:val="02010609030101010101"/>
    <w:charset w:val="86"/>
    <w:family w:val="auto"/>
    <w:pitch w:val="default"/>
    <w:sig w:usb0="00000001" w:usb1="080E0000" w:usb2="00000000" w:usb3="00000000" w:csb0="00040000" w:csb1="00000000"/>
  </w:font>
  <w:font w:name="WPSEMBED4">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02AE3A3B">
        <w:pPr>
          <w:pStyle w:val="8"/>
          <w:jc w:val="center"/>
        </w:pPr>
        <w:r>
          <w:fldChar w:fldCharType="begin"/>
        </w:r>
        <w:r>
          <w:instrText xml:space="preserve">PAGE   \* MERGEFORMAT</w:instrText>
        </w:r>
        <w:r>
          <w:fldChar w:fldCharType="separate"/>
        </w:r>
        <w:r>
          <w:rPr>
            <w:lang w:val="zh-CN"/>
          </w:rPr>
          <w:t>13</w:t>
        </w:r>
        <w:r>
          <w:fldChar w:fldCharType="end"/>
        </w:r>
      </w:p>
    </w:sdtContent>
  </w:sdt>
  <w:p w14:paraId="25C5284E">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D647442"/>
    <w:multiLevelType w:val="singleLevel"/>
    <w:tmpl w:val="6D647442"/>
    <w:lvl w:ilvl="0" w:tentative="0">
      <w:start w:val="2"/>
      <w:numFmt w:val="decimal"/>
      <w:lvlText w:val="%1."/>
      <w:lvlJc w:val="left"/>
      <w:pPr>
        <w:tabs>
          <w:tab w:val="left" w:pos="312"/>
        </w:tabs>
      </w:p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4"/>
  </w:num>
  <w:num w:numId="2">
    <w:abstractNumId w:val="0"/>
  </w:num>
  <w:num w:numId="3">
    <w:abstractNumId w:val="3"/>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C2410B"/>
    <w:rsid w:val="00F26FF6"/>
    <w:rsid w:val="01610122"/>
    <w:rsid w:val="02510197"/>
    <w:rsid w:val="02620D0C"/>
    <w:rsid w:val="03D13FB8"/>
    <w:rsid w:val="03EC461B"/>
    <w:rsid w:val="05CF279F"/>
    <w:rsid w:val="05FC4CED"/>
    <w:rsid w:val="06C24DC0"/>
    <w:rsid w:val="06CD2D26"/>
    <w:rsid w:val="07397B77"/>
    <w:rsid w:val="0AD007F3"/>
    <w:rsid w:val="0E3C619F"/>
    <w:rsid w:val="0F6602D6"/>
    <w:rsid w:val="105D2DDD"/>
    <w:rsid w:val="10A90E40"/>
    <w:rsid w:val="11170296"/>
    <w:rsid w:val="12A054AA"/>
    <w:rsid w:val="13471461"/>
    <w:rsid w:val="13B90F01"/>
    <w:rsid w:val="155E4C4D"/>
    <w:rsid w:val="17462648"/>
    <w:rsid w:val="181066D2"/>
    <w:rsid w:val="1A7A2905"/>
    <w:rsid w:val="1C671E73"/>
    <w:rsid w:val="1CEB2BF2"/>
    <w:rsid w:val="1D1125A5"/>
    <w:rsid w:val="1D322C47"/>
    <w:rsid w:val="1F491451"/>
    <w:rsid w:val="1F5640AF"/>
    <w:rsid w:val="209D0E64"/>
    <w:rsid w:val="21335DA6"/>
    <w:rsid w:val="23616034"/>
    <w:rsid w:val="23D4607E"/>
    <w:rsid w:val="24480FA2"/>
    <w:rsid w:val="25227A45"/>
    <w:rsid w:val="25A715B3"/>
    <w:rsid w:val="25E16A2C"/>
    <w:rsid w:val="26AC3A6A"/>
    <w:rsid w:val="27F1753D"/>
    <w:rsid w:val="281178FD"/>
    <w:rsid w:val="297C578D"/>
    <w:rsid w:val="29FA0E28"/>
    <w:rsid w:val="2A3F2402"/>
    <w:rsid w:val="2AFF4DDE"/>
    <w:rsid w:val="2B9D7E25"/>
    <w:rsid w:val="2C4464F3"/>
    <w:rsid w:val="2C7C7A3B"/>
    <w:rsid w:val="2EFC0D68"/>
    <w:rsid w:val="2F364819"/>
    <w:rsid w:val="2FD63906"/>
    <w:rsid w:val="31CB0151"/>
    <w:rsid w:val="323226EF"/>
    <w:rsid w:val="337C3A42"/>
    <w:rsid w:val="344F0C7F"/>
    <w:rsid w:val="3451514F"/>
    <w:rsid w:val="359F7014"/>
    <w:rsid w:val="37215DAE"/>
    <w:rsid w:val="38CA40DD"/>
    <w:rsid w:val="395F2B56"/>
    <w:rsid w:val="3B5928C4"/>
    <w:rsid w:val="3BBA0580"/>
    <w:rsid w:val="3BECE841"/>
    <w:rsid w:val="3CDE204C"/>
    <w:rsid w:val="3D363C36"/>
    <w:rsid w:val="3E00737C"/>
    <w:rsid w:val="3E9C3F6D"/>
    <w:rsid w:val="3FF7797D"/>
    <w:rsid w:val="407C4E8B"/>
    <w:rsid w:val="40D37755"/>
    <w:rsid w:val="45683F07"/>
    <w:rsid w:val="46690BD8"/>
    <w:rsid w:val="46AF66FF"/>
    <w:rsid w:val="479D604A"/>
    <w:rsid w:val="49F70BF1"/>
    <w:rsid w:val="4A6A69A2"/>
    <w:rsid w:val="4B4340EE"/>
    <w:rsid w:val="4BF06537"/>
    <w:rsid w:val="4E7B141F"/>
    <w:rsid w:val="4F483450"/>
    <w:rsid w:val="503D507A"/>
    <w:rsid w:val="510A3759"/>
    <w:rsid w:val="51FA74D0"/>
    <w:rsid w:val="52AA4A52"/>
    <w:rsid w:val="52EA106D"/>
    <w:rsid w:val="53EC2E5A"/>
    <w:rsid w:val="54C079DF"/>
    <w:rsid w:val="54D70334"/>
    <w:rsid w:val="57515802"/>
    <w:rsid w:val="58775103"/>
    <w:rsid w:val="59943D66"/>
    <w:rsid w:val="59A7364B"/>
    <w:rsid w:val="59E051FD"/>
    <w:rsid w:val="59E6355E"/>
    <w:rsid w:val="5AE77539"/>
    <w:rsid w:val="5B821531"/>
    <w:rsid w:val="5BFF6039"/>
    <w:rsid w:val="5D76A616"/>
    <w:rsid w:val="5D7F20B9"/>
    <w:rsid w:val="5DAC7D0E"/>
    <w:rsid w:val="5EF05EE3"/>
    <w:rsid w:val="5F98B5AF"/>
    <w:rsid w:val="5FFE8511"/>
    <w:rsid w:val="5FFEACE2"/>
    <w:rsid w:val="609D5BF6"/>
    <w:rsid w:val="61073070"/>
    <w:rsid w:val="61B9080E"/>
    <w:rsid w:val="61DF3FED"/>
    <w:rsid w:val="625879BD"/>
    <w:rsid w:val="642B176B"/>
    <w:rsid w:val="643EE26D"/>
    <w:rsid w:val="64F65777"/>
    <w:rsid w:val="656019A0"/>
    <w:rsid w:val="65F242EE"/>
    <w:rsid w:val="666D7E19"/>
    <w:rsid w:val="68376930"/>
    <w:rsid w:val="68394C9A"/>
    <w:rsid w:val="68F91E38"/>
    <w:rsid w:val="69767E03"/>
    <w:rsid w:val="6A1D4A41"/>
    <w:rsid w:val="6B3158B9"/>
    <w:rsid w:val="6BA02A3F"/>
    <w:rsid w:val="6BDB4626"/>
    <w:rsid w:val="6C1E5A53"/>
    <w:rsid w:val="6DD20F3C"/>
    <w:rsid w:val="6F5C41AC"/>
    <w:rsid w:val="6FAF6C78"/>
    <w:rsid w:val="70DD01B3"/>
    <w:rsid w:val="716167CC"/>
    <w:rsid w:val="718A7AD1"/>
    <w:rsid w:val="72A44BC2"/>
    <w:rsid w:val="7317C656"/>
    <w:rsid w:val="734ED73F"/>
    <w:rsid w:val="73C82B32"/>
    <w:rsid w:val="73F94DAE"/>
    <w:rsid w:val="74220495"/>
    <w:rsid w:val="747D1B6F"/>
    <w:rsid w:val="749E5641"/>
    <w:rsid w:val="76271066"/>
    <w:rsid w:val="776FF713"/>
    <w:rsid w:val="77FD8BE9"/>
    <w:rsid w:val="78000AED"/>
    <w:rsid w:val="78B535CE"/>
    <w:rsid w:val="78D43320"/>
    <w:rsid w:val="79A9BD3F"/>
    <w:rsid w:val="79F91195"/>
    <w:rsid w:val="7B776F12"/>
    <w:rsid w:val="7BFFFDD0"/>
    <w:rsid w:val="7C336E5F"/>
    <w:rsid w:val="7C8D4919"/>
    <w:rsid w:val="7CB81D15"/>
    <w:rsid w:val="7D641E3A"/>
    <w:rsid w:val="7D7A5F86"/>
    <w:rsid w:val="7DC14F92"/>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777374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2"/>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0"/>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annotation subject"/>
    <w:basedOn w:val="4"/>
    <w:next w:val="4"/>
    <w:link w:val="23"/>
    <w:qFormat/>
    <w:uiPriority w:val="0"/>
    <w:rPr>
      <w:b/>
      <w:bCs/>
    </w:rPr>
  </w:style>
  <w:style w:type="paragraph" w:styleId="12">
    <w:name w:val="Body Text First Indent"/>
    <w:basedOn w:val="5"/>
    <w:qFormat/>
    <w:uiPriority w:val="0"/>
    <w:pPr>
      <w:spacing w:after="0"/>
      <w:ind w:firstLine="200" w:firstLineChars="200"/>
    </w:pPr>
  </w:style>
  <w:style w:type="paragraph" w:styleId="13">
    <w:name w:val="Body Text First Indent 2"/>
    <w:basedOn w:val="6"/>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7"/>
    <w:qFormat/>
    <w:uiPriority w:val="0"/>
    <w:rPr>
      <w:rFonts w:ascii="Times New Roman" w:hAnsi="Times New Roman" w:eastAsia="宋体" w:cs="Times New Roman"/>
      <w:kern w:val="2"/>
      <w:sz w:val="18"/>
      <w:szCs w:val="18"/>
    </w:rPr>
  </w:style>
  <w:style w:type="character" w:customStyle="1" w:styleId="21">
    <w:name w:val="页眉 字符"/>
    <w:basedOn w:val="15"/>
    <w:link w:val="9"/>
    <w:qFormat/>
    <w:uiPriority w:val="0"/>
    <w:rPr>
      <w:rFonts w:ascii="Times New Roman" w:hAnsi="Times New Roman" w:eastAsia="宋体" w:cs="Times New Roman"/>
      <w:kern w:val="2"/>
      <w:sz w:val="18"/>
      <w:szCs w:val="18"/>
    </w:rPr>
  </w:style>
  <w:style w:type="character" w:customStyle="1" w:styleId="22">
    <w:name w:val="批注文字 字符"/>
    <w:basedOn w:val="15"/>
    <w:link w:val="4"/>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30</Pages>
  <Words>13627</Words>
  <Characters>14114</Characters>
  <Lines>58</Lines>
  <Paragraphs>16</Paragraphs>
  <TotalTime>21</TotalTime>
  <ScaleCrop>false</ScaleCrop>
  <LinksUpToDate>false</LinksUpToDate>
  <CharactersWithSpaces>14146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2023-03-09T05:13:00Z</dcterms:created>
  <dc:creator>审核人</dc:creator>
  <cp:lastModifiedBy>D</cp:lastModifiedBy>
  <dcterms:modified xsi:type="dcterms:W3CDTF">2025-08-26T11:11:07Z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EC99773F21B349659AE205148812517A_13</vt:lpwstr>
  </property>
  <property fmtid="{D5CDD505-2E9C-101B-9397-08002B2CF9AE}" pid="4" name="KSOTemplateDocerSaveRecord">
    <vt:lpwstr>eyJoZGlkIjoiOTljNDgxMWJiMjdiZjE4NzBhNzdmMzlhZjViZGYwMTkiLCJ1c2VySWQiOiI0MzIyNjc3ODgifQ==</vt:lpwstr>
  </property>
</Properties>
</file>