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eastAsia" w:ascii="方正小标宋_GBK" w:hAnsi="华文中宋" w:eastAsia="方正小标宋_GBK" w:cs="宋体"/>
          <w:b w:val="0"/>
          <w:bCs/>
          <w:kern w:val="0"/>
          <w:sz w:val="48"/>
          <w:szCs w:val="48"/>
          <w:highlight w:val="none"/>
          <w:lang w:val="en-US" w:eastAsia="zh-CN"/>
        </w:rPr>
      </w:pPr>
      <w:r>
        <w:rPr>
          <w:rFonts w:hint="eastAsia" w:ascii="方正小标宋_GBK" w:hAnsi="华文中宋" w:eastAsia="方正小标宋_GBK" w:cs="宋体"/>
          <w:b w:val="0"/>
          <w:bCs/>
          <w:kern w:val="0"/>
          <w:sz w:val="48"/>
          <w:szCs w:val="48"/>
          <w:highlight w:val="none"/>
          <w:lang w:val="en-US" w:eastAsia="zh-CN"/>
        </w:rPr>
        <w:t>平台运营维护</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项目支出绩效评价报告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w:t>
      </w:r>
      <w:r>
        <w:rPr>
          <w:rFonts w:hint="eastAsia" w:ascii="仿宋_GB2312" w:hAnsi="仿宋_GB2312" w:eastAsia="仿宋_GB2312" w:cs="仿宋_GB2312"/>
          <w:kern w:val="0"/>
          <w:sz w:val="32"/>
          <w:szCs w:val="32"/>
          <w:highlight w:val="none"/>
          <w:lang w:val="en-US" w:eastAsia="zh-CN"/>
        </w:rPr>
        <w:t>平台运营维护项目</w:t>
      </w:r>
    </w:p>
    <w:p>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实施单位（公章）：</w:t>
      </w:r>
      <w:r>
        <w:rPr>
          <w:rFonts w:hint="eastAsia" w:ascii="仿宋_GB2312" w:hAnsi="仿宋_GB2312" w:eastAsia="仿宋_GB2312" w:cs="仿宋_GB2312"/>
          <w:kern w:val="0"/>
          <w:sz w:val="32"/>
          <w:szCs w:val="32"/>
          <w:highlight w:val="none"/>
          <w:lang w:val="en-US" w:eastAsia="zh-CN"/>
        </w:rPr>
        <w:t>新疆维吾尔自治区中小企业发展促进中心</w:t>
      </w:r>
    </w:p>
    <w:p>
      <w:pPr>
        <w:spacing w:line="700" w:lineRule="exact"/>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宁媛媛</w:t>
      </w:r>
    </w:p>
    <w:p>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3</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13</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40" w:lineRule="exact"/>
        <w:ind w:firstLine="640"/>
        <w:rPr>
          <w:rStyle w:val="16"/>
          <w:rFonts w:hint="default" w:ascii="Times New Roman" w:hAnsi="Times New Roman" w:eastAsia="黑体" w:cs="Times New Roman"/>
          <w:b w:val="0"/>
          <w:spacing w:val="-4"/>
          <w:sz w:val="32"/>
          <w:szCs w:val="32"/>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spacing w:line="560" w:lineRule="exact"/>
        <w:ind w:firstLine="624" w:firstLineChars="200"/>
        <w:rPr>
          <w:rStyle w:val="16"/>
          <w:rFonts w:hint="eastAsia" w:ascii="仿宋_GB2312" w:hAnsi="仿宋_GB2312" w:eastAsia="仿宋_GB2312" w:cs="仿宋_GB2312"/>
          <w:b w:val="0"/>
          <w:bCs/>
          <w:spacing w:val="-4"/>
          <w:sz w:val="32"/>
          <w:szCs w:val="32"/>
          <w:highlight w:val="none"/>
          <w:lang w:eastAsia="zh-CN"/>
        </w:rPr>
      </w:pPr>
      <w:r>
        <w:rPr>
          <w:rStyle w:val="16"/>
          <w:rFonts w:hint="eastAsia" w:ascii="仿宋_GB2312" w:hAnsi="仿宋_GB2312" w:eastAsia="仿宋_GB2312" w:cs="仿宋_GB2312"/>
          <w:b w:val="0"/>
          <w:bCs/>
          <w:spacing w:val="-4"/>
          <w:sz w:val="32"/>
          <w:szCs w:val="32"/>
          <w:highlight w:val="none"/>
          <w:lang w:eastAsia="zh-CN"/>
        </w:rPr>
        <w:t>为了深入贯彻落实《中小企业促进法》，根据中办、国办印发《关于促进中小企业健康发展的指导意见》、工信部、财政部印发《关于推动中小企业公共服务平台网络有效运营的指导意见》；结合自治区人民政府《关于促进中小企业发展的实施意见》（新政发〔2010〕92号）《关于促进中小企业健康发展实施意见》（新政办发〔2019〕90号）文件精神，按照自治区工信厅发布的关于促进中小企业发展的各项工作部署，自治区中小企业服务中心在2024年度计划进一步完善中小企业公共服务平台服务功能，在确保新疆中小企业公共服务平台有效运行的同时，通过线上线下相结合，不断丰富完善适应新时代的服务手段，提升为我区中小企业服务的质量，开展特色化、精准化服务，提高服务效率，改善服务体验，逐步推动中小企业公共服务向网络化、品质化、精准化、智慧化的方向发展，进而为我区中小企业高质量、健康发展提供重要的保障。</w:t>
      </w:r>
    </w:p>
    <w:p>
      <w:pPr>
        <w:spacing w:line="560" w:lineRule="exact"/>
        <w:ind w:firstLine="624" w:firstLineChars="200"/>
        <w:rPr>
          <w:rStyle w:val="16"/>
          <w:rFonts w:hint="eastAsia" w:ascii="仿宋_GB2312" w:hAnsi="仿宋_GB2312" w:eastAsia="仿宋_GB2312" w:cs="仿宋_GB2312"/>
          <w:b w:val="0"/>
          <w:bCs/>
          <w:spacing w:val="-4"/>
          <w:sz w:val="32"/>
          <w:szCs w:val="32"/>
          <w:highlight w:val="none"/>
          <w:lang w:eastAsia="zh-CN"/>
        </w:rPr>
      </w:pPr>
      <w:r>
        <w:rPr>
          <w:rStyle w:val="16"/>
          <w:rFonts w:hint="eastAsia" w:ascii="仿宋_GB2312" w:hAnsi="仿宋_GB2312" w:eastAsia="仿宋_GB2312" w:cs="仿宋_GB2312"/>
          <w:b w:val="0"/>
          <w:bCs/>
          <w:spacing w:val="-4"/>
          <w:sz w:val="32"/>
          <w:szCs w:val="32"/>
          <w:highlight w:val="none"/>
          <w:lang w:eastAsia="zh-CN"/>
        </w:rPr>
        <w:t>新疆中小企业公共服务平台网络是由国家工信部、财政部批准建立的，是贯彻落实国务院促进中小企业发展政策的重要举措，对于改善我区中小企业发展环境，促进社会资源优化配置和专业化分工合作，推动“互联网+”中小企业服务深度融合，提升中小企业公共服务能力，逐步形成社会化、市场化、专业化的公共服务体系具有重要的现实意义。</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lang w:val="en-US" w:eastAsia="zh-CN"/>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r>
        <w:rPr>
          <w:rFonts w:hint="eastAsia" w:ascii="Times New Roman" w:hAnsi="Times New Roman" w:eastAsia="仿宋_GB2312" w:cs="Times New Roman"/>
          <w:kern w:val="2"/>
          <w:highlight w:val="none"/>
          <w:lang w:val="en-US" w:eastAsia="zh-CN"/>
        </w:rPr>
        <w:t>及实施情况</w:t>
      </w:r>
    </w:p>
    <w:p>
      <w:pPr>
        <w:spacing w:line="560" w:lineRule="exact"/>
        <w:ind w:firstLine="600" w:firstLineChars="200"/>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0"/>
          <w:szCs w:val="30"/>
          <w:highlight w:val="none"/>
          <w:lang w:val="en-US" w:eastAsia="zh-CN"/>
        </w:rPr>
        <w:t>项目主要内容：</w:t>
      </w:r>
      <w:r>
        <w:rPr>
          <w:rStyle w:val="16"/>
          <w:rFonts w:hint="eastAsia" w:ascii="仿宋_GB2312" w:hAnsi="仿宋_GB2312" w:eastAsia="仿宋_GB2312" w:cs="仿宋_GB2312"/>
          <w:b w:val="0"/>
          <w:bCs w:val="0"/>
          <w:spacing w:val="-4"/>
          <w:sz w:val="32"/>
          <w:szCs w:val="32"/>
          <w:highlight w:val="none"/>
        </w:rPr>
        <w:t>根据《新疆维吾尔自治区中小企业发展专项资金管理暂行办法》（新财企〔2009〕51号）文件精神，结合自治区中小企业服务中心工作计划。纳入202</w:t>
      </w:r>
      <w:r>
        <w:rPr>
          <w:rStyle w:val="16"/>
          <w:rFonts w:hint="eastAsia" w:ascii="仿宋_GB2312" w:hAnsi="仿宋_GB2312" w:eastAsia="仿宋_GB2312" w:cs="仿宋_GB2312"/>
          <w:b w:val="0"/>
          <w:bCs w:val="0"/>
          <w:spacing w:val="-4"/>
          <w:sz w:val="32"/>
          <w:szCs w:val="32"/>
          <w:highlight w:val="none"/>
          <w:lang w:val="en-US" w:eastAsia="zh-CN"/>
        </w:rPr>
        <w:t>4</w:t>
      </w:r>
      <w:r>
        <w:rPr>
          <w:rStyle w:val="16"/>
          <w:rFonts w:hint="eastAsia" w:ascii="仿宋_GB2312" w:hAnsi="仿宋_GB2312" w:eastAsia="仿宋_GB2312" w:cs="仿宋_GB2312"/>
          <w:b w:val="0"/>
          <w:bCs w:val="0"/>
          <w:spacing w:val="-4"/>
          <w:sz w:val="32"/>
          <w:szCs w:val="32"/>
          <w:highlight w:val="none"/>
        </w:rPr>
        <w:t>年部门预算，</w:t>
      </w:r>
      <w:r>
        <w:rPr>
          <w:rStyle w:val="16"/>
          <w:rFonts w:hint="eastAsia" w:ascii="仿宋_GB2312" w:hAnsi="仿宋_GB2312" w:eastAsia="仿宋_GB2312" w:cs="仿宋_GB2312"/>
          <w:b w:val="0"/>
          <w:bCs w:val="0"/>
          <w:spacing w:val="-4"/>
          <w:sz w:val="32"/>
          <w:szCs w:val="32"/>
          <w:highlight w:val="none"/>
          <w:lang w:val="en-US" w:eastAsia="zh-CN"/>
        </w:rPr>
        <w:t>其他资金</w:t>
      </w:r>
      <w:r>
        <w:rPr>
          <w:rStyle w:val="16"/>
          <w:rFonts w:hint="eastAsia" w:ascii="仿宋_GB2312" w:hAnsi="仿宋_GB2312" w:eastAsia="仿宋_GB2312" w:cs="仿宋_GB2312"/>
          <w:b w:val="0"/>
          <w:bCs w:val="0"/>
          <w:spacing w:val="-4"/>
          <w:sz w:val="32"/>
          <w:szCs w:val="32"/>
          <w:highlight w:val="none"/>
        </w:rPr>
        <w:t>预算</w:t>
      </w:r>
      <w:r>
        <w:rPr>
          <w:rStyle w:val="16"/>
          <w:rFonts w:hint="eastAsia" w:ascii="仿宋_GB2312" w:hAnsi="仿宋_GB2312" w:eastAsia="仿宋_GB2312" w:cs="仿宋_GB2312"/>
          <w:b w:val="0"/>
          <w:bCs w:val="0"/>
          <w:spacing w:val="-4"/>
          <w:sz w:val="32"/>
          <w:szCs w:val="32"/>
          <w:highlight w:val="none"/>
          <w:lang w:val="en-US" w:eastAsia="zh-CN"/>
        </w:rPr>
        <w:t>236.5</w:t>
      </w:r>
      <w:r>
        <w:rPr>
          <w:rStyle w:val="16"/>
          <w:rFonts w:hint="eastAsia" w:ascii="仿宋_GB2312" w:hAnsi="仿宋_GB2312" w:eastAsia="仿宋_GB2312" w:cs="仿宋_GB2312"/>
          <w:b w:val="0"/>
          <w:bCs w:val="0"/>
          <w:spacing w:val="-4"/>
          <w:sz w:val="32"/>
          <w:szCs w:val="32"/>
          <w:highlight w:val="none"/>
        </w:rPr>
        <w:t>万元，用于开展新疆</w:t>
      </w:r>
      <w:bookmarkStart w:id="0" w:name="_Hlk93911252"/>
      <w:r>
        <w:rPr>
          <w:rStyle w:val="16"/>
          <w:rFonts w:hint="eastAsia" w:ascii="仿宋_GB2312" w:hAnsi="仿宋_GB2312" w:eastAsia="仿宋_GB2312" w:cs="仿宋_GB2312"/>
          <w:b w:val="0"/>
          <w:bCs w:val="0"/>
          <w:spacing w:val="-4"/>
          <w:sz w:val="32"/>
          <w:szCs w:val="32"/>
          <w:highlight w:val="none"/>
        </w:rPr>
        <w:t>中小企业公共服务平台政策信息服务、各类线上线下服务活动、</w:t>
      </w:r>
      <w:r>
        <w:rPr>
          <w:rStyle w:val="16"/>
          <w:rFonts w:hint="eastAsia" w:ascii="仿宋_GB2312" w:hAnsi="仿宋_GB2312" w:eastAsia="仿宋_GB2312" w:cs="仿宋_GB2312"/>
          <w:b w:val="0"/>
          <w:bCs w:val="0"/>
          <w:spacing w:val="-4"/>
          <w:sz w:val="32"/>
          <w:szCs w:val="32"/>
          <w:highlight w:val="none"/>
          <w:lang w:val="en-US" w:eastAsia="zh-CN"/>
        </w:rPr>
        <w:t>能力提升班</w:t>
      </w:r>
      <w:r>
        <w:rPr>
          <w:rStyle w:val="16"/>
          <w:rFonts w:hint="eastAsia" w:ascii="仿宋_GB2312" w:hAnsi="仿宋_GB2312" w:eastAsia="仿宋_GB2312" w:cs="仿宋_GB2312"/>
          <w:b w:val="0"/>
          <w:bCs w:val="0"/>
          <w:spacing w:val="-4"/>
          <w:sz w:val="32"/>
          <w:szCs w:val="32"/>
          <w:highlight w:val="none"/>
        </w:rPr>
        <w:t>等主要业务。</w:t>
      </w:r>
      <w:bookmarkEnd w:id="0"/>
    </w:p>
    <w:p>
      <w:pPr>
        <w:spacing w:line="560" w:lineRule="exact"/>
        <w:ind w:firstLine="600" w:firstLineChars="200"/>
        <w:rPr>
          <w:rFonts w:hint="default" w:ascii="Times New Roman" w:hAnsi="Times New Roman" w:cs="Times New Roman"/>
          <w:highlight w:val="none"/>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highlight w:val="none"/>
        </w:rPr>
        <w:t>：</w:t>
      </w:r>
      <w:r>
        <w:rPr>
          <w:rStyle w:val="16"/>
          <w:rFonts w:hint="eastAsia" w:ascii="仿宋_GB2312" w:hAnsi="仿宋_GB2312" w:eastAsia="仿宋_GB2312" w:cs="仿宋_GB2312"/>
          <w:b w:val="0"/>
          <w:bCs w:val="0"/>
          <w:spacing w:val="-4"/>
          <w:sz w:val="32"/>
          <w:szCs w:val="32"/>
          <w:highlight w:val="none"/>
        </w:rPr>
        <w:t>202</w:t>
      </w:r>
      <w:r>
        <w:rPr>
          <w:rStyle w:val="16"/>
          <w:rFonts w:hint="eastAsia" w:ascii="仿宋_GB2312" w:hAnsi="仿宋_GB2312" w:eastAsia="仿宋_GB2312" w:cs="仿宋_GB2312"/>
          <w:b w:val="0"/>
          <w:bCs w:val="0"/>
          <w:spacing w:val="-4"/>
          <w:sz w:val="32"/>
          <w:szCs w:val="32"/>
          <w:highlight w:val="none"/>
          <w:lang w:val="en-US" w:eastAsia="zh-CN"/>
        </w:rPr>
        <w:t>4</w:t>
      </w:r>
      <w:r>
        <w:rPr>
          <w:rStyle w:val="16"/>
          <w:rFonts w:hint="eastAsia" w:ascii="仿宋_GB2312" w:hAnsi="仿宋_GB2312" w:eastAsia="仿宋_GB2312" w:cs="仿宋_GB2312"/>
          <w:b w:val="0"/>
          <w:bCs w:val="0"/>
          <w:spacing w:val="-4"/>
          <w:sz w:val="32"/>
          <w:szCs w:val="32"/>
          <w:highlight w:val="none"/>
        </w:rPr>
        <w:t>年中小企业公共服务平台运营维护项目内容按照既定计划顺利完成。保障新疆中小企业公共服务平台有效运行，对网站服务器进行6次的监测，并出具相应报告；开展政策信息服务，推送各类政策信息1200条</w:t>
      </w:r>
      <w:r>
        <w:rPr>
          <w:rStyle w:val="16"/>
          <w:rFonts w:hint="eastAsia" w:ascii="仿宋_GB2312" w:hAnsi="仿宋_GB2312" w:eastAsia="仿宋_GB2312" w:cs="仿宋_GB2312"/>
          <w:b w:val="0"/>
          <w:bCs w:val="0"/>
          <w:spacing w:val="-4"/>
          <w:sz w:val="32"/>
          <w:szCs w:val="32"/>
          <w:highlight w:val="none"/>
          <w:lang w:eastAsia="zh-CN"/>
        </w:rPr>
        <w:t>；</w:t>
      </w:r>
      <w:r>
        <w:rPr>
          <w:rStyle w:val="16"/>
          <w:rFonts w:hint="eastAsia" w:ascii="仿宋_GB2312" w:hAnsi="仿宋_GB2312" w:eastAsia="仿宋_GB2312" w:cs="仿宋_GB2312"/>
          <w:b w:val="0"/>
          <w:bCs w:val="0"/>
          <w:spacing w:val="-4"/>
          <w:sz w:val="32"/>
          <w:szCs w:val="32"/>
          <w:highlight w:val="none"/>
        </w:rPr>
        <w:t xml:space="preserve">开展政策解读、金融服务、企业信用等各类线上线下惠企服务活动20场；不断完善我区中小企业公共服务体系，举办1场服务机构能力提升班；提升平台综合服务水平，与7家优质服务机构开展战略合作，不断为我区中小企业高质量、健康发展提供看得见、用得起、找得到的线上线下一体化服务。 </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236.5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236.5</w:t>
      </w:r>
      <w:r>
        <w:rPr>
          <w:rFonts w:hint="default" w:ascii="Times New Roman" w:hAnsi="Times New Roman" w:eastAsia="仿宋_GB2312" w:cs="Times New Roman"/>
          <w:sz w:val="32"/>
          <w:szCs w:val="32"/>
          <w:highlight w:val="none"/>
          <w:lang w:val="en-US" w:eastAsia="zh-CN"/>
        </w:rPr>
        <w:t>万元，该项目资金已全部落实到位，资金来</w:t>
      </w:r>
      <w:r>
        <w:rPr>
          <w:rFonts w:hint="default" w:ascii="Times New Roman" w:hAnsi="Times New Roman" w:eastAsia="仿宋_GB2312" w:cs="Times New Roman"/>
          <w:color w:val="auto"/>
          <w:sz w:val="32"/>
          <w:szCs w:val="32"/>
          <w:highlight w:val="none"/>
          <w:lang w:val="en-US" w:eastAsia="zh-CN"/>
        </w:rPr>
        <w:t>源为</w:t>
      </w:r>
      <w:r>
        <w:rPr>
          <w:rFonts w:hint="eastAsia" w:eastAsia="仿宋_GB2312" w:cs="Times New Roman"/>
          <w:color w:val="auto"/>
          <w:sz w:val="32"/>
          <w:szCs w:val="32"/>
          <w:highlight w:val="none"/>
          <w:lang w:val="en-US" w:eastAsia="zh-CN"/>
        </w:rPr>
        <w:t>其他资金</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236.5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236.5</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173.757441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73.47</w:t>
      </w:r>
      <w:r>
        <w:rPr>
          <w:rFonts w:hint="default" w:ascii="Times New Roman" w:hAnsi="Times New Roman" w:eastAsia="仿宋_GB2312" w:cs="Times New Roman"/>
          <w:sz w:val="32"/>
          <w:szCs w:val="32"/>
          <w:highlight w:val="none"/>
          <w:lang w:val="en-US" w:eastAsia="zh-CN"/>
        </w:rPr>
        <w:t>%，主要用于</w:t>
      </w:r>
      <w:r>
        <w:rPr>
          <w:rStyle w:val="16"/>
          <w:rFonts w:hint="eastAsia" w:ascii="仿宋_GB2312" w:hAnsi="仿宋_GB2312" w:eastAsia="仿宋_GB2312" w:cs="仿宋_GB2312"/>
          <w:b w:val="0"/>
          <w:bCs w:val="0"/>
          <w:spacing w:val="-4"/>
          <w:sz w:val="32"/>
          <w:szCs w:val="32"/>
          <w:highlight w:val="none"/>
        </w:rPr>
        <w:t>中小企业公共服务平台开展运营维护工作。包括线下服务大厅的建设及功能服务；将优秀服务机构导入平台整体工作，共同开展线上线下的服务工作；打造政策信息、金融服务、</w:t>
      </w:r>
      <w:r>
        <w:rPr>
          <w:rStyle w:val="16"/>
          <w:rFonts w:hint="eastAsia" w:ascii="仿宋_GB2312" w:hAnsi="仿宋_GB2312" w:cs="仿宋_GB2312"/>
          <w:b w:val="0"/>
          <w:bCs w:val="0"/>
          <w:spacing w:val="-4"/>
          <w:sz w:val="32"/>
          <w:szCs w:val="32"/>
          <w:highlight w:val="none"/>
          <w:lang w:val="en-US" w:eastAsia="zh-CN"/>
        </w:rPr>
        <w:t>法律</w:t>
      </w:r>
      <w:r>
        <w:rPr>
          <w:rStyle w:val="16"/>
          <w:rFonts w:hint="eastAsia" w:ascii="仿宋_GB2312" w:hAnsi="仿宋_GB2312" w:eastAsia="仿宋_GB2312" w:cs="仿宋_GB2312"/>
          <w:b w:val="0"/>
          <w:bCs w:val="0"/>
          <w:spacing w:val="-4"/>
          <w:sz w:val="32"/>
          <w:szCs w:val="32"/>
          <w:highlight w:val="none"/>
        </w:rPr>
        <w:t>等品牌板块；发挥平台的宣传功能，对新疆优秀企业进行宣传工作，树立企业品牌形象；根据新疆中小企业实际需求组织开展线上线下各类服务活动；平台自身的宣传推广工作；日常平台运行维护工作。</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shd w:val="clear"/>
        <w:spacing w:line="600" w:lineRule="exact"/>
        <w:ind w:firstLine="624" w:firstLineChars="200"/>
        <w:outlineLvl w:val="0"/>
        <w:rPr>
          <w:rStyle w:val="16"/>
          <w:rFonts w:hint="default" w:ascii="仿宋_GB2312" w:hAnsi="仿宋_GB2312" w:eastAsia="仿宋_GB2312" w:cs="仿宋_GB2312"/>
          <w:b w:val="0"/>
          <w:bCs w:val="0"/>
          <w:spacing w:val="-4"/>
          <w:sz w:val="32"/>
          <w:szCs w:val="32"/>
          <w:highlight w:val="none"/>
          <w:lang w:eastAsia="zh-CN"/>
        </w:rPr>
      </w:pPr>
      <w:r>
        <w:rPr>
          <w:rStyle w:val="16"/>
          <w:rFonts w:hint="default" w:ascii="仿宋_GB2312" w:hAnsi="仿宋_GB2312" w:eastAsia="仿宋_GB2312" w:cs="仿宋_GB2312"/>
          <w:b w:val="0"/>
          <w:bCs w:val="0"/>
          <w:spacing w:val="-4"/>
          <w:sz w:val="32"/>
          <w:szCs w:val="32"/>
          <w:highlight w:val="none"/>
          <w:lang w:eastAsia="zh-CN"/>
        </w:rPr>
        <w:t xml:space="preserve">保障新疆中小企业公共服务平台有效运行，对网站服务器进行6次以上（含6次）的监测，并出具相应报告；开展政策信息服务，推送各类政策信息1200条以上（含1200条）完成率90%以上、开展政策解读、金融服务、企业信用等各类线上线下惠企服务活动20场以上（含20场）完成率90%以上；不断完善我区中小企业公共服务体系，举办1场服务机构能力提升班；提升平台综合服务水平，与7家以上（含7家）优质服务机构开展战略合作，不断为我区中小企业高质量、健康发展提供看得见、用得起、找得到的线上线下一体化服务。 </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pPr>
        <w:spacing w:line="560" w:lineRule="exact"/>
        <w:ind w:firstLine="624" w:firstLineChars="200"/>
        <w:rPr>
          <w:rFonts w:hint="default" w:ascii="Times New Roman" w:hAnsi="Times New Roman" w:eastAsia="黑体" w:cs="Times New Roman"/>
          <w:b w:val="0"/>
          <w:bCs/>
          <w:highlight w:val="none"/>
          <w:lang w:eastAsia="zh-CN"/>
        </w:rPr>
      </w:pPr>
      <w:r>
        <w:rPr>
          <w:rStyle w:val="16"/>
          <w:rFonts w:hint="eastAsia" w:ascii="仿宋_GB2312" w:hAnsi="仿宋_GB2312" w:eastAsia="仿宋_GB2312" w:cs="仿宋_GB2312"/>
          <w:b w:val="0"/>
          <w:bCs w:val="0"/>
          <w:spacing w:val="-4"/>
          <w:sz w:val="32"/>
          <w:szCs w:val="32"/>
          <w:highlight w:val="none"/>
        </w:rPr>
        <w:t>第一阶段：制定全年项目绩效考核指标，制定实施计划；第二阶段：根据计划明确分工，并通过招投标等方式确定合作机构；第三阶段：监督各分项目执行进度，并根据实际状况进行调整，以确保项目按时保质完成；第四阶段：完成项目预算执行。</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仿宋_GB2312" w:hAnsi="仿宋_GB2312" w:eastAsia="仿宋_GB2312" w:cs="仿宋_GB2312"/>
          <w:b w:val="0"/>
          <w:bCs w:val="0"/>
          <w:sz w:val="32"/>
          <w:szCs w:val="32"/>
          <w:highlight w:val="none"/>
        </w:rPr>
        <w:t>平台运营维护项目</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新疆维吾尔自治区中小企业服务中心</w:t>
      </w:r>
      <w:r>
        <w:rPr>
          <w:rFonts w:hint="default" w:ascii="Times New Roman" w:hAnsi="Times New Roman" w:eastAsia="仿宋_GB2312" w:cs="Times New Roman"/>
          <w:b w:val="0"/>
          <w:bCs w:val="0"/>
          <w:highlight w:val="none"/>
        </w:rPr>
        <w:t>负责实施，旨在</w:t>
      </w:r>
      <w:r>
        <w:rPr>
          <w:rStyle w:val="16"/>
          <w:rFonts w:hint="eastAsia" w:ascii="仿宋_GB2312" w:hAnsi="仿宋_GB2312" w:eastAsia="仿宋_GB2312" w:cs="仿宋_GB2312"/>
          <w:b w:val="0"/>
          <w:bCs w:val="0"/>
          <w:spacing w:val="-4"/>
          <w:sz w:val="32"/>
          <w:szCs w:val="32"/>
          <w:highlight w:val="none"/>
        </w:rPr>
        <w:t>保障新疆中小企业公共服务平台有效运行的同时，将线上线下服务有机结合，同时吸纳优秀服务机构共同开展对新疆中小企业的服务工作，丰富服务手段，强化服务功能，提升服务水平，不断丰富完善适应新时代的服务功能，为我区中小企业提供特色化、精准化服务，提高服务效率，改善服务体验，逐步推动中小企业公共服务向网络化、品质化、精准化、智慧化的方向发展，为我区中小企业稳定经营和长远发展提供重要的保障。</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236.5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等方面的综合影响。</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w:t>
      </w:r>
      <w:r>
        <w:rPr>
          <w:rFonts w:hint="eastAsia" w:eastAsia="仿宋_GB2312" w:cs="Times New Roman"/>
          <w:color w:val="000000"/>
          <w:spacing w:val="17"/>
          <w:sz w:val="32"/>
          <w:szCs w:val="32"/>
          <w:highlight w:val="none"/>
          <w:lang w:val="en-US" w:eastAsia="zh-CN"/>
        </w:rPr>
        <w:t>40</w:t>
      </w:r>
      <w:r>
        <w:rPr>
          <w:rFonts w:hint="default" w:ascii="Times New Roman" w:hAnsi="Times New Roman" w:eastAsia="仿宋_GB2312" w:cs="Times New Roman"/>
          <w:color w:val="000000"/>
          <w:spacing w:val="17"/>
          <w:sz w:val="32"/>
          <w:szCs w:val="32"/>
          <w:highlight w:val="none"/>
        </w:rPr>
        <w:t>分，项目效益权重为</w:t>
      </w:r>
      <w:r>
        <w:rPr>
          <w:rFonts w:hint="eastAsia"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rPr>
        <w:t>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二</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三</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中小企业公共服务平台运营维护项目在评估方法上以成本效益分析法为主，同时根据项目实施中的具体情况，辅以公众评判法和因素分析法。</w:t>
      </w:r>
    </w:p>
    <w:p>
      <w:pPr>
        <w:spacing w:line="560" w:lineRule="exact"/>
        <w:ind w:firstLine="640" w:firstLineChars="200"/>
        <w:rPr>
          <w:rFonts w:hint="default" w:ascii="Times New Roman" w:hAnsi="Times New Roman" w:eastAsia="仿宋_GB2312" w:cs="Times New Roman"/>
          <w:color w:val="000000"/>
          <w:spacing w:val="17"/>
          <w:sz w:val="32"/>
          <w:szCs w:val="32"/>
          <w:highlight w:val="none"/>
        </w:rPr>
      </w:pPr>
      <w:r>
        <w:rPr>
          <w:rFonts w:hint="eastAsia" w:ascii="仿宋_GB2312" w:hAnsi="仿宋_GB2312" w:eastAsia="仿宋_GB2312" w:cs="仿宋_GB2312"/>
          <w:b w:val="0"/>
          <w:bCs w:val="0"/>
          <w:sz w:val="32"/>
          <w:szCs w:val="32"/>
          <w:highlight w:val="none"/>
        </w:rPr>
        <w:t>其中在平台服务板块功能方面主要采用成本效益分析法，同时辅以公众评判法，通过对实施效果的判定，后台数据的反映及用户的满意度来完成绩效评估工作；在日常运营维护工作方面，因为在实施过程中对项目造成影响的不可知因素较多，故主要采用因素分析法，</w:t>
      </w:r>
      <w:r>
        <w:rPr>
          <w:rFonts w:hint="eastAsia" w:ascii="仿宋_GB2312" w:hAnsi="仿宋_GB2312" w:cs="仿宋_GB2312"/>
          <w:b w:val="0"/>
          <w:bCs w:val="0"/>
          <w:sz w:val="32"/>
          <w:szCs w:val="32"/>
          <w:highlight w:val="none"/>
          <w:lang w:eastAsia="zh-CN"/>
        </w:rPr>
        <w:t>对</w:t>
      </w:r>
      <w:r>
        <w:rPr>
          <w:rFonts w:hint="eastAsia" w:ascii="仿宋_GB2312" w:hAnsi="仿宋_GB2312" w:eastAsia="仿宋_GB2312" w:cs="仿宋_GB2312"/>
          <w:b w:val="0"/>
          <w:bCs w:val="0"/>
          <w:sz w:val="32"/>
          <w:szCs w:val="32"/>
          <w:highlight w:val="none"/>
        </w:rPr>
        <w:t>项目实施效果进行评估。</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行业标准。指参照国家公布的行业指标数据制定的评价标准。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历史标准。指参照历史数据制定的评价标准，为体现绩效改进的原则，在可实现的条件下应当确定相对较高的评价标准。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财政部门和预算部门确认或认可的其他标准。</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color w:val="auto"/>
          <w:sz w:val="32"/>
          <w:szCs w:val="32"/>
          <w:highlight w:val="none"/>
          <w:lang w:val="en-US" w:eastAsia="zh-CN"/>
        </w:rPr>
        <w:t>平台运营维护项目</w:t>
      </w:r>
      <w:r>
        <w:rPr>
          <w:rFonts w:hint="default" w:ascii="Times New Roman" w:hAnsi="Times New Roman" w:eastAsia="仿宋_GB2312" w:cs="Times New Roman"/>
          <w:sz w:val="32"/>
          <w:szCs w:val="32"/>
          <w:highlight w:val="none"/>
        </w:rPr>
        <w:t>在推送各类政策信息数量、</w:t>
      </w:r>
      <w:r>
        <w:rPr>
          <w:rFonts w:hint="eastAsia" w:ascii="仿宋_GB2312" w:hAnsi="仿宋_GB2312" w:eastAsia="仿宋_GB2312" w:cs="仿宋_GB2312"/>
          <w:b w:val="0"/>
          <w:bCs w:val="0"/>
          <w:sz w:val="32"/>
          <w:szCs w:val="32"/>
          <w:highlight w:val="none"/>
        </w:rPr>
        <w:t>开展各类线上线下服务活动</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val="en-US" w:eastAsia="zh-CN"/>
        </w:rPr>
        <w:t>政策发布、宣传，组织各类服务活动等</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val="en-US" w:eastAsia="zh-CN"/>
        </w:rPr>
        <w:t>在政策信息推送方面，通过精准推送政策，用户阅读量得到提高，通过优化活动内容，用户满意度得到提高</w:t>
      </w:r>
      <w:r>
        <w:rPr>
          <w:rFonts w:hint="default" w:ascii="Times New Roman" w:hAnsi="Times New Roman" w:eastAsia="仿宋_GB2312" w:cs="Times New Roman"/>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新疆维吾尔自治区中小企业服务中心</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效益等方面产生了积极的影响。具体而言，</w:t>
      </w:r>
      <w:r>
        <w:rPr>
          <w:rFonts w:hint="eastAsia" w:eastAsia="仿宋_GB2312" w:cs="Times New Roman"/>
          <w:sz w:val="32"/>
          <w:szCs w:val="32"/>
          <w:highlight w:val="none"/>
          <w:lang w:val="en-US" w:eastAsia="zh-CN"/>
        </w:rPr>
        <w:t>平台网站正常运转率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及提升平台综合服务能力，为新疆中小微企业提供持续有效服务</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color w:val="auto"/>
          <w:sz w:val="32"/>
          <w:szCs w:val="32"/>
          <w:highlight w:val="none"/>
          <w:lang w:val="en-US" w:eastAsia="zh-CN"/>
        </w:rPr>
        <w:t>平台运营维护项目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w:t>
      </w:r>
      <w:r>
        <w:rPr>
          <w:rFonts w:hint="default" w:ascii="Times New Roman" w:hAnsi="Times New Roman" w:eastAsia="仿宋_GB2312" w:cs="Times New Roman"/>
          <w:b w:val="0"/>
          <w:bCs w:val="0"/>
          <w:highlight w:val="none"/>
        </w:rPr>
        <w:t>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w:t>
      </w:r>
      <w:r>
        <w:rPr>
          <w:rFonts w:hint="eastAsia" w:eastAsia="仿宋_GB2312" w:cs="Times New Roman"/>
          <w:sz w:val="32"/>
          <w:szCs w:val="32"/>
          <w:highlight w:val="none"/>
          <w:lang w:val="en-US" w:eastAsia="zh-CN"/>
        </w:rPr>
        <w:t>236.5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w:t>
      </w:r>
      <w:r>
        <w:rPr>
          <w:rFonts w:hint="default" w:ascii="Times New Roman" w:hAnsi="Times New Roman" w:eastAsia="仿宋_GB2312" w:cs="Times New Roman"/>
          <w:sz w:val="32"/>
          <w:szCs w:val="32"/>
          <w:lang w:val="en-US" w:eastAsia="zh-CN"/>
        </w:rPr>
        <w:t>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w:t>
      </w:r>
      <w:r>
        <w:rPr>
          <w:rFonts w:hint="default" w:ascii="Times New Roman" w:hAnsi="Times New Roman" w:eastAsia="仿宋_GB2312" w:cs="Times New Roman"/>
          <w:sz w:val="32"/>
          <w:szCs w:val="32"/>
          <w:highlight w:val="none"/>
          <w:lang w:val="en-US" w:eastAsia="zh-CN"/>
        </w:rPr>
        <w:t>制较为详细，项目资金支出总体能够按照预算执行，预算资金支出</w:t>
      </w:r>
      <w:r>
        <w:rPr>
          <w:rFonts w:hint="eastAsia" w:eastAsia="仿宋_GB2312" w:cs="Times New Roman"/>
          <w:sz w:val="32"/>
          <w:szCs w:val="32"/>
          <w:highlight w:val="none"/>
          <w:lang w:val="en-US" w:eastAsia="zh-CN"/>
        </w:rPr>
        <w:t>173.757441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73.47</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w:t>
      </w:r>
      <w:r>
        <w:rPr>
          <w:rFonts w:hint="default" w:ascii="Times New Roman" w:hAnsi="Times New Roman" w:eastAsia="仿宋_GB2312" w:cs="Times New Roman"/>
          <w:sz w:val="32"/>
          <w:szCs w:val="32"/>
          <w:highlight w:val="none"/>
          <w:lang w:val="en-US" w:eastAsia="zh-CN"/>
        </w:rPr>
        <w:t>容，由</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w:t>
      </w:r>
      <w:r>
        <w:rPr>
          <w:rFonts w:hint="default" w:ascii="Times New Roman" w:hAnsi="Times New Roman" w:eastAsia="仿宋_GB2312" w:cs="Times New Roman"/>
          <w:sz w:val="32"/>
          <w:szCs w:val="32"/>
          <w:lang w:val="en-US" w:eastAsia="zh-CN"/>
        </w:rPr>
        <w:t>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指标1：推送各类政策信息数量，指标值：≥1200条，实际完成值：</w:t>
      </w:r>
      <w:r>
        <w:rPr>
          <w:rFonts w:hint="eastAsia" w:eastAsia="仿宋_GB2312" w:cs="Times New Roman"/>
          <w:sz w:val="32"/>
          <w:szCs w:val="32"/>
          <w:highlight w:val="none"/>
          <w:lang w:val="en-US" w:eastAsia="zh-CN"/>
        </w:rPr>
        <w:t>1260条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指标2：开展各类线上线下服务活动</w:t>
      </w:r>
      <w:r>
        <w:rPr>
          <w:rFonts w:hint="eastAsia" w:ascii="仿宋_GB2312" w:hAnsi="仿宋_GB2312" w:eastAsia="仿宋_GB2312" w:cs="仿宋_GB2312"/>
          <w:b w:val="0"/>
          <w:bCs w:val="0"/>
          <w:sz w:val="32"/>
          <w:szCs w:val="32"/>
          <w:lang w:eastAsia="zh-CN"/>
        </w:rPr>
        <w:t>，</w:t>
      </w:r>
      <w:r>
        <w:rPr>
          <w:rFonts w:hint="default" w:ascii="Times New Roman" w:hAnsi="Times New Roman" w:eastAsia="仿宋_GB2312" w:cs="Times New Roman"/>
          <w:sz w:val="32"/>
          <w:szCs w:val="32"/>
          <w:highlight w:val="none"/>
        </w:rPr>
        <w:t>指标值：≥</w:t>
      </w:r>
      <w:r>
        <w:rPr>
          <w:rFonts w:hint="eastAsia" w:ascii="仿宋_GB2312" w:hAnsi="仿宋_GB2312" w:eastAsia="仿宋_GB2312" w:cs="仿宋_GB2312"/>
          <w:b w:val="0"/>
          <w:bCs w:val="0"/>
          <w:sz w:val="32"/>
          <w:szCs w:val="32"/>
          <w:lang w:val="en-US" w:eastAsia="zh-CN"/>
        </w:rPr>
        <w:t>20</w:t>
      </w:r>
      <w:r>
        <w:rPr>
          <w:rFonts w:hint="eastAsia" w:ascii="仿宋_GB2312" w:hAnsi="仿宋_GB2312" w:eastAsia="仿宋_GB2312" w:cs="仿宋_GB2312"/>
          <w:b w:val="0"/>
          <w:bCs w:val="0"/>
          <w:sz w:val="32"/>
          <w:szCs w:val="32"/>
        </w:rPr>
        <w:t>场，</w:t>
      </w:r>
      <w:r>
        <w:rPr>
          <w:rFonts w:hint="default" w:ascii="Times New Roman" w:hAnsi="Times New Roman" w:eastAsia="仿宋_GB2312" w:cs="Times New Roman"/>
          <w:sz w:val="32"/>
          <w:szCs w:val="32"/>
          <w:highlight w:val="none"/>
        </w:rPr>
        <w:t>实际完成值：</w:t>
      </w:r>
      <w:r>
        <w:rPr>
          <w:rFonts w:hint="eastAsia" w:ascii="仿宋_GB2312" w:hAnsi="仿宋_GB2312" w:eastAsia="仿宋_GB2312" w:cs="仿宋_GB2312"/>
          <w:b w:val="0"/>
          <w:bCs w:val="0"/>
          <w:sz w:val="32"/>
          <w:szCs w:val="32"/>
        </w:rPr>
        <w:t>20场，</w:t>
      </w:r>
      <w:r>
        <w:rPr>
          <w:rFonts w:hint="default" w:ascii="Times New Roman" w:hAnsi="Times New Roman" w:eastAsia="仿宋_GB2312" w:cs="Times New Roman"/>
          <w:sz w:val="32"/>
          <w:szCs w:val="32"/>
          <w:highlight w:val="none"/>
        </w:rPr>
        <w:t>指标完成率</w:t>
      </w:r>
      <w:r>
        <w:rPr>
          <w:rFonts w:hint="eastAsia" w:ascii="仿宋_GB2312" w:hAnsi="仿宋_GB2312" w:eastAsia="仿宋_GB2312" w:cs="仿宋_GB2312"/>
          <w:b w:val="0"/>
          <w:bCs w:val="0"/>
          <w:sz w:val="32"/>
          <w:szCs w:val="32"/>
        </w:rPr>
        <w:t>100%</w:t>
      </w:r>
      <w:r>
        <w:rPr>
          <w:rFonts w:hint="eastAsia" w:ascii="仿宋_GB2312" w:hAnsi="仿宋_GB2312" w:eastAsia="仿宋_GB2312" w:cs="仿宋_GB2312"/>
          <w:b w:val="0"/>
          <w:bCs w:val="0"/>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指标3：举办服务机构能力提升班</w:t>
      </w:r>
      <w:r>
        <w:rPr>
          <w:rFonts w:hint="eastAsia" w:ascii="仿宋_GB2312" w:hAnsi="仿宋_GB2312" w:eastAsia="仿宋_GB2312" w:cs="仿宋_GB2312"/>
          <w:b w:val="0"/>
          <w:bCs w:val="0"/>
          <w:sz w:val="32"/>
          <w:szCs w:val="32"/>
          <w:lang w:eastAsia="zh-CN"/>
        </w:rPr>
        <w:t>，</w:t>
      </w:r>
      <w:r>
        <w:rPr>
          <w:rFonts w:hint="default" w:ascii="Times New Roman" w:hAnsi="Times New Roman" w:eastAsia="仿宋_GB2312" w:cs="Times New Roman"/>
          <w:sz w:val="32"/>
          <w:szCs w:val="32"/>
          <w:highlight w:val="none"/>
        </w:rPr>
        <w:t>指标值：≥</w:t>
      </w:r>
      <w:r>
        <w:rPr>
          <w:rFonts w:hint="eastAsia" w:ascii="仿宋_GB2312" w:hAnsi="仿宋_GB2312" w:eastAsia="仿宋_GB2312" w:cs="仿宋_GB2312"/>
          <w:b w:val="0"/>
          <w:bCs w:val="0"/>
          <w:sz w:val="32"/>
          <w:szCs w:val="32"/>
          <w:lang w:val="en-US" w:eastAsia="zh-CN"/>
        </w:rPr>
        <w:t>1</w:t>
      </w:r>
      <w:r>
        <w:rPr>
          <w:rFonts w:hint="eastAsia" w:ascii="仿宋_GB2312" w:hAnsi="仿宋_GB2312" w:cs="仿宋_GB2312"/>
          <w:b w:val="0"/>
          <w:bCs w:val="0"/>
          <w:sz w:val="32"/>
          <w:szCs w:val="32"/>
          <w:lang w:val="en-US" w:eastAsia="zh-CN"/>
        </w:rPr>
        <w:t>场</w:t>
      </w:r>
      <w:r>
        <w:rPr>
          <w:rFonts w:hint="eastAsia" w:ascii="仿宋_GB2312" w:hAnsi="仿宋_GB2312" w:eastAsia="仿宋_GB2312" w:cs="仿宋_GB2312"/>
          <w:b w:val="0"/>
          <w:bCs w:val="0"/>
          <w:sz w:val="32"/>
          <w:szCs w:val="32"/>
        </w:rPr>
        <w:t>，</w:t>
      </w:r>
      <w:r>
        <w:rPr>
          <w:rFonts w:hint="default" w:ascii="Times New Roman" w:hAnsi="Times New Roman" w:eastAsia="仿宋_GB2312" w:cs="Times New Roman"/>
          <w:sz w:val="32"/>
          <w:szCs w:val="32"/>
          <w:highlight w:val="none"/>
        </w:rPr>
        <w:t>实际完成值：</w:t>
      </w:r>
      <w:r>
        <w:rPr>
          <w:rFonts w:hint="eastAsia" w:ascii="仿宋_GB2312" w:hAnsi="仿宋_GB2312" w:eastAsia="仿宋_GB2312" w:cs="仿宋_GB2312"/>
          <w:b w:val="0"/>
          <w:bCs w:val="0"/>
          <w:sz w:val="32"/>
          <w:szCs w:val="32"/>
          <w:lang w:val="en-US" w:eastAsia="zh-CN"/>
        </w:rPr>
        <w:t>1</w:t>
      </w:r>
      <w:r>
        <w:rPr>
          <w:rFonts w:hint="eastAsia" w:ascii="仿宋_GB2312" w:hAnsi="仿宋_GB2312" w:cs="仿宋_GB2312"/>
          <w:b w:val="0"/>
          <w:bCs w:val="0"/>
          <w:sz w:val="32"/>
          <w:szCs w:val="32"/>
          <w:lang w:val="en-US" w:eastAsia="zh-CN"/>
        </w:rPr>
        <w:t>场</w:t>
      </w:r>
      <w:r>
        <w:rPr>
          <w:rFonts w:hint="eastAsia" w:ascii="仿宋_GB2312" w:hAnsi="仿宋_GB2312" w:eastAsia="仿宋_GB2312" w:cs="仿宋_GB2312"/>
          <w:b w:val="0"/>
          <w:bCs w:val="0"/>
          <w:sz w:val="32"/>
          <w:szCs w:val="32"/>
        </w:rPr>
        <w:t>，</w:t>
      </w:r>
      <w:r>
        <w:rPr>
          <w:rFonts w:hint="default" w:ascii="Times New Roman" w:hAnsi="Times New Roman" w:eastAsia="仿宋_GB2312" w:cs="Times New Roman"/>
          <w:sz w:val="32"/>
          <w:szCs w:val="32"/>
          <w:highlight w:val="none"/>
        </w:rPr>
        <w:t>指标完成率</w:t>
      </w:r>
      <w:r>
        <w:rPr>
          <w:rFonts w:hint="eastAsia" w:ascii="仿宋_GB2312" w:hAnsi="仿宋_GB2312" w:eastAsia="仿宋_GB2312" w:cs="仿宋_GB2312"/>
          <w:b w:val="0"/>
          <w:bCs w:val="0"/>
          <w:sz w:val="32"/>
          <w:szCs w:val="32"/>
        </w:rPr>
        <w:t>100%</w:t>
      </w:r>
      <w:r>
        <w:rPr>
          <w:rFonts w:hint="eastAsia" w:ascii="仿宋_GB2312" w:hAnsi="仿宋_GB2312" w:eastAsia="仿宋_GB2312" w:cs="仿宋_GB2312"/>
          <w:b w:val="0"/>
          <w:bCs w:val="0"/>
          <w:sz w:val="32"/>
          <w:szCs w:val="32"/>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ascii="仿宋_GB2312" w:hAnsi="仿宋_GB2312" w:eastAsia="仿宋_GB2312" w:cs="仿宋_GB2312"/>
          <w:b w:val="0"/>
          <w:bCs w:val="0"/>
          <w:sz w:val="32"/>
          <w:szCs w:val="32"/>
        </w:rPr>
        <w:t>指标4：战略服务合作机构数量</w:t>
      </w:r>
      <w:r>
        <w:rPr>
          <w:rFonts w:hint="eastAsia" w:ascii="仿宋_GB2312" w:hAnsi="仿宋_GB2312" w:eastAsia="仿宋_GB2312" w:cs="仿宋_GB2312"/>
          <w:b w:val="0"/>
          <w:bCs w:val="0"/>
          <w:sz w:val="32"/>
          <w:szCs w:val="32"/>
          <w:lang w:eastAsia="zh-CN"/>
        </w:rPr>
        <w:t>，</w:t>
      </w:r>
      <w:r>
        <w:rPr>
          <w:rFonts w:hint="default" w:ascii="Times New Roman" w:hAnsi="Times New Roman" w:eastAsia="仿宋_GB2312" w:cs="Times New Roman"/>
          <w:sz w:val="32"/>
          <w:szCs w:val="32"/>
          <w:highlight w:val="none"/>
        </w:rPr>
        <w:t>指标值：≥7家</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实际完成值：7家</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ascii="仿宋_GB2312" w:hAnsi="仿宋_GB2312" w:eastAsia="仿宋_GB2312" w:cs="仿宋_GB2312"/>
          <w:b w:val="0"/>
          <w:bCs w:val="0"/>
          <w:sz w:val="32"/>
          <w:szCs w:val="32"/>
        </w:rPr>
        <w:t>100%</w:t>
      </w:r>
      <w:r>
        <w:rPr>
          <w:rFonts w:hint="eastAsia" w:ascii="仿宋_GB2312" w:hAnsi="仿宋_GB2312" w:eastAsia="仿宋_GB2312" w:cs="仿宋_GB2312"/>
          <w:b w:val="0"/>
          <w:bCs w:val="0"/>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指标5：服务机构调研，</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2次</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2次</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ascii="仿宋_GB2312" w:hAnsi="仿宋_GB2312" w:eastAsia="仿宋_GB2312" w:cs="仿宋_GB2312"/>
          <w:b w:val="0"/>
          <w:bCs w:val="0"/>
          <w:sz w:val="32"/>
          <w:szCs w:val="32"/>
        </w:rPr>
        <w:t>100%</w:t>
      </w:r>
      <w:r>
        <w:rPr>
          <w:rFonts w:hint="eastAsia" w:ascii="仿宋_GB2312" w:hAnsi="仿宋_GB2312" w:eastAsia="仿宋_GB2312" w:cs="仿宋_GB2312"/>
          <w:b w:val="0"/>
          <w:bCs w:val="0"/>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指标6：网站服务器监测报告，</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6次</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6次</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ascii="仿宋_GB2312" w:hAnsi="仿宋_GB2312" w:eastAsia="仿宋_GB2312" w:cs="仿宋_GB2312"/>
          <w:b w:val="0"/>
          <w:bCs w:val="0"/>
          <w:sz w:val="32"/>
          <w:szCs w:val="32"/>
        </w:rPr>
        <w:t>100%</w:t>
      </w:r>
      <w:r>
        <w:rPr>
          <w:rFonts w:hint="eastAsia" w:ascii="仿宋_GB2312" w:hAnsi="仿宋_GB2312" w:eastAsia="仿宋_GB2312" w:cs="仿宋_GB2312"/>
          <w:b w:val="0"/>
          <w:bCs w:val="0"/>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指标1：政策信息推送完成率，指标值：≥90%，实际完成值：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：服务活动场次完成率，指标值：≥90%，实际完成值：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：系统故障修复处理时间，指标值：≤24小时，实际完成值：</w:t>
      </w:r>
      <w:r>
        <w:rPr>
          <w:rFonts w:hint="eastAsia" w:eastAsia="仿宋_GB2312" w:cs="Times New Roman"/>
          <w:sz w:val="32"/>
          <w:szCs w:val="32"/>
          <w:highlight w:val="none"/>
          <w:lang w:val="en-US" w:eastAsia="zh-CN"/>
        </w:rPr>
        <w:t>=24小时</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指标1：年度维护成本增长率，指标值：≤10%，实际完成值：</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w:t>
      </w:r>
      <w:r>
        <w:rPr>
          <w:rFonts w:hint="default" w:ascii="Times New Roman" w:hAnsi="Times New Roman" w:eastAsia="仿宋_GB2312" w:cs="Times New Roman"/>
          <w:sz w:val="32"/>
          <w:szCs w:val="32"/>
          <w:highlight w:val="none"/>
          <w:lang w:val="en-US" w:eastAsia="zh-CN"/>
        </w:rPr>
        <w:t>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w:t>
      </w:r>
      <w:r>
        <w:rPr>
          <w:rFonts w:hint="default" w:ascii="Times New Roman" w:hAnsi="Times New Roman" w:eastAsia="仿宋_GB2312" w:cs="Times New Roman"/>
          <w:sz w:val="32"/>
          <w:szCs w:val="32"/>
          <w:lang w:val="en-US" w:eastAsia="zh-CN"/>
        </w:rPr>
        <w:t>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指标1：平台网站正常运转率，指标值：≥90%，实际完成值：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：提升平台综合服务能力，为新疆中小微企业提供持续有效服务，指标值：显著提升，实际完成值：</w:t>
      </w:r>
      <w:r>
        <w:rPr>
          <w:rFonts w:hint="eastAsia" w:eastAsia="仿宋_GB2312" w:cs="Times New Roman"/>
          <w:sz w:val="32"/>
          <w:szCs w:val="32"/>
          <w:highlight w:val="none"/>
          <w:lang w:val="en-US" w:eastAsia="zh-CN"/>
        </w:rPr>
        <w:t>显著提升</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指标1：使用人员满意度，指标值：≥90%，实际完成值：</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90%，指标完成率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pPr>
        <w:pStyle w:val="19"/>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平台运营维护</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236.5</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236.5</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173.757441</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73.47</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100.38</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26.91</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w:t>
      </w:r>
      <w:bookmarkStart w:id="4" w:name="_GoBack"/>
      <w:bookmarkEnd w:id="4"/>
      <w:r>
        <w:rPr>
          <w:rFonts w:hint="default" w:ascii="Times New Roman" w:hAnsi="Times New Roman" w:eastAsia="楷体" w:cs="Times New Roman"/>
          <w:b/>
          <w:spacing w:val="-4"/>
          <w:sz w:val="32"/>
          <w:szCs w:val="32"/>
        </w:rPr>
        <w:t>主要经验及做法</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val="0"/>
          <w:bCs w:val="0"/>
          <w:sz w:val="32"/>
          <w:szCs w:val="32"/>
          <w:shd w:val="clear" w:color="auto" w:fill="FFFFFF"/>
        </w:rPr>
      </w:pPr>
      <w:r>
        <w:rPr>
          <w:rFonts w:hint="eastAsia" w:ascii="仿宋_GB2312" w:hAnsi="仿宋_GB2312" w:eastAsia="仿宋_GB2312" w:cs="仿宋_GB2312"/>
          <w:b w:val="0"/>
          <w:bCs w:val="0"/>
          <w:sz w:val="32"/>
          <w:szCs w:val="32"/>
          <w:shd w:val="clear" w:color="auto" w:fill="FFFFFF"/>
        </w:rPr>
        <w:t>1</w:t>
      </w:r>
      <w:r>
        <w:rPr>
          <w:rFonts w:hint="eastAsia" w:ascii="仿宋_GB2312" w:hAnsi="仿宋_GB2312" w:eastAsia="仿宋_GB2312" w:cs="仿宋_GB2312"/>
          <w:b w:val="0"/>
          <w:bCs w:val="0"/>
          <w:sz w:val="32"/>
          <w:szCs w:val="32"/>
          <w:shd w:val="clear" w:color="auto" w:fill="FFFFFF"/>
          <w:lang w:val="en-US" w:eastAsia="zh-CN"/>
        </w:rPr>
        <w:t>.</w:t>
      </w:r>
      <w:r>
        <w:rPr>
          <w:rFonts w:hint="eastAsia" w:ascii="仿宋_GB2312" w:hAnsi="仿宋_GB2312" w:eastAsia="仿宋_GB2312" w:cs="仿宋_GB2312"/>
          <w:b w:val="0"/>
          <w:bCs w:val="0"/>
          <w:sz w:val="32"/>
          <w:szCs w:val="32"/>
          <w:shd w:val="clear" w:color="auto" w:fill="FFFFFF"/>
        </w:rPr>
        <w:t>根据国家及自治区对于项目资金使用的相关规定，按照既定的项目开展及实施内容对于项目资金制定合理的支出计划，确定合理的采购方式。有效保证资金支出透明化、及时化、合法化。</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default" w:ascii="Times New Roman" w:hAnsi="Times New Roman" w:eastAsia="仿宋_GB2312" w:cs="Times New Roman"/>
          <w:b w:val="0"/>
          <w:bCs w:val="0"/>
          <w:kern w:val="2"/>
        </w:rPr>
      </w:pPr>
      <w:r>
        <w:rPr>
          <w:rFonts w:hint="eastAsia" w:ascii="仿宋_GB2312" w:hAnsi="仿宋_GB2312" w:eastAsia="仿宋_GB2312" w:cs="仿宋_GB2312"/>
          <w:b w:val="0"/>
          <w:bCs w:val="0"/>
          <w:sz w:val="32"/>
          <w:szCs w:val="32"/>
          <w:shd w:val="clear" w:color="auto" w:fill="FFFFFF"/>
          <w:lang w:val="en-US" w:eastAsia="zh-CN"/>
        </w:rPr>
        <w:t>2.</w:t>
      </w:r>
      <w:r>
        <w:rPr>
          <w:rFonts w:hint="eastAsia" w:ascii="仿宋_GB2312" w:hAnsi="仿宋_GB2312" w:eastAsia="仿宋_GB2312" w:cs="仿宋_GB2312"/>
          <w:b w:val="0"/>
          <w:bCs w:val="0"/>
          <w:sz w:val="32"/>
          <w:szCs w:val="32"/>
          <w:shd w:val="clear" w:color="auto" w:fill="FFFFFF"/>
        </w:rPr>
        <w:t>在立项之前进行切合实际的市场调研，确定项目符合实际市场化需求，并在项目实施过程中实行动态化管理，确保项目立项合理、实施有序。</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sz w:val="32"/>
          <w:szCs w:val="32"/>
          <w:shd w:val="clear" w:color="auto" w:fill="FFFFFF"/>
        </w:rPr>
        <w:t>目前存在的最为突出的问题是我区优秀服务机构由于资金、人才的缺乏，提升成长速度较慢，难以满足我区中小企业的发展需要。</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eastAsia" w:ascii="仿宋_GB2312" w:hAnsi="仿宋_GB2312" w:eastAsia="仿宋_GB2312" w:cs="仿宋_GB2312"/>
          <w:b w:val="0"/>
          <w:bCs w:val="0"/>
          <w:sz w:val="32"/>
          <w:szCs w:val="32"/>
          <w:shd w:val="clear" w:color="auto" w:fill="FFFFFF"/>
        </w:rPr>
      </w:pPr>
      <w:r>
        <w:rPr>
          <w:rFonts w:hint="eastAsia" w:ascii="仿宋_GB2312" w:hAnsi="仿宋_GB2312" w:eastAsia="仿宋_GB2312" w:cs="仿宋_GB2312"/>
          <w:b w:val="0"/>
          <w:bCs w:val="0"/>
          <w:sz w:val="32"/>
          <w:szCs w:val="32"/>
          <w:shd w:val="clear" w:color="auto" w:fill="FFFFFF"/>
        </w:rPr>
        <w:t>加强</w:t>
      </w:r>
      <w:r>
        <w:rPr>
          <w:rFonts w:hint="eastAsia" w:ascii="仿宋_GB2312" w:hAnsi="仿宋_GB2312" w:cs="仿宋_GB2312"/>
          <w:b w:val="0"/>
          <w:bCs w:val="0"/>
          <w:sz w:val="32"/>
          <w:szCs w:val="32"/>
          <w:shd w:val="clear" w:color="auto" w:fill="FFFFFF"/>
          <w:lang w:eastAsia="zh-CN"/>
        </w:rPr>
        <w:t>对</w:t>
      </w:r>
      <w:r>
        <w:rPr>
          <w:rFonts w:hint="eastAsia" w:ascii="仿宋_GB2312" w:hAnsi="仿宋_GB2312" w:eastAsia="仿宋_GB2312" w:cs="仿宋_GB2312"/>
          <w:b w:val="0"/>
          <w:bCs w:val="0"/>
          <w:sz w:val="32"/>
          <w:szCs w:val="32"/>
          <w:shd w:val="clear" w:color="auto" w:fill="FFFFFF"/>
        </w:rPr>
        <w:t>我区公共服务平台及优秀中小企业服务机构发展资金支持力度，加强人才培训和人才引进，促进服务能力和服务水平的提升，更好地服务于我区广大中小企业。</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1" w:name="page8"/>
      <w:bookmarkEnd w:id="1"/>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rPr>
      </w:pPr>
      <w:bookmarkStart w:id="2" w:name="_Toc30064_WPSOffice_Level1"/>
      <w:bookmarkStart w:id="3" w:name="_Toc26499_WPSOffice_Level2"/>
      <w:r>
        <w:rPr>
          <w:rFonts w:hint="eastAsia" w:ascii="仿宋_GB2312" w:hAnsi="仿宋_GB2312" w:eastAsia="仿宋_GB2312" w:cs="仿宋_GB2312"/>
          <w:b/>
          <w:bCs/>
          <w:sz w:val="28"/>
          <w:szCs w:val="40"/>
          <w:highlight w:val="none"/>
          <w:lang w:val="en-US" w:eastAsia="zh-CN"/>
        </w:rPr>
        <w:t>平台运营维护</w:t>
      </w:r>
      <w:r>
        <w:rPr>
          <w:rFonts w:hint="eastAsia" w:ascii="仿宋_GB2312" w:hAnsi="仿宋_GB2312" w:eastAsia="仿宋_GB2312" w:cs="仿宋_GB2312"/>
          <w:b/>
          <w:bCs/>
          <w:sz w:val="28"/>
          <w:szCs w:val="40"/>
          <w:highlight w:val="none"/>
        </w:rPr>
        <w:t>项目绩效</w:t>
      </w:r>
      <w:r>
        <w:rPr>
          <w:rFonts w:hint="eastAsia" w:ascii="仿宋_GB2312" w:hAnsi="仿宋_GB2312" w:eastAsia="仿宋_GB2312" w:cs="仿宋_GB2312"/>
          <w:b/>
          <w:bCs/>
          <w:sz w:val="28"/>
          <w:szCs w:val="40"/>
        </w:rPr>
        <w:t>评价指标体系及综合评分表</w:t>
      </w:r>
      <w:bookmarkEnd w:id="2"/>
      <w:bookmarkEnd w:id="3"/>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平台运营维护项目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2"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新疆维吾尔自治区工业和信息化厅</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新疆维吾尔自治区中小企业服务中心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236.5</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236.5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173.757441</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73.47%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sz w:val="18"/>
                <w:szCs w:val="18"/>
                <w:u w:val="none"/>
                <w:lang w:val="en-US" w:eastAsia="zh-CN"/>
              </w:rPr>
              <w:t>7.35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236.5</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236.5</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173.757441</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73.47%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47"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保障新疆中小企业公共服务平台有效运行，对网站服务器进行6次以上（含6次）的监测，并出具相应报告；开展政策信息服务，推送各类政策信息1200条以上（含1200条）完成率90%以上、开展政策解读、金融服务、咨询服务等各类线上线下惠企服务活动20场以上（含20场）完成率90%以上；不断完善我区中小企业公共服务体系，举办1场服务机构能力提升班；提升平台综合服务水平，与7家以上（含7家）优质服务机构开展战略合作，不断为我区中小企业高质量、健康发展提供看得见、用得起、找得到的线上线下立体化服务。</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保障新疆中小企业公共服务平台有效运行，对网站服务器进行6次的监测，并出具相应报告；开展政策信息服务，推送各类政策信息12</w:t>
            </w:r>
            <w:r>
              <w:rPr>
                <w:rFonts w:hint="eastAsia" w:ascii="仿宋_GB2312" w:hAnsi="仿宋_GB2312" w:eastAsia="仿宋_GB2312" w:cs="仿宋_GB2312"/>
                <w:i w:val="0"/>
                <w:iCs w:val="0"/>
                <w:color w:val="000000"/>
                <w:sz w:val="18"/>
                <w:szCs w:val="18"/>
                <w:u w:val="none"/>
                <w:lang w:val="en-US" w:eastAsia="zh-CN"/>
              </w:rPr>
              <w:t>6</w:t>
            </w:r>
            <w:r>
              <w:rPr>
                <w:rFonts w:hint="eastAsia" w:ascii="仿宋_GB2312" w:hAnsi="仿宋_GB2312" w:eastAsia="仿宋_GB2312" w:cs="仿宋_GB2312"/>
                <w:i w:val="0"/>
                <w:iCs w:val="0"/>
                <w:color w:val="000000"/>
                <w:sz w:val="18"/>
                <w:szCs w:val="18"/>
                <w:u w:val="none"/>
              </w:rPr>
              <w:t>0条</w:t>
            </w:r>
            <w:r>
              <w:rPr>
                <w:rFonts w:hint="eastAsia" w:ascii="仿宋_GB2312" w:hAnsi="仿宋_GB2312" w:eastAsia="仿宋_GB2312" w:cs="仿宋_GB2312"/>
                <w:i w:val="0"/>
                <w:iCs w:val="0"/>
                <w:color w:val="000000"/>
                <w:sz w:val="18"/>
                <w:szCs w:val="18"/>
                <w:u w:val="none"/>
                <w:lang w:eastAsia="zh-CN"/>
              </w:rPr>
              <w:t>，</w:t>
            </w:r>
            <w:r>
              <w:rPr>
                <w:rFonts w:hint="eastAsia" w:ascii="仿宋_GB2312" w:hAnsi="仿宋_GB2312" w:eastAsia="仿宋_GB2312" w:cs="仿宋_GB2312"/>
                <w:i w:val="0"/>
                <w:iCs w:val="0"/>
                <w:color w:val="000000"/>
                <w:sz w:val="18"/>
                <w:szCs w:val="18"/>
                <w:u w:val="none"/>
              </w:rPr>
              <w:t>完成率</w:t>
            </w:r>
            <w:r>
              <w:rPr>
                <w:rFonts w:hint="eastAsia" w:ascii="仿宋_GB2312" w:hAnsi="仿宋_GB2312" w:eastAsia="仿宋_GB2312" w:cs="仿宋_GB2312"/>
                <w:i w:val="0"/>
                <w:iCs w:val="0"/>
                <w:color w:val="000000"/>
                <w:sz w:val="18"/>
                <w:szCs w:val="18"/>
                <w:u w:val="none"/>
                <w:lang w:val="en-US" w:eastAsia="zh-CN"/>
              </w:rPr>
              <w:t>10</w:t>
            </w:r>
            <w:r>
              <w:rPr>
                <w:rFonts w:hint="eastAsia" w:ascii="仿宋_GB2312" w:hAnsi="仿宋_GB2312" w:eastAsia="仿宋_GB2312" w:cs="仿宋_GB2312"/>
                <w:i w:val="0"/>
                <w:iCs w:val="0"/>
                <w:color w:val="000000"/>
                <w:sz w:val="18"/>
                <w:szCs w:val="18"/>
                <w:u w:val="none"/>
              </w:rPr>
              <w:t>0%</w:t>
            </w:r>
            <w:r>
              <w:rPr>
                <w:rFonts w:hint="eastAsia" w:ascii="仿宋_GB2312" w:hAnsi="仿宋_GB2312" w:eastAsia="仿宋_GB2312" w:cs="仿宋_GB2312"/>
                <w:i w:val="0"/>
                <w:iCs w:val="0"/>
                <w:color w:val="000000"/>
                <w:sz w:val="18"/>
                <w:szCs w:val="18"/>
                <w:u w:val="none"/>
                <w:lang w:eastAsia="zh-CN"/>
              </w:rPr>
              <w:t>，</w:t>
            </w:r>
            <w:r>
              <w:rPr>
                <w:rFonts w:hint="eastAsia" w:ascii="仿宋_GB2312" w:hAnsi="仿宋_GB2312" w:eastAsia="仿宋_GB2312" w:cs="仿宋_GB2312"/>
                <w:i w:val="0"/>
                <w:iCs w:val="0"/>
                <w:color w:val="000000"/>
                <w:sz w:val="18"/>
                <w:szCs w:val="18"/>
                <w:u w:val="none"/>
              </w:rPr>
              <w:t>开展政策解读、金融服务、咨询服务等各类线上线下惠企服务活动20场</w:t>
            </w:r>
            <w:r>
              <w:rPr>
                <w:rFonts w:hint="eastAsia" w:ascii="仿宋_GB2312" w:hAnsi="仿宋_GB2312" w:eastAsia="仿宋_GB2312" w:cs="仿宋_GB2312"/>
                <w:i w:val="0"/>
                <w:iCs w:val="0"/>
                <w:color w:val="000000"/>
                <w:sz w:val="18"/>
                <w:szCs w:val="18"/>
                <w:u w:val="none"/>
                <w:lang w:eastAsia="zh-CN"/>
              </w:rPr>
              <w:t>，</w:t>
            </w:r>
            <w:r>
              <w:rPr>
                <w:rFonts w:hint="eastAsia" w:ascii="仿宋_GB2312" w:hAnsi="仿宋_GB2312" w:eastAsia="仿宋_GB2312" w:cs="仿宋_GB2312"/>
                <w:i w:val="0"/>
                <w:iCs w:val="0"/>
                <w:color w:val="000000"/>
                <w:sz w:val="18"/>
                <w:szCs w:val="18"/>
                <w:u w:val="none"/>
              </w:rPr>
              <w:t>完成率</w:t>
            </w:r>
            <w:r>
              <w:rPr>
                <w:rFonts w:hint="eastAsia" w:ascii="仿宋_GB2312" w:hAnsi="仿宋_GB2312" w:eastAsia="仿宋_GB2312" w:cs="仿宋_GB2312"/>
                <w:i w:val="0"/>
                <w:iCs w:val="0"/>
                <w:color w:val="000000"/>
                <w:sz w:val="18"/>
                <w:szCs w:val="18"/>
                <w:u w:val="none"/>
                <w:lang w:val="en-US" w:eastAsia="zh-CN"/>
              </w:rPr>
              <w:t>10</w:t>
            </w:r>
            <w:r>
              <w:rPr>
                <w:rFonts w:hint="eastAsia" w:ascii="仿宋_GB2312" w:hAnsi="仿宋_GB2312" w:eastAsia="仿宋_GB2312" w:cs="仿宋_GB2312"/>
                <w:i w:val="0"/>
                <w:iCs w:val="0"/>
                <w:color w:val="000000"/>
                <w:sz w:val="18"/>
                <w:szCs w:val="18"/>
                <w:u w:val="none"/>
              </w:rPr>
              <w:t>0%；不断完善我区中小企业公共服务体系，举办1场服务机构能力提升班；提升平台综合服务水平，与7家优质服务机构开展战略合作，不断为我区中小企业高质量、健康发展提供看得见、用得起、找得到的线上线下立体化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推送各类政策信息数量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&gt;=1200条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1420条</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1260</w:t>
            </w:r>
            <w:r>
              <w:rPr>
                <w:rFonts w:hint="eastAsia" w:ascii="仿宋_GB2312" w:hAnsi="仿宋_GB2312" w:eastAsia="仿宋_GB2312" w:cs="仿宋_GB2312"/>
                <w:i w:val="0"/>
                <w:iCs w:val="0"/>
                <w:color w:val="000000"/>
                <w:sz w:val="18"/>
                <w:szCs w:val="18"/>
                <w:u w:val="none"/>
              </w:rPr>
              <w:t>条</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r>
              <w:rPr>
                <w:rFonts w:hint="eastAsia" w:ascii="仿宋_GB2312" w:hAnsi="仿宋_GB2312" w:eastAsia="仿宋_GB2312" w:cs="仿宋_GB2312"/>
                <w:i w:val="0"/>
                <w:iCs w:val="0"/>
                <w:color w:val="000000"/>
                <w:sz w:val="18"/>
                <w:szCs w:val="18"/>
                <w:u w:val="none"/>
                <w:lang w:val="en-US" w:eastAsia="zh-CN"/>
              </w:rPr>
              <w:t>5</w:t>
            </w:r>
            <w:r>
              <w:rPr>
                <w:rFonts w:hint="eastAsia" w:ascii="仿宋_GB2312" w:hAnsi="仿宋_GB2312" w:eastAsia="仿宋_GB2312" w:cs="仿宋_GB2312"/>
                <w:i w:val="0"/>
                <w:iCs w:val="0"/>
                <w:color w:val="000000"/>
                <w:sz w:val="18"/>
                <w:szCs w:val="18"/>
                <w:u w:val="none"/>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4.75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开展政策信息服务，推送各类政策信息1260条，已超额完成。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开展各类线上线下服务活动</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&gt;=20场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r>
              <w:rPr>
                <w:rFonts w:hint="eastAsia" w:ascii="仿宋_GB2312" w:hAnsi="仿宋_GB2312" w:eastAsia="仿宋_GB2312" w:cs="仿宋_GB2312"/>
                <w:i w:val="0"/>
                <w:iCs w:val="0"/>
                <w:color w:val="000000"/>
                <w:sz w:val="18"/>
                <w:szCs w:val="18"/>
                <w:u w:val="none"/>
              </w:rPr>
              <w:t>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服务机构能力提升班</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&gt;=1场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战略服务合作机构数量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&gt;=7家</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6家</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7</w:t>
            </w:r>
            <w:r>
              <w:rPr>
                <w:rFonts w:hint="eastAsia" w:ascii="仿宋_GB2312" w:hAnsi="仿宋_GB2312" w:eastAsia="仿宋_GB2312" w:cs="仿宋_GB2312"/>
                <w:i w:val="0"/>
                <w:iCs w:val="0"/>
                <w:color w:val="000000"/>
                <w:sz w:val="18"/>
                <w:szCs w:val="18"/>
                <w:u w:val="none"/>
              </w:rPr>
              <w:t>家</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服务机构调研</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&gt;=2次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2次</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2次</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网站服务器监测报告</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&gt;=6次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6次</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6次</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5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政策信息推送完成率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服务活动场次完成率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系统故障修复处理时间</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&lt;=24小时</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24小时</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24小时</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年度维护成本增长率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&lt;=10%</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预算支出标准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6"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平台网站正常运转率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提升平台综合服务能力，为新疆中小微企业提供持续有效服务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显著提升</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显著提升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5"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使用人员满意度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97.10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00000" w:csb1="00000000"/>
  </w:font>
  <w:font w:name="方正小标宋_GBK">
    <w:altName w:val="微软雅黑"/>
    <w:panose1 w:val="02000000000000000000"/>
    <w:charset w:val="86"/>
    <w:family w:val="script"/>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00000" w:csb1="00000000"/>
  </w:font>
  <w:font w:name="方正仿宋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4D241B"/>
    <w:rsid w:val="006F7242"/>
    <w:rsid w:val="007B168A"/>
    <w:rsid w:val="008B2CFE"/>
    <w:rsid w:val="00F26FF6"/>
    <w:rsid w:val="01610122"/>
    <w:rsid w:val="02510197"/>
    <w:rsid w:val="03EC461B"/>
    <w:rsid w:val="07397B77"/>
    <w:rsid w:val="0AD007F3"/>
    <w:rsid w:val="0C3D5924"/>
    <w:rsid w:val="0D77229A"/>
    <w:rsid w:val="0E3C619F"/>
    <w:rsid w:val="0FA97864"/>
    <w:rsid w:val="11170296"/>
    <w:rsid w:val="13471461"/>
    <w:rsid w:val="13B90F01"/>
    <w:rsid w:val="155E4C4D"/>
    <w:rsid w:val="17462648"/>
    <w:rsid w:val="181066D2"/>
    <w:rsid w:val="1888270D"/>
    <w:rsid w:val="1C671E73"/>
    <w:rsid w:val="1D1125A5"/>
    <w:rsid w:val="1D322C47"/>
    <w:rsid w:val="227215BB"/>
    <w:rsid w:val="23616034"/>
    <w:rsid w:val="23D4607E"/>
    <w:rsid w:val="24480FA2"/>
    <w:rsid w:val="25227A45"/>
    <w:rsid w:val="26AC3A6A"/>
    <w:rsid w:val="281178FD"/>
    <w:rsid w:val="2B070A55"/>
    <w:rsid w:val="2B9D7E25"/>
    <w:rsid w:val="2C7C7A3B"/>
    <w:rsid w:val="2CA04C45"/>
    <w:rsid w:val="2EFC0D68"/>
    <w:rsid w:val="2F364819"/>
    <w:rsid w:val="2FD63906"/>
    <w:rsid w:val="314A231E"/>
    <w:rsid w:val="36BC4CBC"/>
    <w:rsid w:val="37215DAE"/>
    <w:rsid w:val="38CA40DD"/>
    <w:rsid w:val="395F2B56"/>
    <w:rsid w:val="3B3F7ECC"/>
    <w:rsid w:val="3BBA0580"/>
    <w:rsid w:val="3BECE841"/>
    <w:rsid w:val="3CDE204C"/>
    <w:rsid w:val="3D363C36"/>
    <w:rsid w:val="3E9C3F6D"/>
    <w:rsid w:val="3FF7797D"/>
    <w:rsid w:val="42C90CB4"/>
    <w:rsid w:val="46690BD8"/>
    <w:rsid w:val="49F70BF1"/>
    <w:rsid w:val="4B4340EE"/>
    <w:rsid w:val="4BF06537"/>
    <w:rsid w:val="4FEA1131"/>
    <w:rsid w:val="503D507A"/>
    <w:rsid w:val="504012A7"/>
    <w:rsid w:val="51FA74D0"/>
    <w:rsid w:val="52AA4A52"/>
    <w:rsid w:val="581C3E62"/>
    <w:rsid w:val="59943D66"/>
    <w:rsid w:val="59E051FD"/>
    <w:rsid w:val="59E6355E"/>
    <w:rsid w:val="5AD978C4"/>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73A6FB2"/>
    <w:rsid w:val="68376930"/>
    <w:rsid w:val="68F91E38"/>
    <w:rsid w:val="690F2FDE"/>
    <w:rsid w:val="69767E03"/>
    <w:rsid w:val="6B3158B9"/>
    <w:rsid w:val="6B5670CE"/>
    <w:rsid w:val="6BA02A3F"/>
    <w:rsid w:val="6C1E5A53"/>
    <w:rsid w:val="6DD20F3C"/>
    <w:rsid w:val="6F5C41AC"/>
    <w:rsid w:val="6FAF6C78"/>
    <w:rsid w:val="716167CC"/>
    <w:rsid w:val="718A7AD1"/>
    <w:rsid w:val="72A44BC2"/>
    <w:rsid w:val="72A85865"/>
    <w:rsid w:val="7317C656"/>
    <w:rsid w:val="734ED73F"/>
    <w:rsid w:val="73C82B32"/>
    <w:rsid w:val="73F94DAE"/>
    <w:rsid w:val="74220495"/>
    <w:rsid w:val="747D1B6F"/>
    <w:rsid w:val="749E5641"/>
    <w:rsid w:val="75EE3699"/>
    <w:rsid w:val="76271066"/>
    <w:rsid w:val="776FF713"/>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10351</Words>
  <Characters>10678</Characters>
  <Lines>58</Lines>
  <Paragraphs>16</Paragraphs>
  <TotalTime>59</TotalTime>
  <ScaleCrop>false</ScaleCrop>
  <LinksUpToDate>false</LinksUpToDate>
  <CharactersWithSpaces>10687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Administrator</cp:lastModifiedBy>
  <dcterms:modified xsi:type="dcterms:W3CDTF">2025-08-26T10:31:52Z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4D9CF928948C4B44A1B3361AB10DE9EA_13</vt:lpwstr>
  </property>
  <property fmtid="{D5CDD505-2E9C-101B-9397-08002B2CF9AE}" pid="4" name="KSOTemplateDocerSaveRecord">
    <vt:lpwstr>eyJoZGlkIjoiMTQ2NzI0ZjUzODYxOWE1YWJiNjUyOWU0YzFkMzY5Y2YiLCJ1c2VySWQiOiI0MzIyNjc3ODgifQ==</vt:lpwstr>
  </property>
</Properties>
</file>