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A593FE">
      <w:pPr>
        <w:spacing w:after="0" w:line="240" w:lineRule="auto"/>
        <w:rPr>
          <w:rFonts w:ascii="宋体" w:eastAsia="宋体"/>
          <w:sz w:val="32"/>
          <w:szCs w:val="32"/>
        </w:rPr>
      </w:pPr>
    </w:p>
    <w:p w14:paraId="5943D1A4">
      <w:pPr>
        <w:spacing w:after="0" w:line="240" w:lineRule="auto"/>
        <w:rPr>
          <w:rFonts w:ascii="宋体" w:eastAsia="宋体"/>
          <w:sz w:val="44"/>
          <w:szCs w:val="44"/>
        </w:rPr>
      </w:pPr>
    </w:p>
    <w:p w14:paraId="6DFAD51B">
      <w:pPr>
        <w:spacing w:after="0" w:line="240" w:lineRule="auto"/>
        <w:rPr>
          <w:rFonts w:ascii="宋体" w:eastAsia="宋体"/>
          <w:sz w:val="44"/>
          <w:szCs w:val="44"/>
        </w:rPr>
      </w:pPr>
    </w:p>
    <w:p w14:paraId="3F3A3E95">
      <w:pPr>
        <w:spacing w:after="0" w:line="240" w:lineRule="auto"/>
        <w:rPr>
          <w:rFonts w:ascii="宋体" w:eastAsia="宋体"/>
          <w:sz w:val="44"/>
          <w:szCs w:val="44"/>
        </w:rPr>
      </w:pPr>
    </w:p>
    <w:p w14:paraId="4068C449">
      <w:pPr>
        <w:spacing w:after="0" w:line="240" w:lineRule="auto"/>
        <w:jc w:val="center"/>
        <w:outlineLvl w:val="0"/>
        <w:rPr>
          <w:rFonts w:ascii="宋体" w:eastAsia="黑体"/>
          <w:sz w:val="44"/>
          <w:szCs w:val="44"/>
          <w:lang w:eastAsia="zh-CN"/>
        </w:rPr>
      </w:pPr>
      <w:r>
        <w:rPr>
          <w:rFonts w:ascii="宋体" w:eastAsia="黑体"/>
          <w:sz w:val="44"/>
          <w:szCs w:val="44"/>
          <w:lang w:eastAsia="zh-CN"/>
        </w:rPr>
        <w:t>新疆维吾尔自治区卫星产业发展中心</w:t>
      </w:r>
    </w:p>
    <w:p w14:paraId="73B318E5">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0929C55">
      <w:pPr>
        <w:rPr>
          <w:lang w:eastAsia="zh-CN"/>
        </w:rPr>
      </w:pPr>
      <w:r>
        <w:rPr>
          <w:sz w:val="0"/>
          <w:szCs w:val="0"/>
          <w:lang w:eastAsia="zh-CN"/>
        </w:rPr>
        <w:br w:type="page"/>
      </w:r>
    </w:p>
    <w:p w14:paraId="4CA7CD29">
      <w:pPr>
        <w:spacing w:after="0" w:line="240" w:lineRule="auto"/>
        <w:jc w:val="center"/>
        <w:rPr>
          <w:rFonts w:ascii="黑体" w:eastAsia="黑体"/>
          <w:sz w:val="32"/>
          <w:szCs w:val="32"/>
          <w:lang w:eastAsia="zh-CN"/>
        </w:rPr>
      </w:pPr>
      <w:r>
        <w:rPr>
          <w:rFonts w:ascii="黑体" w:eastAsia="黑体"/>
          <w:b/>
          <w:sz w:val="32"/>
          <w:szCs w:val="32"/>
          <w:lang w:eastAsia="zh-CN"/>
        </w:rPr>
        <w:t>目录</w:t>
      </w:r>
    </w:p>
    <w:p w14:paraId="4AA831C2">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第一部分单位概况</w:t>
      </w:r>
    </w:p>
    <w:p w14:paraId="290DD118">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12742B79">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04B74AFA">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第二部分部门决算情况说明</w:t>
      </w:r>
    </w:p>
    <w:p w14:paraId="7562607F">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1D79592C">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084F2FF1">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5F9243FB">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1BE78FC5">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02A6249">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2EECBA2D">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7E7E7DA">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14844C9E">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5F8FE64F">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35CC5484">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01DA4791">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九、财政拨款“三公”经费支出决算情况说明</w:t>
      </w:r>
    </w:p>
    <w:p w14:paraId="205EDE52">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251148AB">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2B5C428F">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7AAC9881">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0F68CEE3">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2FC0141D">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133EA431">
      <w:pPr>
        <w:spacing w:after="0" w:line="240" w:lineRule="auto"/>
        <w:rPr>
          <w:rFonts w:ascii="仿宋_GB2312" w:eastAsia="仿宋_GB2312"/>
          <w:sz w:val="32"/>
          <w:szCs w:val="32"/>
          <w:lang w:eastAsia="zh-CN"/>
        </w:rPr>
      </w:pPr>
      <w:r>
        <w:rPr>
          <w:rFonts w:ascii="仿宋_GB2312" w:eastAsia="仿宋_GB2312"/>
          <w:b/>
          <w:sz w:val="32"/>
          <w:szCs w:val="32"/>
          <w:lang w:eastAsia="zh-CN"/>
        </w:rPr>
        <w:t>第三部分专业名词解释</w:t>
      </w:r>
    </w:p>
    <w:p w14:paraId="4096EC45">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第四部分部门决算报表（见附表）</w:t>
      </w:r>
    </w:p>
    <w:p w14:paraId="1929E58D">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0E5656EA">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0D16EFB2">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48EDFEE">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50475E6E">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076AF07B">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7B72FB1B">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833BF79">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578DF9F5">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九、《财政拨款“三公”经费支出决算表》</w:t>
      </w:r>
    </w:p>
    <w:p w14:paraId="6CA1D60F">
      <w:pPr>
        <w:rPr>
          <w:lang w:eastAsia="zh-CN"/>
        </w:rPr>
      </w:pPr>
      <w:r>
        <w:rPr>
          <w:sz w:val="0"/>
          <w:szCs w:val="0"/>
          <w:lang w:eastAsia="zh-CN"/>
        </w:rPr>
        <w:br w:type="page"/>
      </w:r>
    </w:p>
    <w:p w14:paraId="4DE21F00">
      <w:pPr>
        <w:spacing w:after="0" w:line="240" w:lineRule="auto"/>
        <w:jc w:val="center"/>
        <w:outlineLvl w:val="0"/>
        <w:rPr>
          <w:rFonts w:ascii="黑体" w:eastAsia="黑体"/>
          <w:sz w:val="32"/>
          <w:szCs w:val="32"/>
          <w:lang w:eastAsia="zh-CN"/>
        </w:rPr>
      </w:pPr>
      <w:r>
        <w:rPr>
          <w:rFonts w:ascii="黑体" w:eastAsia="黑体"/>
          <w:sz w:val="32"/>
          <w:szCs w:val="32"/>
          <w:lang w:eastAsia="zh-CN"/>
        </w:rPr>
        <w:t>第一部分单位概况</w:t>
      </w:r>
    </w:p>
    <w:p w14:paraId="40F5413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一、主要职能</w:t>
      </w:r>
    </w:p>
    <w:p w14:paraId="7D2E16C1">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承担国防领域的卫星应用特殊任务和国防类科研项目；承担国家卫星综合应用新疆示范区工程建设和产业化应用工作；承担自治区工信厅信息系统设备的运营保障和安全防护等工作</w:t>
      </w:r>
      <w:r>
        <w:rPr>
          <w:rFonts w:ascii="仿宋_GB2312" w:eastAsia="仿宋_GB2312"/>
          <w:sz w:val="32"/>
          <w:szCs w:val="32"/>
          <w:lang w:eastAsia="zh-CN"/>
        </w:rPr>
        <w:t>。</w:t>
      </w:r>
    </w:p>
    <w:p w14:paraId="5365A00F">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二、机构设置及人员情况</w:t>
      </w:r>
    </w:p>
    <w:p w14:paraId="10070FC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新疆维吾尔自治区卫星产业发展中心2024年度，实有人数7人，其中：在职人员6人，较上年无变化；离休人员0人，较上年无变化；退休人员1人，较上年无变化；</w:t>
      </w:r>
    </w:p>
    <w:p w14:paraId="7775374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新疆维吾尔自治区卫星产业发展中心无下属预算单位，下设3个</w:t>
      </w:r>
      <w:r>
        <w:rPr>
          <w:rFonts w:hint="eastAsia" w:ascii="仿宋_GB2312" w:eastAsia="仿宋_GB2312"/>
          <w:sz w:val="32"/>
          <w:szCs w:val="32"/>
          <w:lang w:val="en-US" w:eastAsia="zh-CN"/>
        </w:rPr>
        <w:t>科室</w:t>
      </w:r>
      <w:r>
        <w:rPr>
          <w:rFonts w:ascii="仿宋_GB2312" w:eastAsia="仿宋_GB2312"/>
          <w:sz w:val="32"/>
          <w:szCs w:val="32"/>
          <w:lang w:eastAsia="zh-CN"/>
        </w:rPr>
        <w:t>，分别是：科研管理部、应用开发部、综合部。</w:t>
      </w:r>
    </w:p>
    <w:p w14:paraId="64DF6EBC">
      <w:pPr>
        <w:rPr>
          <w:lang w:eastAsia="zh-CN"/>
        </w:rPr>
      </w:pPr>
      <w:r>
        <w:rPr>
          <w:sz w:val="0"/>
          <w:szCs w:val="0"/>
          <w:lang w:eastAsia="zh-CN"/>
        </w:rPr>
        <w:br w:type="page"/>
      </w:r>
    </w:p>
    <w:p w14:paraId="1C34C82F">
      <w:pPr>
        <w:spacing w:after="0" w:line="240" w:lineRule="auto"/>
        <w:jc w:val="center"/>
        <w:outlineLvl w:val="0"/>
        <w:rPr>
          <w:rFonts w:ascii="黑体" w:eastAsia="黑体"/>
          <w:sz w:val="32"/>
          <w:szCs w:val="32"/>
          <w:lang w:eastAsia="zh-CN"/>
        </w:rPr>
      </w:pPr>
      <w:r>
        <w:rPr>
          <w:rFonts w:ascii="黑体" w:eastAsia="黑体"/>
          <w:sz w:val="32"/>
          <w:szCs w:val="32"/>
          <w:lang w:eastAsia="zh-CN"/>
        </w:rPr>
        <w:t>第二部分部门决算情况说明</w:t>
      </w:r>
    </w:p>
    <w:p w14:paraId="7EA2041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一、收入支出决算总体情况说明</w:t>
      </w:r>
    </w:p>
    <w:p w14:paraId="74D8397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2024年度收入总计290.49万元，其中：本年收入合计133.29万元，使用非财政拨款结余（含专用结余）0.00万元，年初结转和结余157.20万元。</w:t>
      </w:r>
    </w:p>
    <w:p w14:paraId="1FA3524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2024年度支出总计290.49万元，其中：本年支出合计242.77万元，结余分配5.20万元，年末结转和结余42.51万元。</w:t>
      </w:r>
    </w:p>
    <w:p w14:paraId="45BBA94B">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收入支出总体与上年相比，减少75.78万元，下降20.69%，主要原因是：根据工作实际，减少已完成项目。</w:t>
      </w:r>
    </w:p>
    <w:p w14:paraId="67E5559A">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二、收入决算情况说明</w:t>
      </w:r>
    </w:p>
    <w:p w14:paraId="18D620AF">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本年收入133.29万元，其中：财政拨款收入132.94万元,占99.74%；上级补助收入0.00万元,占0.00%；事业收入0.00万元，占0.00%；经营收入0.00万元,占0.00%；附属单位上缴收入0.00万元，占0.00%；其他收入0.35万元，占0.26%。</w:t>
      </w:r>
    </w:p>
    <w:p w14:paraId="3FBB1497">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三、支出决算情况说明</w:t>
      </w:r>
    </w:p>
    <w:p w14:paraId="582C5BB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本年支出242.77万元，其中：基本支出120.98万元，占49.83%；项目支出121.79万元，占50.17%；上缴上级支出0.00万元，占0.00%；经营支出0.00万元，占0.00%；对附属单位补助支出0.00万元，占0.00%。</w:t>
      </w:r>
    </w:p>
    <w:p w14:paraId="766996A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5DEE8DE4">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2024年度财政拨款收入总计132.94万元，其中：年初财政拨款结转和结余0.00万元，本年财政拨款收入132.94万元。财政拨款支出总计132.94万元，其中：年末财政拨款结转和结余0.00万元，本年财政拨款支出132.94万元。</w:t>
      </w:r>
    </w:p>
    <w:p w14:paraId="18380B2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财政拨款收入支出总体与上年相比，增加8.13万元，增长6.51%，主要原因是：按政策调增基本工资。与年初预算相比，年初预算数121.85万元，决算数132.94万元，预决算差异率9.10%，主要原因是：一是</w:t>
      </w:r>
      <w:r>
        <w:rPr>
          <w:rFonts w:hint="eastAsia" w:ascii="仿宋_GB2312" w:eastAsia="仿宋_GB2312"/>
          <w:sz w:val="32"/>
          <w:szCs w:val="32"/>
          <w:lang w:val="en-US" w:eastAsia="zh-CN"/>
        </w:rPr>
        <w:t>追加安排人员经费</w:t>
      </w:r>
      <w:r>
        <w:rPr>
          <w:rFonts w:ascii="仿宋_GB2312" w:eastAsia="仿宋_GB2312"/>
          <w:sz w:val="32"/>
          <w:szCs w:val="32"/>
          <w:lang w:eastAsia="zh-CN"/>
        </w:rPr>
        <w:t>；二是按政策调减在职人员公用经费、退休人员费用。</w:t>
      </w:r>
    </w:p>
    <w:p w14:paraId="2A84BB1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08CA941D">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1BF0349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2024年度一般公共预算财政拨款支出132.94万元，占本年支出合计的54.76%。与上年相比，增加8.13万元，增长6.51%，主要原因是：</w:t>
      </w:r>
      <w:r>
        <w:rPr>
          <w:rFonts w:hint="eastAsia" w:ascii="仿宋_GB2312" w:eastAsia="仿宋_GB2312"/>
          <w:sz w:val="32"/>
          <w:szCs w:val="32"/>
          <w:lang w:val="en-US" w:eastAsia="zh-CN"/>
        </w:rPr>
        <w:t>追加安排人员经费</w:t>
      </w:r>
      <w:r>
        <w:rPr>
          <w:rFonts w:ascii="仿宋_GB2312" w:eastAsia="仿宋_GB2312"/>
          <w:sz w:val="32"/>
          <w:szCs w:val="32"/>
          <w:lang w:eastAsia="zh-CN"/>
        </w:rPr>
        <w:t>。与年初预算相比，年初预算数121.85万元，决算数132.94万元，预决算差异率9.10%，主要原因是：一是</w:t>
      </w:r>
      <w:r>
        <w:rPr>
          <w:rFonts w:hint="eastAsia" w:ascii="仿宋_GB2312" w:eastAsia="仿宋_GB2312"/>
          <w:sz w:val="32"/>
          <w:szCs w:val="32"/>
          <w:lang w:val="en-US" w:eastAsia="zh-CN"/>
        </w:rPr>
        <w:t>追加安排人员经费</w:t>
      </w:r>
      <w:r>
        <w:rPr>
          <w:rFonts w:ascii="仿宋_GB2312" w:eastAsia="仿宋_GB2312"/>
          <w:sz w:val="32"/>
          <w:szCs w:val="32"/>
          <w:lang w:eastAsia="zh-CN"/>
        </w:rPr>
        <w:t>；二是按政策调减在职人员公用经费、退休人员费用。</w:t>
      </w:r>
    </w:p>
    <w:p w14:paraId="3EDD3D29">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7FED0163">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社会保障和就业支出（类）13.05万元，占9.82%。</w:t>
      </w:r>
    </w:p>
    <w:p w14:paraId="620819B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卫生健康支出（类）10.25万元，占7.71%。</w:t>
      </w:r>
    </w:p>
    <w:p w14:paraId="12B413B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资源勘探工业信息等支出（类）101.60万元，占76.43%。</w:t>
      </w:r>
    </w:p>
    <w:p w14:paraId="728ADFB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住房保障支出（类）8.04万元，占6.05%。</w:t>
      </w:r>
    </w:p>
    <w:p w14:paraId="098C6E8A">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53578E0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1、社会保障和就业支出（类）行政事业单位养老支出（款）事业单位离退休（项）：支出决算数为2.33万元，比上年决算增加1.27万元，增长119.81%，主要原因是：</w:t>
      </w:r>
      <w:r>
        <w:rPr>
          <w:rFonts w:hint="eastAsia" w:ascii="仿宋_GB2312" w:eastAsia="仿宋_GB2312"/>
          <w:sz w:val="32"/>
          <w:szCs w:val="32"/>
          <w:lang w:val="en-US" w:eastAsia="zh-CN"/>
        </w:rPr>
        <w:t>人员经费</w:t>
      </w:r>
      <w:r>
        <w:rPr>
          <w:rFonts w:ascii="仿宋_GB2312" w:eastAsia="仿宋_GB2312"/>
          <w:sz w:val="32"/>
          <w:szCs w:val="32"/>
          <w:lang w:eastAsia="zh-CN"/>
        </w:rPr>
        <w:t>调整。</w:t>
      </w:r>
    </w:p>
    <w:p w14:paraId="02FF5F5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2、社会保障和就业支出（类）行政事业单位养老支出（款）机关事业单位基本养老保险缴费支出（项）：支出决算数为10.72万元，比上年决算增加1.64万元，增长18.06%，主要原因是：因社保类缴费基数上调，</w:t>
      </w:r>
      <w:r>
        <w:rPr>
          <w:rFonts w:hint="eastAsia" w:ascii="仿宋_GB2312" w:eastAsia="仿宋_GB2312"/>
          <w:sz w:val="32"/>
          <w:szCs w:val="32"/>
          <w:lang w:val="en-US" w:eastAsia="zh-CN"/>
        </w:rPr>
        <w:t>导致</w:t>
      </w:r>
      <w:r>
        <w:rPr>
          <w:rFonts w:ascii="仿宋_GB2312" w:eastAsia="仿宋_GB2312"/>
          <w:sz w:val="32"/>
          <w:szCs w:val="32"/>
          <w:lang w:eastAsia="zh-CN"/>
        </w:rPr>
        <w:t>相关支出较增加。</w:t>
      </w:r>
    </w:p>
    <w:p w14:paraId="15ED7F52">
      <w:pPr>
        <w:spacing w:after="0" w:line="240" w:lineRule="auto"/>
        <w:ind w:firstLine="640" w:firstLineChars="200"/>
        <w:rPr>
          <w:rFonts w:ascii="仿宋_GB2312" w:eastAsia="仿宋_GB2312"/>
          <w:sz w:val="32"/>
          <w:szCs w:val="32"/>
          <w:highlight w:val="none"/>
          <w:lang w:eastAsia="zh-CN"/>
        </w:rPr>
      </w:pPr>
      <w:r>
        <w:rPr>
          <w:rFonts w:ascii="仿宋_GB2312" w:eastAsia="仿宋_GB2312"/>
          <w:sz w:val="32"/>
          <w:szCs w:val="32"/>
          <w:lang w:eastAsia="zh-CN"/>
        </w:rPr>
        <w:t>3、社会保障和就业支出（类）行政事业单位养老支出（款）</w:t>
      </w:r>
      <w:r>
        <w:rPr>
          <w:rFonts w:ascii="仿宋_GB2312" w:eastAsia="仿宋_GB2312"/>
          <w:sz w:val="32"/>
          <w:szCs w:val="32"/>
          <w:highlight w:val="none"/>
          <w:lang w:eastAsia="zh-CN"/>
        </w:rPr>
        <w:t>机关事业单位职业年金缴费支出（项）：支出决算数为0.00万元，比上年决算减少0.63万元，下降100.00%，主要原因是：本年没人员调离、辞职或者退休</w:t>
      </w:r>
      <w:r>
        <w:rPr>
          <w:rFonts w:hint="eastAsia" w:ascii="仿宋_GB2312" w:eastAsia="仿宋_GB2312"/>
          <w:sz w:val="32"/>
          <w:szCs w:val="32"/>
          <w:highlight w:val="none"/>
          <w:lang w:eastAsia="zh-CN"/>
        </w:rPr>
        <w:t>，</w:t>
      </w:r>
      <w:r>
        <w:rPr>
          <w:rFonts w:hint="eastAsia" w:ascii="仿宋_GB2312" w:eastAsia="仿宋_GB2312"/>
          <w:sz w:val="32"/>
          <w:szCs w:val="32"/>
          <w:highlight w:val="none"/>
          <w:lang w:val="en-US" w:eastAsia="zh-CN"/>
        </w:rPr>
        <w:t>未产生支出</w:t>
      </w:r>
      <w:r>
        <w:rPr>
          <w:rFonts w:ascii="仿宋_GB2312" w:eastAsia="仿宋_GB2312"/>
          <w:sz w:val="32"/>
          <w:szCs w:val="32"/>
          <w:highlight w:val="none"/>
          <w:lang w:eastAsia="zh-CN"/>
        </w:rPr>
        <w:t>。</w:t>
      </w:r>
    </w:p>
    <w:p w14:paraId="1B99F125">
      <w:pPr>
        <w:spacing w:after="0" w:line="240" w:lineRule="auto"/>
        <w:ind w:firstLine="640" w:firstLineChars="200"/>
        <w:rPr>
          <w:rFonts w:ascii="仿宋_GB2312" w:eastAsia="仿宋_GB2312"/>
          <w:sz w:val="32"/>
          <w:szCs w:val="32"/>
          <w:lang w:eastAsia="zh-CN"/>
        </w:rPr>
      </w:pPr>
      <w:r>
        <w:rPr>
          <w:rFonts w:ascii="仿宋_GB2312" w:eastAsia="仿宋_GB2312"/>
          <w:sz w:val="32"/>
          <w:szCs w:val="32"/>
          <w:highlight w:val="none"/>
          <w:lang w:eastAsia="zh-CN"/>
        </w:rPr>
        <w:t>4、卫生健康支出（类）行政事业单位医疗（款）事业单位医疗（项）：支出决算数为5.56万元，比上年决算</w:t>
      </w:r>
      <w:r>
        <w:rPr>
          <w:rFonts w:ascii="仿宋_GB2312" w:eastAsia="仿宋_GB2312"/>
          <w:sz w:val="32"/>
          <w:szCs w:val="32"/>
          <w:lang w:eastAsia="zh-CN"/>
        </w:rPr>
        <w:t>增加0.63万元，增长12.78%，主要原因是：因社保类缴费基数上调，</w:t>
      </w:r>
      <w:r>
        <w:rPr>
          <w:rFonts w:hint="eastAsia" w:ascii="仿宋_GB2312" w:eastAsia="仿宋_GB2312"/>
          <w:sz w:val="32"/>
          <w:szCs w:val="32"/>
          <w:lang w:val="en-US" w:eastAsia="zh-CN"/>
        </w:rPr>
        <w:t>导致</w:t>
      </w:r>
      <w:r>
        <w:rPr>
          <w:rFonts w:ascii="仿宋_GB2312" w:eastAsia="仿宋_GB2312"/>
          <w:sz w:val="32"/>
          <w:szCs w:val="32"/>
          <w:lang w:eastAsia="zh-CN"/>
        </w:rPr>
        <w:t>相关支出较增加。</w:t>
      </w:r>
    </w:p>
    <w:p w14:paraId="4076E362">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5、卫生健康支出（类）行政事业单位医疗（款）公务员医疗补助（项）：支出决算数为4.69万元，比上年决算增加0.17万元，增长3.76%，主要原因是：因社保类缴费基数上调，</w:t>
      </w:r>
      <w:r>
        <w:rPr>
          <w:rFonts w:hint="eastAsia" w:ascii="仿宋_GB2312" w:eastAsia="仿宋_GB2312"/>
          <w:sz w:val="32"/>
          <w:szCs w:val="32"/>
          <w:lang w:val="en-US" w:eastAsia="zh-CN"/>
        </w:rPr>
        <w:t>导致</w:t>
      </w:r>
      <w:r>
        <w:rPr>
          <w:rFonts w:ascii="仿宋_GB2312" w:eastAsia="仿宋_GB2312"/>
          <w:sz w:val="32"/>
          <w:szCs w:val="32"/>
          <w:lang w:eastAsia="zh-CN"/>
        </w:rPr>
        <w:t>相关支出较增加。</w:t>
      </w:r>
    </w:p>
    <w:p w14:paraId="44EFC6B5">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6、资源勘探工业信息等支出（类）工业和信息产业监管（款）事业运行（项）：支出决算数为89.60万元，比上年决算增加4.32万元，增长5.07%，主要原因是：</w:t>
      </w:r>
      <w:r>
        <w:rPr>
          <w:rFonts w:hint="eastAsia" w:ascii="仿宋_GB2312" w:eastAsia="仿宋_GB2312"/>
          <w:sz w:val="32"/>
          <w:szCs w:val="32"/>
          <w:lang w:val="en-US" w:eastAsia="zh-CN"/>
        </w:rPr>
        <w:t>人员经费</w:t>
      </w:r>
      <w:r>
        <w:rPr>
          <w:rFonts w:ascii="仿宋_GB2312" w:eastAsia="仿宋_GB2312"/>
          <w:sz w:val="32"/>
          <w:szCs w:val="32"/>
          <w:lang w:eastAsia="zh-CN"/>
        </w:rPr>
        <w:t>调整。</w:t>
      </w:r>
    </w:p>
    <w:p w14:paraId="7B0FD2EB">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7、资源勘探工业信息等支出（类）工业和信息产业监管（款）其他工业和信息产业监管支出（项）：支出决算数为12.00万元，与上年相比无变化，主要原因是：按照年初预算执行。</w:t>
      </w:r>
    </w:p>
    <w:p w14:paraId="3C9B8917">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8、住房保障支出（类）住房改革支出（款）住房公积金（项）：支出决算数为8.04万元，比上年决算增加0.74万元，增长10.14%，主要原因是：因社保类缴费基数上调，</w:t>
      </w:r>
      <w:r>
        <w:rPr>
          <w:rFonts w:hint="eastAsia" w:ascii="仿宋_GB2312" w:eastAsia="仿宋_GB2312"/>
          <w:sz w:val="32"/>
          <w:szCs w:val="32"/>
          <w:lang w:val="en-US" w:eastAsia="zh-CN"/>
        </w:rPr>
        <w:t>导致</w:t>
      </w:r>
      <w:r>
        <w:rPr>
          <w:rFonts w:ascii="仿宋_GB2312" w:eastAsia="仿宋_GB2312"/>
          <w:sz w:val="32"/>
          <w:szCs w:val="32"/>
          <w:lang w:eastAsia="zh-CN"/>
        </w:rPr>
        <w:t>相关支出较增加。</w:t>
      </w:r>
    </w:p>
    <w:p w14:paraId="32227C2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1DFF6DD1">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一般公共预算财政拨款基本支出120.94万元，其中：人员经费113.60万元，包括：基本工资、津贴补贴、奖金、绩效工资、机关事业单位基本养老保险缴费、职工基本医疗保险缴费、公务员医疗补助缴费、其他社会保障缴费、住房公积金、退休费和奖励金。</w:t>
      </w:r>
    </w:p>
    <w:p w14:paraId="3F09B27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公用经费7.34万元，包括：办公费、水费、电费、邮电费、差旅费、培训费、工会经费、福利费和公务用车运行维护费。</w:t>
      </w:r>
    </w:p>
    <w:p w14:paraId="7FB74EB4">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101FCC0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0246FB72">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1EB0626E">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765EE881">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九、财政拨款“三公”经费支出决算情况说明</w:t>
      </w:r>
    </w:p>
    <w:p w14:paraId="02128FC7">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财政拨款“三公”经费支出1.58万元，比上年增加0.72万元，增长83.72%，主要原因是：严格执行中央八项规定及实施细则，2024年业务活动增加，车辆运行维护费用较上年增加0.72万元。其中：因公出国（境）费支出0.00万元,占0.00%，与上年相比无变化，主要原因是：我单位无因公出国（境）费；公务用车购置及运行维护费支出1.58万元，占100.00%，比上年增加0.72万元，增长83.72%，主要原因是：2024年业务活动增加，车辆运行维护费用较上年增加；公务接待费支出0.00万元，占0.00%，与上年相比无变化，主要原因是：严格执行中央八项规定及实施细则，严格控制公务接待事项。</w:t>
      </w:r>
    </w:p>
    <w:p w14:paraId="37B53464">
      <w:pPr>
        <w:spacing w:after="0" w:line="240" w:lineRule="auto"/>
        <w:ind w:firstLine="640" w:firstLineChars="200"/>
        <w:rPr>
          <w:rFonts w:ascii="仿宋_GB2312" w:eastAsia="仿宋_GB2312"/>
          <w:sz w:val="32"/>
          <w:szCs w:val="32"/>
          <w:lang w:eastAsia="zh-CN"/>
        </w:rPr>
      </w:pPr>
      <w:r>
        <w:rPr>
          <w:rFonts w:ascii="仿宋_GB2312" w:eastAsia="仿宋_GB2312"/>
          <w:sz w:val="32"/>
          <w:szCs w:val="32"/>
          <w:lang w:eastAsia="zh-CN"/>
        </w:rPr>
        <w:t>具体情况如下：</w:t>
      </w:r>
    </w:p>
    <w:p w14:paraId="6C7E689A">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因公出国（境）费支出0.00万元，开支内容包括无。单位全年安排的因公出国（境）团组0个，因公出国（境）0人次。</w:t>
      </w:r>
    </w:p>
    <w:p w14:paraId="159D4CC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用车购置及运行维护费1.58万元，其中：公务用车购置费0.00万元，公务用车运行维护费1.58万元。公务用车运行维护费开支内容包括车辆保险、停车过路费、车辆加油、车辆维修等费用。公务用车购置数0辆，公务用车保有量2辆。国有资产占用情况中固定资产车辆2辆，与公务用车保有量差异原因是：我单位无差异。</w:t>
      </w:r>
    </w:p>
    <w:p w14:paraId="26003A88">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公务接待费0.00万元，开支内容包括无。单位全年安排的国内公务接待0批次，0人次。</w:t>
      </w:r>
    </w:p>
    <w:p w14:paraId="0A90682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与全年预算相比，财政拨款“三公”经费支出全年预算数1.58万元，决算数1.58万元，预决算差异率0.00%，主要原因是：严格执行年初预算。其中：因公出国（境）费全年预算数0.00万元，决算数0.00万元，预决算差异率0.00%，主要原因是：</w:t>
      </w:r>
      <w:r>
        <w:rPr>
          <w:rFonts w:hint="eastAsia" w:ascii="仿宋_GB2312" w:eastAsia="仿宋_GB2312"/>
          <w:sz w:val="32"/>
          <w:szCs w:val="32"/>
          <w:lang w:val="en-US" w:eastAsia="zh-CN"/>
        </w:rPr>
        <w:t>我单位</w:t>
      </w:r>
      <w:r>
        <w:rPr>
          <w:rFonts w:ascii="仿宋_GB2312" w:eastAsia="仿宋_GB2312"/>
          <w:sz w:val="32"/>
          <w:szCs w:val="32"/>
          <w:lang w:eastAsia="zh-CN"/>
        </w:rPr>
        <w:t>无相关预算及支出；公务用车购置费全年预算数0.00万元，决算数0.00万元，预决算差异率0.00%，主要原因是：</w:t>
      </w:r>
      <w:r>
        <w:rPr>
          <w:rFonts w:hint="eastAsia" w:ascii="仿宋_GB2312" w:eastAsia="仿宋_GB2312"/>
          <w:sz w:val="32"/>
          <w:szCs w:val="32"/>
          <w:lang w:val="en-US" w:eastAsia="zh-CN"/>
        </w:rPr>
        <w:t>我单位</w:t>
      </w:r>
      <w:bookmarkStart w:id="0" w:name="_GoBack"/>
      <w:bookmarkEnd w:id="0"/>
      <w:r>
        <w:rPr>
          <w:rFonts w:ascii="仿宋_GB2312" w:eastAsia="仿宋_GB2312"/>
          <w:sz w:val="32"/>
          <w:szCs w:val="32"/>
          <w:lang w:eastAsia="zh-CN"/>
        </w:rPr>
        <w:t>无相关预算及支出；公务用车运行维护费全年预算数1.58万元，决算数1.58万元，预决算差异率0.00%，主要原因是：严格执行年初预算；公务接待费全年预算数0.00万元，决算数0.00万元，预决算差异率0.00%，主要原因是：无相关预算及支出。</w:t>
      </w:r>
    </w:p>
    <w:p w14:paraId="7E34A873">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十、其他重要事项的情况说明</w:t>
      </w:r>
    </w:p>
    <w:p w14:paraId="7ED75952">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38B13870">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2024年度新疆维吾尔自治区卫星产业发展中心单位（事业单位）公用经费支出7.34万元，比上年减少2.11万元，下降22.33%，主要原因是：严格落实厉行节约要求，压缩一般性支出。</w:t>
      </w:r>
    </w:p>
    <w:p w14:paraId="59897D25">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（二）政府采购情况</w:t>
      </w:r>
    </w:p>
    <w:p w14:paraId="0D7BA7BC">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2024年度政府采购支出总额99.33万元，其中：政府采购货物支出63.53万元、政府采购工程支出0.00万元、政府采购服务支出35.81万元。</w:t>
      </w:r>
    </w:p>
    <w:p w14:paraId="373231E2">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授予中小企业合同金额43.71万元，占政府采购支出总额的44.00%，其中：授予小微企业合同金额28.52万元，占政府采购支出总额的28.71%。</w:t>
      </w:r>
    </w:p>
    <w:p w14:paraId="4620B1F3">
      <w:pPr>
        <w:spacing w:after="0" w:line="240" w:lineRule="auto"/>
        <w:ind w:firstLine="643" w:firstLineChars="200"/>
        <w:outlineLvl w:val="2"/>
        <w:rPr>
          <w:rFonts w:ascii="黑体" w:eastAsia="黑体"/>
          <w:sz w:val="32"/>
          <w:szCs w:val="32"/>
          <w:lang w:eastAsia="zh-CN"/>
        </w:rPr>
      </w:pPr>
      <w:r>
        <w:rPr>
          <w:rFonts w:ascii="黑体" w:eastAsia="黑体"/>
          <w:b/>
          <w:sz w:val="32"/>
          <w:szCs w:val="32"/>
          <w:lang w:eastAsia="zh-CN"/>
        </w:rPr>
        <w:t>（三）国有资产占用情况说明</w:t>
      </w:r>
    </w:p>
    <w:p w14:paraId="137317B5">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rPr>
        <w:t>截至2024年12月31日，房屋0.00平方米，价值0.00万元。</w:t>
      </w:r>
      <w:r>
        <w:rPr>
          <w:rFonts w:ascii="仿宋_GB2312" w:eastAsia="仿宋_GB2312"/>
          <w:sz w:val="32"/>
          <w:szCs w:val="32"/>
          <w:lang w:eastAsia="zh-CN"/>
        </w:rPr>
        <w:t>车辆2辆，价值119.40万元，其中：副部（省）级及以上领导用车0辆、主要负责人用车0辆、机要通信用车0辆、应急保障用车0辆、执法执勤用车0辆、特种专业技术用车1辆、离退休干部服务用车0辆、其他用车1辆，其他用车主要是：单位业务用车;单价100万元（含）以上设备（不含车辆）3台（套）。</w:t>
      </w:r>
    </w:p>
    <w:p w14:paraId="02C6B93C">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十一、预算绩效的情况说明</w:t>
      </w:r>
    </w:p>
    <w:p w14:paraId="4EE0533A">
      <w:pPr>
        <w:spacing w:after="0" w:line="240" w:lineRule="auto"/>
        <w:ind w:firstLine="640" w:firstLineChars="200"/>
        <w:jc w:val="both"/>
        <w:rPr>
          <w:rFonts w:ascii="仿宋_GB2312" w:eastAsia="仿宋_GB2312"/>
          <w:sz w:val="32"/>
          <w:szCs w:val="32"/>
          <w:lang w:eastAsia="zh-CN"/>
        </w:rPr>
      </w:pPr>
      <w:r>
        <w:rPr>
          <w:rFonts w:hint="eastAsia" w:ascii="仿宋_GB2312" w:eastAsia="仿宋_GB2312"/>
          <w:sz w:val="32"/>
          <w:szCs w:val="32"/>
          <w:lang w:eastAsia="zh-CN"/>
        </w:rPr>
        <w:t>根据预算绩效管理要求，我单位2024年度预算绩效评价项目</w:t>
      </w:r>
      <w:r>
        <w:rPr>
          <w:rFonts w:ascii="仿宋_GB2312" w:eastAsia="仿宋_GB2312"/>
          <w:sz w:val="32"/>
          <w:szCs w:val="32"/>
          <w:lang w:eastAsia="zh-CN"/>
        </w:rPr>
        <w:t>2个，全年预算数149.05万元，全年执行数121.79万元。预算绩效管理取得的成效：一是严格按照《会计法》《预算法》《采购法》等制度规定执行；二是不断修订完善内部控制制度,规范各项预算执行活动,严格执行《工信厅全面预算绩效管理办法》，实际执行中严格实施,有力保障了预算执行的准确性、规范性,发挥了财政资金的最大效用,取得了良好的绩效成果。发现的问题及原因：组织开展重点项目绩效评价工作时,项目采购、合同执行周期长，预算执行率低，致使项目绩效监控节点时，影响单位整体绩效评价总体分值。下一步改进措施：一是继续完善各项内控制度,加强制度落实,不断提高财政预算执行的准确性、规范性；二是按要求完成绩效目标,切实发挥好财政资金的效用。</w:t>
      </w:r>
      <w:r>
        <w:rPr>
          <w:rFonts w:hint="eastAsia" w:ascii="仿宋_GB2312" w:eastAsia="仿宋_GB2312"/>
          <w:sz w:val="32"/>
          <w:szCs w:val="32"/>
          <w:lang w:eastAsia="zh-CN"/>
        </w:rPr>
        <w:t>具体项目自评情况附绩效自评表及自评报告</w:t>
      </w:r>
      <w:r>
        <w:rPr>
          <w:rFonts w:ascii="仿宋_GB2312" w:eastAsia="仿宋_GB2312"/>
          <w:sz w:val="32"/>
          <w:szCs w:val="32"/>
          <w:lang w:eastAsia="zh-CN"/>
        </w:rPr>
        <w:t>。</w:t>
      </w:r>
    </w:p>
    <w:p w14:paraId="3116D3D8">
      <w:pPr>
        <w:spacing w:after="0" w:line="240" w:lineRule="auto"/>
        <w:ind w:firstLine="640" w:firstLineChars="200"/>
        <w:outlineLvl w:val="1"/>
        <w:rPr>
          <w:rFonts w:ascii="黑体" w:eastAsia="黑体"/>
          <w:sz w:val="32"/>
          <w:szCs w:val="32"/>
          <w:lang w:eastAsia="zh-CN"/>
        </w:rPr>
      </w:pPr>
      <w:r>
        <w:rPr>
          <w:rFonts w:ascii="黑体" w:eastAsia="黑体"/>
          <w:sz w:val="32"/>
          <w:szCs w:val="32"/>
          <w:lang w:eastAsia="zh-CN"/>
        </w:rPr>
        <w:t>十二、其他需说明的事项</w:t>
      </w:r>
    </w:p>
    <w:p w14:paraId="55D1309D">
      <w:pPr>
        <w:spacing w:after="0" w:line="240" w:lineRule="auto"/>
        <w:ind w:firstLine="640" w:firstLineChars="20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4BDB69FD">
      <w:pPr>
        <w:spacing w:after="0" w:line="240" w:lineRule="auto"/>
        <w:ind w:firstLine="640" w:firstLineChars="200"/>
        <w:rPr>
          <w:rFonts w:ascii="仿宋_GB2312" w:eastAsia="仿宋_GB2312"/>
          <w:sz w:val="32"/>
          <w:szCs w:val="32"/>
          <w:lang w:eastAsia="zh-CN"/>
        </w:rPr>
      </w:pPr>
    </w:p>
    <w:p w14:paraId="110A42ED">
      <w:pPr>
        <w:rPr>
          <w:lang w:eastAsia="zh-CN"/>
        </w:rPr>
      </w:pPr>
      <w:r>
        <w:rPr>
          <w:sz w:val="0"/>
          <w:szCs w:val="0"/>
          <w:lang w:eastAsia="zh-CN"/>
        </w:rPr>
        <w:br w:type="page"/>
      </w:r>
    </w:p>
    <w:p w14:paraId="6A42BB82">
      <w:pPr>
        <w:spacing w:after="0" w:line="240" w:lineRule="auto"/>
        <w:jc w:val="center"/>
        <w:outlineLvl w:val="0"/>
        <w:rPr>
          <w:rFonts w:ascii="黑体" w:eastAsia="黑体"/>
          <w:sz w:val="32"/>
          <w:szCs w:val="32"/>
          <w:lang w:eastAsia="zh-CN"/>
        </w:rPr>
      </w:pPr>
      <w:r>
        <w:rPr>
          <w:rFonts w:ascii="黑体" w:eastAsia="黑体"/>
          <w:sz w:val="32"/>
          <w:szCs w:val="32"/>
          <w:lang w:eastAsia="zh-CN"/>
        </w:rPr>
        <w:t>第三部分专业名词解释</w:t>
      </w:r>
    </w:p>
    <w:p w14:paraId="1606708C">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074BBE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E03B624">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38325355">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280F9907">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4A6B93CE">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指除上述“财政拨款收入”、“事业收入”、“经营收入”、“附属单位上缴收入”等之外取得的收入。</w:t>
      </w:r>
    </w:p>
    <w:p w14:paraId="6C194A1F">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7E121FCD">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B5477B2">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43CAD34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31E66C2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14AA87C6">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3470EA7A">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十三、“三公”经费：</w:t>
      </w:r>
      <w:r>
        <w:rPr>
          <w:rFonts w:ascii="仿宋_GB2312" w:eastAsia="仿宋_GB2312"/>
          <w:sz w:val="32"/>
          <w:szCs w:val="32"/>
          <w:lang w:eastAsia="zh-CN"/>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CD1F13">
      <w:pPr>
        <w:spacing w:after="0" w:line="240" w:lineRule="auto"/>
        <w:ind w:firstLine="643" w:firstLineChars="20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1B0E01F9">
      <w:pPr>
        <w:rPr>
          <w:lang w:eastAsia="zh-CN"/>
        </w:rPr>
      </w:pPr>
      <w:r>
        <w:rPr>
          <w:sz w:val="0"/>
          <w:szCs w:val="0"/>
          <w:lang w:eastAsia="zh-CN"/>
        </w:rPr>
        <w:br w:type="page"/>
      </w:r>
    </w:p>
    <w:p w14:paraId="11E5BB83">
      <w:pPr>
        <w:spacing w:after="0" w:line="240" w:lineRule="auto"/>
        <w:jc w:val="center"/>
        <w:outlineLvl w:val="0"/>
        <w:rPr>
          <w:rFonts w:ascii="黑体" w:eastAsia="黑体"/>
          <w:sz w:val="32"/>
          <w:szCs w:val="32"/>
          <w:lang w:eastAsia="zh-CN"/>
        </w:rPr>
      </w:pPr>
      <w:r>
        <w:rPr>
          <w:rFonts w:ascii="黑体" w:eastAsia="黑体"/>
          <w:sz w:val="32"/>
          <w:szCs w:val="32"/>
          <w:lang w:eastAsia="zh-CN"/>
        </w:rPr>
        <w:t>第四部分部门决算报表（见附表）</w:t>
      </w:r>
    </w:p>
    <w:p w14:paraId="656E5853">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5C1C12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二、《收入决算表》</w:t>
      </w:r>
    </w:p>
    <w:p w14:paraId="744818AB">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三、《支出决算表》</w:t>
      </w:r>
    </w:p>
    <w:p w14:paraId="51C75279">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EF5EDF5">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262EC242">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3E97053C">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15CE5DC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48BC0DF6">
      <w:pPr>
        <w:spacing w:after="0" w:line="240" w:lineRule="auto"/>
        <w:ind w:firstLine="640" w:firstLineChars="200"/>
        <w:outlineLvl w:val="1"/>
        <w:rPr>
          <w:rFonts w:ascii="仿宋_GB2312" w:eastAsia="仿宋_GB2312"/>
          <w:sz w:val="32"/>
          <w:szCs w:val="32"/>
          <w:lang w:eastAsia="zh-CN"/>
        </w:rPr>
      </w:pPr>
      <w:r>
        <w:rPr>
          <w:rFonts w:ascii="仿宋_GB2312" w:eastAsia="仿宋_GB2312"/>
          <w:sz w:val="32"/>
          <w:szCs w:val="32"/>
          <w:lang w:eastAsia="zh-CN"/>
        </w:rPr>
        <w:t>九、《财政拨款“三公”经费支出决算表》</w:t>
      </w:r>
    </w:p>
    <w:sectPr>
      <w:pgSz w:w="12240" w:h="15840"/>
      <w:pgMar w:top="1440" w:right="1800" w:bottom="1440" w:left="1800"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characterSpacingControl w:val="doNotCompress"/>
  <w:footnotePr>
    <w:footnote w:id="0"/>
    <w:footnote w:id="1"/>
  </w:footnotePr>
  <w:endnotePr>
    <w:endnote w:id="0"/>
    <w:endnote w:id="1"/>
  </w:endnotePr>
  <w:compat>
    <w:useFELayout/>
    <w:compatSetting w:name="compatibilityMode" w:uri="http://schemas.microsoft.com/office/word" w:val="12"/>
    <w:compatSetting w:name="overrideTableStyleFontSizeAndJustification" w:uri="http://schemas.microsoft.com/office/word" w:val="1"/>
  </w:compat>
  <w:rsids>
    <w:rsidRoot w:val="003E60DB"/>
    <w:rsid w:val="003E60DB"/>
    <w:rsid w:val="005E622F"/>
    <w:rsid w:val="00A44C79"/>
    <w:rsid w:val="00E314E5"/>
    <w:rsid w:val="01423C53"/>
    <w:rsid w:val="16FB4EBA"/>
    <w:rsid w:val="1E060387"/>
    <w:rsid w:val="1FD852A2"/>
    <w:rsid w:val="24977834"/>
    <w:rsid w:val="2B713280"/>
    <w:rsid w:val="2CBB44E2"/>
    <w:rsid w:val="30C96FC7"/>
    <w:rsid w:val="393D55A1"/>
    <w:rsid w:val="39EF6B4E"/>
    <w:rsid w:val="43095949"/>
    <w:rsid w:val="4BF4363A"/>
    <w:rsid w:val="4E6F0D56"/>
    <w:rsid w:val="4FE13ED5"/>
    <w:rsid w:val="56165AC1"/>
    <w:rsid w:val="649317EA"/>
    <w:rsid w:val="65DF28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uiPriority="99" w:name="heading 5"/>
    <w:lsdException w:uiPriority="99"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99" w:name="toc 1"/>
    <w:lsdException w:uiPriority="99" w:name="toc 2"/>
    <w:lsdException w:uiPriority="99" w:name="toc 3"/>
    <w:lsdException w:uiPriority="99" w:name="toc 4"/>
    <w:lsdException w:uiPriority="99" w:name="toc 5"/>
    <w:lsdException w:uiPriority="99" w:name="toc 6"/>
    <w:lsdException w:uiPriority="99" w:name="toc 7"/>
    <w:lsdException w:uiPriority="99" w:name="toc 8"/>
    <w:lsdException w:uiPriority="99" w:name="toc 9"/>
    <w:lsdException w:qFormat="1"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uiPriority="99"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2">
    <w:name w:val="heading 1"/>
    <w:basedOn w:val="1"/>
    <w:next w:val="1"/>
    <w:link w:val="18"/>
    <w:qFormat/>
    <w:uiPriority w:val="9"/>
    <w:pPr>
      <w:keepNext/>
      <w:keepLines/>
      <w:spacing w:before="480"/>
      <w:outlineLvl w:val="0"/>
    </w:pPr>
    <w:rPr>
      <w:rFonts w:asciiTheme="majorHAnsi" w:hAnsiTheme="majorHAnsi" w:eastAsiaTheme="majorEastAsia" w:cstheme="majorBidi"/>
      <w:b/>
      <w:bCs/>
      <w:color w:val="366091" w:themeColor="accent1" w:themeShade="BF"/>
      <w:sz w:val="28"/>
      <w:szCs w:val="28"/>
    </w:rPr>
  </w:style>
  <w:style w:type="paragraph" w:styleId="3">
    <w:name w:val="heading 2"/>
    <w:basedOn w:val="1"/>
    <w:next w:val="1"/>
    <w:link w:val="19"/>
    <w:unhideWhenUsed/>
    <w:qFormat/>
    <w:uiPriority w:val="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4">
    <w:name w:val="heading 3"/>
    <w:basedOn w:val="1"/>
    <w:next w:val="1"/>
    <w:link w:val="20"/>
    <w:unhideWhenUsed/>
    <w:qFormat/>
    <w:uiPriority w:val="9"/>
    <w:pPr>
      <w:keepNext/>
      <w:keepLines/>
      <w:spacing w:before="200"/>
      <w:outlineLvl w:val="2"/>
    </w:pPr>
    <w:rPr>
      <w:rFonts w:asciiTheme="majorHAnsi" w:hAnsiTheme="majorHAnsi" w:eastAsiaTheme="majorEastAsia" w:cstheme="majorBidi"/>
      <w:b/>
      <w:bCs/>
      <w:color w:val="4F81BD" w:themeColor="accent1"/>
    </w:rPr>
  </w:style>
  <w:style w:type="paragraph" w:styleId="5">
    <w:name w:val="heading 4"/>
    <w:basedOn w:val="1"/>
    <w:next w:val="1"/>
    <w:link w:val="21"/>
    <w:unhideWhenUsed/>
    <w:qFormat/>
    <w:uiPriority w:val="9"/>
    <w:pPr>
      <w:keepNext/>
      <w:keepLines/>
      <w:spacing w:before="200"/>
      <w:outlineLvl w:val="3"/>
    </w:pPr>
    <w:rPr>
      <w:rFonts w:asciiTheme="majorHAnsi" w:hAnsiTheme="majorHAnsi" w:eastAsiaTheme="majorEastAsia" w:cstheme="majorBidi"/>
      <w:b/>
      <w:bCs/>
      <w:i/>
      <w:iCs/>
      <w:color w:val="4F81BD" w:themeColor="accent1"/>
    </w:rPr>
  </w:style>
  <w:style w:type="character" w:default="1" w:styleId="14">
    <w:name w:val="Default Paragraph Font"/>
    <w:unhideWhenUsed/>
    <w:qFormat/>
    <w:uiPriority w:val="1"/>
  </w:style>
  <w:style w:type="table" w:default="1" w:styleId="12">
    <w:name w:val="Normal Table"/>
    <w:unhideWhenUsed/>
    <w:qFormat/>
    <w:uiPriority w:val="99"/>
    <w:tblPr>
      <w:tblCellMar>
        <w:top w:w="0" w:type="dxa"/>
        <w:left w:w="108" w:type="dxa"/>
        <w:bottom w:w="0" w:type="dxa"/>
        <w:right w:w="108" w:type="dxa"/>
      </w:tblCellMar>
    </w:tblPr>
  </w:style>
  <w:style w:type="paragraph" w:styleId="6">
    <w:name w:val="Normal Indent"/>
    <w:basedOn w:val="1"/>
    <w:unhideWhenUsed/>
    <w:qFormat/>
    <w:uiPriority w:val="99"/>
    <w:pPr>
      <w:ind w:left="720"/>
    </w:pPr>
  </w:style>
  <w:style w:type="paragraph" w:styleId="7">
    <w:name w:val="caption"/>
    <w:basedOn w:val="1"/>
    <w:next w:val="1"/>
    <w:unhideWhenUsed/>
    <w:qFormat/>
    <w:uiPriority w:val="35"/>
    <w:pPr>
      <w:spacing w:line="240" w:lineRule="auto"/>
    </w:pPr>
    <w:rPr>
      <w:b/>
      <w:bCs/>
      <w:color w:val="4F81BD" w:themeColor="accent1"/>
      <w:sz w:val="18"/>
      <w:szCs w:val="18"/>
    </w:rPr>
  </w:style>
  <w:style w:type="paragraph" w:styleId="8">
    <w:name w:val="footer"/>
    <w:basedOn w:val="1"/>
    <w:link w:val="24"/>
    <w:unhideWhenUsed/>
    <w:qFormat/>
    <w:uiPriority w:val="99"/>
    <w:pPr>
      <w:tabs>
        <w:tab w:val="center" w:pos="4153"/>
        <w:tab w:val="right" w:pos="8306"/>
      </w:tabs>
      <w:snapToGrid w:val="0"/>
      <w:spacing w:line="240" w:lineRule="auto"/>
    </w:pPr>
    <w:rPr>
      <w:sz w:val="18"/>
      <w:szCs w:val="18"/>
    </w:rPr>
  </w:style>
  <w:style w:type="paragraph" w:styleId="9">
    <w:name w:val="header"/>
    <w:basedOn w:val="1"/>
    <w:link w:val="17"/>
    <w:unhideWhenUsed/>
    <w:qFormat/>
    <w:uiPriority w:val="99"/>
    <w:pPr>
      <w:tabs>
        <w:tab w:val="center" w:pos="4680"/>
        <w:tab w:val="right" w:pos="9360"/>
      </w:tabs>
    </w:pPr>
  </w:style>
  <w:style w:type="paragraph" w:styleId="10">
    <w:name w:val="Subtitle"/>
    <w:basedOn w:val="1"/>
    <w:next w:val="1"/>
    <w:link w:val="22"/>
    <w:qFormat/>
    <w:uiPriority w:val="11"/>
    <w:pPr>
      <w:ind w:left="86"/>
    </w:pPr>
    <w:rPr>
      <w:rFonts w:asciiTheme="majorHAnsi" w:hAnsiTheme="majorHAnsi" w:eastAsiaTheme="majorEastAsia" w:cstheme="majorBidi"/>
      <w:i/>
      <w:iCs/>
      <w:color w:val="4F81BD" w:themeColor="accent1"/>
      <w:spacing w:val="15"/>
      <w:sz w:val="24"/>
      <w:szCs w:val="24"/>
    </w:rPr>
  </w:style>
  <w:style w:type="paragraph" w:styleId="11">
    <w:name w:val="Title"/>
    <w:basedOn w:val="1"/>
    <w:next w:val="1"/>
    <w:link w:val="23"/>
    <w:qFormat/>
    <w:uiPriority w:val="10"/>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table" w:styleId="13">
    <w:name w:val="Table Grid"/>
    <w:basedOn w:val="12"/>
    <w:qFormat/>
    <w:uiPriority w:val="59"/>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15">
    <w:name w:val="Emphasis"/>
    <w:basedOn w:val="14"/>
    <w:qFormat/>
    <w:uiPriority w:val="20"/>
    <w:rPr>
      <w:i/>
      <w:iCs/>
    </w:rPr>
  </w:style>
  <w:style w:type="character" w:styleId="16">
    <w:name w:val="Hyperlink"/>
    <w:basedOn w:val="14"/>
    <w:unhideWhenUsed/>
    <w:qFormat/>
    <w:uiPriority w:val="99"/>
    <w:rPr>
      <w:color w:val="0000FF" w:themeColor="hyperlink"/>
      <w:u w:val="single"/>
    </w:rPr>
  </w:style>
  <w:style w:type="character" w:customStyle="1" w:styleId="17">
    <w:name w:val="页眉 Char"/>
    <w:basedOn w:val="14"/>
    <w:link w:val="9"/>
    <w:qFormat/>
    <w:uiPriority w:val="99"/>
  </w:style>
  <w:style w:type="character" w:customStyle="1" w:styleId="18">
    <w:name w:val="标题 1 Char"/>
    <w:basedOn w:val="14"/>
    <w:link w:val="2"/>
    <w:qFormat/>
    <w:uiPriority w:val="9"/>
    <w:rPr>
      <w:rFonts w:asciiTheme="majorHAnsi" w:hAnsiTheme="majorHAnsi" w:eastAsiaTheme="majorEastAsia" w:cstheme="majorBidi"/>
      <w:b/>
      <w:bCs/>
      <w:color w:val="366091" w:themeColor="accent1" w:themeShade="BF"/>
      <w:sz w:val="28"/>
      <w:szCs w:val="28"/>
    </w:rPr>
  </w:style>
  <w:style w:type="character" w:customStyle="1" w:styleId="19">
    <w:name w:val="标题 2 Char"/>
    <w:basedOn w:val="14"/>
    <w:link w:val="3"/>
    <w:qFormat/>
    <w:uiPriority w:val="9"/>
    <w:rPr>
      <w:rFonts w:asciiTheme="majorHAnsi" w:hAnsiTheme="majorHAnsi" w:eastAsiaTheme="majorEastAsia" w:cstheme="majorBidi"/>
      <w:b/>
      <w:bCs/>
      <w:color w:val="4F81BD" w:themeColor="accent1"/>
      <w:sz w:val="26"/>
      <w:szCs w:val="26"/>
    </w:rPr>
  </w:style>
  <w:style w:type="character" w:customStyle="1" w:styleId="20">
    <w:name w:val="标题 3 Char"/>
    <w:basedOn w:val="14"/>
    <w:link w:val="4"/>
    <w:qFormat/>
    <w:uiPriority w:val="9"/>
    <w:rPr>
      <w:rFonts w:asciiTheme="majorHAnsi" w:hAnsiTheme="majorHAnsi" w:eastAsiaTheme="majorEastAsia" w:cstheme="majorBidi"/>
      <w:b/>
      <w:bCs/>
      <w:color w:val="4F81BD" w:themeColor="accent1"/>
    </w:rPr>
  </w:style>
  <w:style w:type="character" w:customStyle="1" w:styleId="21">
    <w:name w:val="标题 4 Char"/>
    <w:basedOn w:val="14"/>
    <w:link w:val="5"/>
    <w:qFormat/>
    <w:uiPriority w:val="9"/>
    <w:rPr>
      <w:rFonts w:asciiTheme="majorHAnsi" w:hAnsiTheme="majorHAnsi" w:eastAsiaTheme="majorEastAsia" w:cstheme="majorBidi"/>
      <w:b/>
      <w:bCs/>
      <w:i/>
      <w:iCs/>
      <w:color w:val="4F81BD" w:themeColor="accent1"/>
    </w:rPr>
  </w:style>
  <w:style w:type="character" w:customStyle="1" w:styleId="22">
    <w:name w:val="副标题 Char"/>
    <w:basedOn w:val="14"/>
    <w:link w:val="10"/>
    <w:qFormat/>
    <w:uiPriority w:val="11"/>
    <w:rPr>
      <w:rFonts w:asciiTheme="majorHAnsi" w:hAnsiTheme="majorHAnsi" w:eastAsiaTheme="majorEastAsia" w:cstheme="majorBidi"/>
      <w:i/>
      <w:iCs/>
      <w:color w:val="4F81BD" w:themeColor="accent1"/>
      <w:spacing w:val="15"/>
      <w:sz w:val="24"/>
      <w:szCs w:val="24"/>
    </w:rPr>
  </w:style>
  <w:style w:type="character" w:customStyle="1" w:styleId="23">
    <w:name w:val="标题 Char"/>
    <w:basedOn w:val="14"/>
    <w:link w:val="11"/>
    <w:qFormat/>
    <w:uiPriority w:val="10"/>
    <w:rPr>
      <w:rFonts w:asciiTheme="majorHAnsi" w:hAnsiTheme="majorHAnsi" w:eastAsiaTheme="majorEastAsia" w:cstheme="majorBidi"/>
      <w:color w:val="17365D" w:themeColor="text2" w:themeShade="BF"/>
      <w:spacing w:val="5"/>
      <w:kern w:val="28"/>
      <w:sz w:val="52"/>
      <w:szCs w:val="52"/>
    </w:rPr>
  </w:style>
  <w:style w:type="character" w:customStyle="1" w:styleId="24">
    <w:name w:val="页脚 Char"/>
    <w:basedOn w:val="14"/>
    <w:link w:val="8"/>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13</Pages>
  <Words>5172</Words>
  <Characters>5740</Characters>
  <Lines>42</Lines>
  <Paragraphs>11</Paragraphs>
  <TotalTime>10</TotalTime>
  <ScaleCrop>false</ScaleCrop>
  <LinksUpToDate>false</LinksUpToDate>
  <CharactersWithSpaces>5740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2025-08-22T04:25:00Z</dcterms:created>
  <dc:creator>cyy</dc:creator>
  <cp:lastModifiedBy>久溺深海</cp:lastModifiedBy>
  <dcterms:modified xsi:type="dcterms:W3CDTF">2025-08-27T02:46:54Z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eyJoZGlkIjoiNmZkMjYyYzAxYjhmOGVmYjRhNDdiNWU4MjMwYTAyNjgiLCJ1c2VySWQiOiIyNTIzNDE3MTMifQ==</vt:lpwstr>
  </property>
  <property fmtid="{D5CDD505-2E9C-101B-9397-08002B2CF9AE}" pid="4" name="ICV">
    <vt:lpwstr>AB368E7EB09C4D3AA9EBEA06C5DBB7AE_12</vt:lpwstr>
  </property>
</Properties>
</file>