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新疆轻工职业技术学院</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一)全面贯彻落实党中央决策部署，做好党建工作；强化党员干部教育管理，加强队伍建设；健全“三全育人”体系，培育和践行社会主义核心价值观，做好内外宣传工作，落实意识形态工作责任制；加强校园文化建设，开展文明校园创建；加强党风廉政建设。</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(二)贯彻落实国家、自治区教育教学相关政策，开展职业教育改革；按照人才培养方案组织教学活动；完善教学条件；强化师资队伍建设；开展质量工程建设。</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三)贯彻落实国家、自治区相关政策；做好招生工作；强化学生管理队伍建设和学生日常管理与服务；加强学生党团建设，提升学生综合素质；开展创新创业、就业指导与服务等；做好学生奖助贷、兵役、保险等工作。</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(四)负责开展教科研活动、职业技能培训和社会服务；做好帮扶其他职业院校工作；开展扶贫(支教)与内地高校新疆籍学生管理等工作。</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(五)负责开展平安校园建设；加强“三防”建设，强化队伍建设；做好安全生产风险防控和综治维稳工作。</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(六)负责改善办学条件，靓化校园环境；做好后勤保障工作。</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七)负责依法治校，校务公开，信访工作，综合事务服务，公务活动运转保障；完善发展规划；强化资产管理、出租房屋管理、聘用人员管理；做好群众工作，维护职工权益；完善激励机制，做好绩效考核。强化内控管理，保障学院正常运转。(八)负责质量保证，加强质量监控条件建设；强化队伍建设，完善质量保证体系；建立多元化评价机制，做好质量保证工作。</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九)负责对外交流合作，加强校企、校校交流合作，丰富合作形式及载体；做好二产职教园区暨公共实训基地运行工作；深化国际交流，联合做好国际化人才培养工作；“走出去”、“引进来”，提升教师国际化视野和能力；拓展合作形式，丰富合作内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(十)完成新疆维吾尔自治区工业和信息化厅交办的其他任务。</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新疆轻工职业技术学院2024年度，实有人数987人，其中：在职人员600人，增加11人；离休人员0人，较上年无变化；退休人员387人，增加4人。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轻工职业技术学院无下属预算单位，下设14个处室，分别是：办公室、组织部、宣传部、纪律检查委员会、团委、工会、发展规划处、学生处、教务处、科研处、招生与就业指导办公室、财务处、资产管理处、保卫处；下设教学教辅机构16个，分别是：食品与生物技术分院、纺织技术分院、化工技术分院、机械技术分院、电气技术分院、建筑与材料技术分院、信息与软件分院、经济与管理分院、语言与国际合作分院、环境与资源分院、人文与艺术分院、继续教育学院、公共基础部、预科部、思想政治理论教研部、图书馆；下设附属机构4个，分别是：培训与鉴定中心、第二产业职教园区公共实训基地、离退休人员管理服务中心、后勤服务中心。</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2024年度收入总计43,753.70万元，其中：本年收入合计42,713.47万元，使用非财政拨款结余（含专用结余）0.00万元，年初结转和结余1,040.23万元。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2024年度支出总计43,753.70万元，其中：本年支出合计33,654.16万元，结余分配348.66万元，年末结转和结余9,750.89万元。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9,283.95万元，增长26.93%，主要原因是：1.收入较上年共增加9,748.98万元，其中：（1）一般公共预算财政拨款较上年增加9,028.80万元，主要为：一是年中追加项目合计较上年增加10,188.40万元，主要有产教融合实训基地建设项目增加8,000.00万元、自治区职业教育相关经费增加1,932.4</w:t>
      </w:r>
      <w:r>
        <w:rPr>
          <w:rFonts w:hint="eastAsia" w:ascii="仿宋_GB2312" w:eastAsia="仿宋_GB2312"/>
          <w:b w:val="0"/>
          <w:sz w:val="32"/>
          <w:szCs w:val="32"/>
          <w:lang w:val="en-US" w:eastAsia="zh-CN"/>
        </w:rPr>
        <w:t>0</w:t>
      </w:r>
      <w:r>
        <w:rPr>
          <w:rFonts w:ascii="仿宋_GB2312" w:eastAsia="仿宋_GB2312"/>
          <w:b w:val="0"/>
          <w:sz w:val="32"/>
          <w:szCs w:val="32"/>
        </w:rPr>
        <w:t>万元、新疆人才发展基金项目增加256.00万元；二是基本支出收入较上年减少1,159.60万元，原因是在专户中增加了基本支出。（2）非财政拨款收入较上年增加720.18万元，主要为财政专户较上年减少125.80万元，包括学费、住宿费、考试考务费等，原因是2024年招生计划较往年减少，相对应学费及住宿费等收入较上年下降；经营收入较上年增加304.52万元，包括培训收入、房屋出租出借收入及横向课题收入等较上年增加；其他收入较上年增加541.46万元，主要是学院吐鲁番校区政府扶持资金收入增加。2.较上年减少</w:t>
      </w:r>
      <w:r>
        <w:rPr>
          <w:rFonts w:hint="eastAsia" w:ascii="仿宋_GB2312" w:eastAsia="仿宋_GB2312"/>
          <w:b w:val="0"/>
          <w:sz w:val="32"/>
          <w:szCs w:val="32"/>
          <w:lang w:eastAsia="zh-CN"/>
        </w:rPr>
        <w:t>了</w:t>
      </w:r>
      <w:r>
        <w:rPr>
          <w:rFonts w:ascii="仿宋_GB2312" w:eastAsia="仿宋_GB2312"/>
          <w:b w:val="0"/>
          <w:sz w:val="32"/>
          <w:szCs w:val="32"/>
        </w:rPr>
        <w:t>财政拨款结转结余资金284.11万元，本年再无此事项。3.较上年减少了非财政拨款结转结余资金180.92万元，本年再无此事项。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42,713.47万元，其中：财政拨款收入34,160.37万元,占79.98%；上级补助收入0.00万元,占0.00%；事业收入6,394.46万元，占14.97%；经营收入670.21万元,占1.57%；附属单位上缴收入0.00万元，占0.00%；其他收入1,488.43万元，占3.48%。</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本年支出33,654.16万元，其中：基本支出20,885.13万元，占62.06%；项目支出12,447.48万元，占36.99%；上缴上级支出0.00万元，占0.00%；经营支出321.55万元，占0.96%；对附属单位补助支出0.00万元，占0.00%。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34,160.37万元，其中：年初财政拨款结转和结余0.00万元，本年财政拨款收入34,160.37万元。财政拨款支出总计34,160.37万元，其中：年末财政拨款结转和结余8,048.12万元，本年财政拨款支出26,112.26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8,440.31万元，增长32.82%，主要原因是：1.基本支出较上年减少1,159.60万元，原因是在专户中安排了较多基本支出；2.项目支出较上年增加1,551.80万元，主要有自治区职业教育相关经费较上年增加1,295.8</w:t>
      </w:r>
      <w:r>
        <w:rPr>
          <w:rFonts w:hint="eastAsia" w:ascii="仿宋_GB2312" w:eastAsia="仿宋_GB2312"/>
          <w:b w:val="0"/>
          <w:sz w:val="32"/>
          <w:szCs w:val="32"/>
          <w:lang w:val="en-US" w:eastAsia="zh-CN"/>
        </w:rPr>
        <w:t>0</w:t>
      </w:r>
      <w:r>
        <w:rPr>
          <w:rFonts w:ascii="仿宋_GB2312" w:eastAsia="仿宋_GB2312"/>
          <w:b w:val="0"/>
          <w:sz w:val="32"/>
          <w:szCs w:val="32"/>
        </w:rPr>
        <w:t>万元、新疆人才发展基金项目较上年增加256.00万元。3.年末财政拨款结转和结余8,048.11万元。综上，财政拨款收入支出总体与上年相比，增加8,440.31万元。与年初预算相比，年初预算数22,731.84万元，决算数34,160.37万元，预决算差异率50.28%，主要原因是：1.基本支出人员经费决算数较预算增加75.86万元，为年中追加丧葬费抚恤金项目；2.项目支出较预算增加3,304.56万元，为年中追加项目资金，主要有新疆人才发展基金项目303.00万元、自治区职业教育相关经费3,001.56万元。3.年末财政拨款结转和结余8,048.11万元，主要有产教融合实训基地建设项目8,000.00万元、自治区职业教育相关经费48.11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26,112.26万元，占本年支出合计的77.59%。与上年相比，增加392.20万元，增长1.52%，主要原因是：1.基本支出较上年减少1,159.60万元，原因是在专户中安排了较多基本支出；2.项目支出较上年增加1,551.80万元，主要有自治区职业教育相关经费较上年增加1,295.8</w:t>
      </w:r>
      <w:r>
        <w:rPr>
          <w:rFonts w:hint="eastAsia" w:ascii="仿宋_GB2312" w:eastAsia="仿宋_GB2312"/>
          <w:b w:val="0"/>
          <w:sz w:val="32"/>
          <w:szCs w:val="32"/>
          <w:lang w:val="en-US" w:eastAsia="zh-CN"/>
        </w:rPr>
        <w:t>0</w:t>
      </w:r>
      <w:r>
        <w:rPr>
          <w:rFonts w:ascii="仿宋_GB2312" w:eastAsia="仿宋_GB2312"/>
          <w:b w:val="0"/>
          <w:sz w:val="32"/>
          <w:szCs w:val="32"/>
        </w:rPr>
        <w:t>万元、新疆人才发展基金项目较上年增加256.00万元。与年初预算相比，年初预算数22,731.84万元，决算数26,112.26万元，预决算差异率14.87%，主要原因是：1.基本支出人员经费决算数较预算增加75.86万元，为年中追加丧葬费抚恤金项目；2.项目支出较预算增加3,304.56万元，为年中追加项目资金，主要有新疆人才发展基金项目303.00万元、自治区职业教育相关经费3,001.56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教育支出（类）25,899.26万元，占99.18%。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科学技术支出（类）30.00万元，占0.11%。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社会保障和就业支出（类）29.00万元，占0.11%。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资源勘探工业信息等支出（类）154.00万元，占0.59%。</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1、教育支出（类）普通教育（款）高等教育（项）：支出决算数为30.00万元，比上年决算增加30.00万元，增长100.00%，主要原因是：追加2024年天池英才引进计划（第二批）特聘教授项目30.00万元。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2、教育支出（类）职业教育（款）技校教育（项）：支出决算数为56.79万元，比上年决算增加8.42万元，增长17.41%，主要原因是：技工招生规模扩大，技工学生奖助学金增多。</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教育支出（类）职业教育（款）高等职业教育（项）：支出决算数为25,812.47万元，比上年决算增加315.76万元，增长1.24%，主要原因是：基本支出中人员经费减少961.85万元、公用经费减少119.78万元，在专户中增加了基本支出。财政增加项目拨款，项目支出较上年增加1,397.38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4、科学技术支出（类）基础研究（款）科技人才队伍建设（项）：支出决算数为30.00万元，比上年决算增加30.00万元，增长100.00%，主要原因是：追加天山英才-科技人才项目资金30.00万元。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5、科学技术支出（类）基础研究（款）其他基础研究支出（项）：支出决算数为0.00万元，比上年决算减少2.00万元，下降100.00%，主要原因是：2024年无追加高校科研计划专项资金支出。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6、社会保障和就业支出（类）人力资源和社会保障管理事务（款）就业管理事务（项）：支出决算数为19.00万元，比上年决算增加19.00万元，增长100.00%，主要原因是：2024年追加天山英才新疆工匠项目。</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社会保障和就业支出（类）人力资源和社会保障管理事务（款）其他人力资源和社会保障管理事务支出（项）：支出决算数为10.00万元，比上年决算增加10.00万元，增长100.00%，主要原因是：追加2024年自治区葡萄酒企业经营管理人员高级研修班项目。</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8、社会保障和就业支出（类）行政事业单位养老支出（款）事业单位离退休（项）：支出决算数为0.00万元，比上年决算减少77.97万元，下降100.00%，主要原因是：2024年丧葬费抚恤金主款发生变化。</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9、资源勘探工业信息等支出（类）工业和信息产业监管（款）一般行政管理事务（项）：支出决算数为154.00万元，比上年决算增加154.00万元，增长100.00%，主要原因是：2024年追加智力援疆创新人才计划项目支出。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10、资源勘探工业信息等支出（类）工业和信息产业监管（款）产业发展（项）：支出决算数为0.00万元，比上年决算减少95.00万元，下降100.00%，主要原因是：2023年追加自治区葡萄酒产业发展专项资金95.00万元，2024年无此项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18,540.17万元，其中：人员经费17,310.17万元，包括：基本工资、津贴补贴、奖金、绩效工资、机关事业单位基本养老保险缴费、职业年金缴费、职工基本医疗保险缴费、公务员医疗补助缴费、其他社会保障缴费、住房公积金、退休费、抚恤金、生活补助、奖励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公用经费1,230.00万元，包括：办公费、印刷费、水费、电费、邮电费、取暖费、物业管理费、差旅费、培训费、工会经费、福利费、其他交通费用和其他商品和服务支出。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我单位无财政拨款“三公”经费支出。其中：因公出国（境）费支出0.00万元,占0.00%，与上年相比无变化，主要原因是：我单位无因公出国（境）费支出；公务用车购置及运行维护费支出0.00万元，占0.00%，与上年相比无变化，主要原因是：我单位无公务用车购置及运行维护费支出；公务接待费支出0.00万元，占0.00%，与上年相比无变化，主要原因是：我单位无公务接待费支出。</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公务用车购置及运行维护费0.00万元，其中：公务用车购置费0.00万元，公务用车运行维护费0.00万元。公务用车运行维护费开支内容包括我单位无公务用车</w:t>
      </w:r>
      <w:bookmarkStart w:id="0" w:name="_GoBack"/>
      <w:bookmarkEnd w:id="0"/>
      <w:r>
        <w:rPr>
          <w:rFonts w:ascii="仿宋_GB2312" w:eastAsia="仿宋_GB2312"/>
          <w:b w:val="0"/>
          <w:sz w:val="32"/>
          <w:szCs w:val="32"/>
        </w:rPr>
        <w:t>运行维护费支出。公务用车购置数0辆，公务用车保有量0辆。国有资产占用情况中固定资产车辆12辆，与公务用车保有量差异原因是：</w:t>
      </w:r>
      <w:r>
        <w:rPr>
          <w:rFonts w:hint="eastAsia" w:ascii="仿宋_GB2312" w:eastAsia="仿宋_GB2312"/>
          <w:b w:val="0"/>
          <w:sz w:val="32"/>
          <w:szCs w:val="32"/>
          <w:lang w:val="en-US" w:eastAsia="zh-CN"/>
        </w:rPr>
        <w:t>自有12</w:t>
      </w:r>
      <w:r>
        <w:rPr>
          <w:rFonts w:ascii="仿宋_GB2312" w:eastAsia="仿宋_GB2312"/>
          <w:b w:val="0"/>
          <w:sz w:val="32"/>
          <w:szCs w:val="32"/>
        </w:rPr>
        <w:t>辆</w:t>
      </w:r>
      <w:r>
        <w:rPr>
          <w:rFonts w:hint="eastAsia" w:ascii="仿宋_GB2312" w:eastAsia="仿宋_GB2312"/>
          <w:b w:val="0"/>
          <w:sz w:val="32"/>
          <w:szCs w:val="32"/>
          <w:lang w:val="en-US" w:eastAsia="zh-CN"/>
        </w:rPr>
        <w:t>车均</w:t>
      </w:r>
      <w:r>
        <w:rPr>
          <w:rFonts w:ascii="仿宋_GB2312" w:eastAsia="仿宋_GB2312"/>
          <w:b w:val="0"/>
          <w:sz w:val="32"/>
          <w:szCs w:val="32"/>
        </w:rPr>
        <w:t>使用</w:t>
      </w:r>
      <w:r>
        <w:rPr>
          <w:rFonts w:hint="eastAsia" w:ascii="仿宋_GB2312" w:eastAsia="仿宋_GB2312"/>
          <w:b w:val="0"/>
          <w:sz w:val="32"/>
          <w:szCs w:val="32"/>
          <w:lang w:eastAsia="zh-CN"/>
        </w:rPr>
        <w:t>非财政拨款资金</w:t>
      </w:r>
      <w:r>
        <w:rPr>
          <w:rFonts w:ascii="仿宋_GB2312" w:eastAsia="仿宋_GB2312"/>
          <w:b w:val="0"/>
          <w:sz w:val="32"/>
          <w:szCs w:val="32"/>
        </w:rPr>
        <w:t>。</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公务接待费0.00万元，开支内容包括我单位无公务接待费支出。单位全年安排的国内公务接待0批次，0人次。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三公经费遵循只减不增原则，上年度三公经费为0.00万元。其中：因公出国（境）费全年预算数0.00万元，决算数0.00万元，预决算差异率0.00%，主要原因是：三公经费遵循只减不增原则，上年度三公经费为0.00万元；公务用车购置费全年预算数0.00万元，决算数0.00万元，预决算差异率0.00%，主要原因是：三公经费遵循只减不增原则，上年度三公经费为0.00万元；公务用车运行维护费全年预算数0.00万元，决算数0.00万元，预决算差异率0.00%，主要原因是：三公经费遵循只减不增原则，上年度三公经费为0.00万元；公务接待费全年预算数0.00万元，决算数0.00万元，预决算差异率0.00%，主要原因是：三公经费遵循只减不增原则，上年度三公经费为0.00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2024年度新疆轻工职业技术学院单位（事业单位）公用经费支出1,230.00万元，比上年减少119.78万元，下降8.87%，主要原因是：项目支出弥补公用经费。</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2024年度政府采购支出总额4,533.75万元，其中：政府采购货物支出1,901.67万元、政府采购工程支出1,785.32万元、政府采购服务支出846.76万元。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授予中小企业合同金额4,212.40万元，占政府采购支出总额的92.91%，其中：授予小微企业合同金额2,972.82万元，占政府采购支出总额的65.57%。</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286,424.62平方米，价值47,933.88万元。车辆12辆，价值261.32万元，其中：副部（省）级及以上领导用车0辆、主要负责人用车0辆、机要通信用车0辆、应急保障用车0辆、执法执勤用车0辆、特种专业技术用车0辆、离退休干部服务用车0辆、其他用车12辆，其他用车主要是：一般业务用车;单价100万元（含）以上设备（不含车辆）19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根据预算绩效管理要求，本单位2024年度预算绩效评价项目8个，全年预</w:t>
      </w:r>
      <w:r>
        <w:rPr>
          <w:rFonts w:hint="eastAsia" w:ascii="仿宋_GB2312" w:eastAsia="仿宋_GB2312"/>
          <w:b w:val="0"/>
          <w:sz w:val="32"/>
          <w:szCs w:val="32"/>
          <w:lang w:val="en-US" w:eastAsia="zh-CN"/>
        </w:rPr>
        <w:t>算</w:t>
      </w:r>
      <w:r>
        <w:rPr>
          <w:rFonts w:ascii="仿宋_GB2312" w:eastAsia="仿宋_GB2312"/>
          <w:b w:val="0"/>
          <w:sz w:val="32"/>
          <w:szCs w:val="32"/>
        </w:rPr>
        <w:t>7,172.00万元，全年执行数6,187.10万元。预算绩效管理取得的成效：一是严格执行《中华人民共和国会计法》《中华人民共和国预算法》《中华人民共和国政府采购法》等法律法规，规范和加快预算执行,积极做好绩效监控和绩效评价工作，确保预算执行的准确性及时性和规范性,切实发挥财政资金最大效用;二是各项工作实施及资金使用情况均在绩效目标设定时限完成，在项目经费的使用上,在保证各项任务顺利完成的同时,严格落实厉行节约原则。发现的问题及原因：一是预算绩效申报个别绩效目标设置不科学；二是因为编制的项目自评指标体系不够精细,绩效目标未完全细化,分解工作任务不够具体,在经费支出过程中精确度有待提高。下一步改进措施：在今后的预算绩效申报时,相关业务科室将全年工作任务细化分解为具体的工作目标,并采取定量的方式制定清晰、可衡量的绩效指标,提高项目使用精确度。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C5571D"/>
    <w:rsid w:val="193208CA"/>
    <w:rsid w:val="20A536CC"/>
    <w:rsid w:val="26AD42E5"/>
    <w:rsid w:val="517A10AE"/>
    <w:rsid w:val="5E345490"/>
    <w:rsid w:val="5F8879FB"/>
    <w:rsid w:val="6860731E"/>
    <w:rsid w:val="7AA46275"/>
    <w:rsid w:val="7DB76F07"/>
    <w:rsid w:val="7E166076"/>
    <w:rsid w:val="7FEF64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7298</Words>
  <Characters>8359</Characters>
  <TotalTime>0</TotalTime>
  <ScaleCrop>false</ScaleCrop>
  <LinksUpToDate>false</LinksUpToDate>
  <CharactersWithSpaces>8362</CharactersWithSpaces>
  <Application>WPS Office_11.8.2.10337_F1E327BC-269C-435d-A152-05C5408002CA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2024-12-31T10:02:00Z</dcterms:created>
  <dc:creator>Administrator</dc:creator>
  <cp:lastModifiedBy>user</cp:lastModifiedBy>
  <dcterms:modified xsi:type="dcterms:W3CDTF">2025-11-12T19:01:12Z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KSOTemplateDocerSaveRecord">
    <vt:lpwstr>eyJoZGlkIjoiMTY2MzAzZGExMmJkNWFlYWE0MjE0MzU0MGExYzE5ZmMiLCJ1c2VySWQiOiIzNDgxNTQ2NTgifQ==</vt:lpwstr>
  </property>
  <property fmtid="{D5CDD505-2E9C-101B-9397-08002B2CF9AE}" pid="4" name="ICV">
    <vt:lpwstr>D820169213D348D2BC91F95177D31166_13</vt:lpwstr>
  </property>
</Properties>
</file>