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宋体" w:eastAsia="黑体"/>
          <w:sz w:val="44"/>
          <w:szCs w:val="44"/>
        </w:rPr>
      </w:pPr>
      <w:r>
        <w:rPr>
          <w:rFonts w:ascii="宋体" w:eastAsia="黑体"/>
          <w:b w:val="0"/>
          <w:sz w:val="44"/>
          <w:szCs w:val="44"/>
        </w:rPr>
        <w:t>新疆轻工职业技术学院</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2"/>
          <w:szCs w:val="32"/>
        </w:rPr>
        <w:t>目 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b w:val="0"/>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2880" w:firstLineChars="900"/>
        <w:jc w:val="left"/>
        <w:textAlignment w:val="auto"/>
        <w:outlineLvl w:val="1"/>
        <w:rPr>
          <w:rFonts w:ascii="黑体" w:eastAsia="黑体" w:hAnsiTheme="minorHAnsi" w:cstheme="minorBidi"/>
          <w:b w:val="0"/>
          <w:sz w:val="32"/>
          <w:szCs w:val="32"/>
        </w:rPr>
      </w:pPr>
      <w:r>
        <w:rPr>
          <w:rFonts w:ascii="黑体" w:eastAsia="黑体" w:hAnsiTheme="minorHAnsi" w:cstheme="minorBidi"/>
          <w:b w:val="0"/>
          <w:sz w:val="32"/>
          <w:szCs w:val="32"/>
        </w:rPr>
        <w:t>第一部分 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根据《关于整合组建新疆轻工职业技术学院的批复》(新编委〔2012〕31号)文件和《关于同意自治区经信委所属院校实施资源共享的批复》(新政函〔2011〕324号)文件及《新疆维吾尔自治区经济和信息化委员会(新疆维吾尔自治区国防科学技术工业办公室)所属事业单位分类改革方案》(新事改办〔2014〕11号)的通知,新疆轻工职业技术学院为公益二类事业单位，经费实行差额预算管理。主要职能有：</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一)全面贯彻落实党中央决策部署，做好党建工作；强化党员干部教育管理，加强队伍建设；健全“三全育人”体系，培育和践行社会主义核心价值观，做好内外宣传工作，落实意识形态工作责任制；加强校园文化建设，开展文明校园创建；加强党风廉政建设。</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 (二)贯彻落实国家、自治区教育教学相关政策，开展职业教育改革；按照人才培养方案组织教学活动；完善教学条件；强化师资队伍建设；开展质量工程建设。</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 (三)贯彻落实国家、自治区相关政策；做好招生工作；强化学生管理队伍建设和学生日常管理与服务；加强学生党团建设，提升学生综合素质；开展创新创业、就业指导与服务等；做好学生奖助贷、兵役、保险等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 (四)负责开展教科研活动、职业技能培训和社会服务；做好帮扶其他职业院校工作；开展扶贫(支教)与内地高校新疆籍学生管理等工作。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 (五)负责开展平安校园建设；加强“三防”建设，强化队伍建设；做好安全生产风险防控和综治维稳工作。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 (六)负责改善办学条件，靓化校园环境；做好后勤保障工作。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b w:val="0"/>
          <w:sz w:val="32"/>
          <w:szCs w:val="32"/>
        </w:rPr>
      </w:pPr>
      <w:r>
        <w:rPr>
          <w:rFonts w:ascii="仿宋_GB2312" w:eastAsia="仿宋_GB2312"/>
          <w:b w:val="0"/>
          <w:sz w:val="32"/>
          <w:szCs w:val="32"/>
        </w:rPr>
        <w:t> (七)负责依法治校，校务公开，信访工作，综合事务服务，公务活动运转保障；完善发展规划；强化资产管理、出租房屋管理、聘用人员管理；做好群众工作，维护职工权益；完善激励机制，做好绩效考核。强化内控管理，保障学院正常运转。    </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(八)负责质量保证，加强质量监控条件建设；强化队伍建设，完善质量保证体系；建立多元化评价机制，做好质量保证工作。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 (九)负责对外交流合作，加强校企、校校交流合作，丰富合作形式及载体；做好二产职教园区暨公共实训基地运行工作；深化国际交流，联合做好国际化人才培养工作；“走出去”、“引进来”，提升教师国际化视野和能力；拓展合作形式，丰富合作内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(十)完成新疆维吾尔自治区工业和信息化厅交办的其他任务。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新疆轻工职业技术学院2024年度，实有人数987人，其中：在职人员600人，增加11人；离休人员0人，较上年无变化；退休人员387人，增加4人。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新疆轻工职业技术学院无下属预算单位，下设14个处室，分别是：办公室、组织部、宣传部、纪律检查委员会、团委、工会、发展规划处、学生处、教务处、科研处、招生与就业指导办公室、财务处、资产管理处、保卫处；下设教学教辅机构16个，分别是：食品与生物技术分院、纺织技术分院、化工技术分院、机械技术分院、电气技术分院、建筑与材料技术分院、信息与软件分院、经济与管理分院、语言与国际合作分院、环境与资源分院、人文与艺术分院、继续教育学院、公共基础部、预科部、思想政治理论教研部、图书馆；下设附属机构4个，分别是：培训与鉴定中心、第二产业职教园区公共实训基地、离退休人员管理服务中心、后勤服务中心。</w:t>
      </w:r>
    </w:p>
    <w:p>
      <w:pPr>
        <w:keepNext w:val="0"/>
        <w:keepLines w:val="0"/>
        <w:pageBreakBefore w:val="0"/>
        <w:widowControl/>
        <w:kinsoku/>
        <w:wordWrap/>
        <w:overflowPunct/>
        <w:topLinePunct w:val="0"/>
        <w:autoSpaceDE/>
        <w:autoSpaceDN/>
        <w:bidi w:val="0"/>
        <w:adjustRightInd/>
        <w:snapToGrid/>
        <w:spacing w:line="560" w:lineRule="exact"/>
        <w:ind w:firstLine="0" w:firstLineChars="15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2024年度收入总计43,753.70万元，其中：本年收入合计42,713.47万元，使用非财政拨款结余（含专用结余）0.00万元，年初结转和结余1,040.23万元。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2024年度支出总计43,753.70万元，其中：本年支出合计33,654.16万元，结余分配348.66万元，年末结转和结余9,750.89万元。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收入支出总体与上年相比，增加9,283.95万元，增长26.93%，主要原因是：一是本年收入42,713.47万元，较上年增加9,748.98万元</w:t>
      </w:r>
      <w:r>
        <w:rPr>
          <w:rFonts w:hint="eastAsia" w:ascii="仿宋_GB2312" w:eastAsia="仿宋_GB2312"/>
          <w:b w:val="0"/>
          <w:sz w:val="32"/>
          <w:szCs w:val="32"/>
          <w:lang w:eastAsia="zh-CN"/>
        </w:rPr>
        <w:t>，其中：</w:t>
      </w:r>
      <w:r>
        <w:rPr>
          <w:rFonts w:ascii="仿宋_GB2312" w:eastAsia="仿宋_GB2312"/>
          <w:b w:val="0"/>
          <w:sz w:val="32"/>
          <w:szCs w:val="32"/>
        </w:rPr>
        <w:t>1.财政拨款收入较上年增加9,028.80万元，</w:t>
      </w:r>
      <w:r>
        <w:rPr>
          <w:rFonts w:hint="eastAsia" w:ascii="仿宋_GB2312" w:eastAsia="仿宋_GB2312"/>
          <w:b w:val="0"/>
          <w:sz w:val="32"/>
          <w:szCs w:val="32"/>
          <w:lang w:eastAsia="zh-CN"/>
        </w:rPr>
        <w:t>主要为</w:t>
      </w:r>
      <w:r>
        <w:rPr>
          <w:rFonts w:ascii="仿宋_GB2312" w:eastAsia="仿宋_GB2312"/>
          <w:b w:val="0"/>
          <w:sz w:val="32"/>
          <w:szCs w:val="32"/>
        </w:rPr>
        <w:t>项目收入较上年增加。2.非财政拨款收入较上年增加720.18万元。</w:t>
      </w:r>
      <w:r>
        <w:rPr>
          <w:rFonts w:hint="eastAsia" w:ascii="仿宋_GB2312" w:eastAsia="仿宋_GB2312"/>
          <w:b w:val="0"/>
          <w:sz w:val="32"/>
          <w:szCs w:val="32"/>
          <w:lang w:eastAsia="zh-CN"/>
        </w:rPr>
        <w:t>主要为</w:t>
      </w:r>
      <w:r>
        <w:rPr>
          <w:rFonts w:ascii="仿宋_GB2312" w:eastAsia="仿宋_GB2312"/>
          <w:b w:val="0"/>
          <w:sz w:val="32"/>
          <w:szCs w:val="32"/>
        </w:rPr>
        <w:t>经营收入</w:t>
      </w:r>
      <w:r>
        <w:rPr>
          <w:rFonts w:hint="eastAsia" w:ascii="仿宋_GB2312" w:eastAsia="仿宋_GB2312"/>
          <w:b w:val="0"/>
          <w:sz w:val="32"/>
          <w:szCs w:val="32"/>
          <w:lang w:eastAsia="zh-CN"/>
        </w:rPr>
        <w:t>及</w:t>
      </w:r>
      <w:r>
        <w:rPr>
          <w:rFonts w:ascii="仿宋_GB2312" w:eastAsia="仿宋_GB2312"/>
          <w:b w:val="0"/>
          <w:sz w:val="32"/>
          <w:szCs w:val="32"/>
        </w:rPr>
        <w:t>其他收入较上年增加。二是使用非财政拨款结余和专用结余0.00万元，较上年减少180.92万元，原因是经营收入未使用以往年度资金。三是年初结转和结余较上年减少284.11万元，主要是使用当年资金较多。综上各项资金增加，因此2024年度收入总计较上年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本年收入42,713.47万元，其中：财政拨款收入34,160.37万元,占79.98%；上级补助收入0.00万元,占0.00%；事业收入6,394.46万元</w:t>
      </w:r>
      <w:r>
        <w:rPr>
          <w:rFonts w:hint="eastAsia" w:ascii="仿宋_GB2312" w:eastAsia="仿宋_GB2312"/>
          <w:b w:val="0"/>
          <w:sz w:val="32"/>
          <w:szCs w:val="32"/>
          <w:lang w:eastAsia="zh-CN"/>
        </w:rPr>
        <w:t>，</w:t>
      </w:r>
      <w:r>
        <w:rPr>
          <w:rFonts w:ascii="仿宋_GB2312" w:eastAsia="仿宋_GB2312"/>
          <w:b w:val="0"/>
          <w:sz w:val="32"/>
          <w:szCs w:val="32"/>
        </w:rPr>
        <w:t>占14.97%；经营收入670.21万元,占1.57%；附属单位上缴收入0.00万元，占0.00%；其他收入1,488.43万元，占3.48%。</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hAnsiTheme="minorHAnsi" w:cstheme="minorBidi"/>
          <w:b w:val="0"/>
          <w:sz w:val="32"/>
          <w:szCs w:val="32"/>
        </w:rPr>
        <w:t>本年支出33,</w:t>
      </w:r>
      <w:r>
        <w:rPr>
          <w:rFonts w:ascii="仿宋_GB2312" w:eastAsia="仿宋_GB2312"/>
          <w:b w:val="0"/>
          <w:sz w:val="32"/>
          <w:szCs w:val="32"/>
        </w:rPr>
        <w:t>654.16万元，其中：基本支出20,885.13万元，占62.06%；项目支出12,447.48万元，占36.99%；上缴上级支出0.00万元，占0.00%；经营支出321.55万元，占0.96%；对附属单位补助支出0.00万元，占0.00%。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34,160.37万元，其中：年初财政拨款结转和结余0.00万元，本年财政拨款收入34,160.37万元。财政拨款支出总计34,160.37万元，其中：年末财政拨款结转和结余8,048.12万元，本年财政拨款支出26,112.26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财政拨款收入支出总体与上年相比，增加8,440.31万元，增长32.82%，主要原因是：</w:t>
      </w:r>
      <w:r>
        <w:rPr>
          <w:rFonts w:hint="eastAsia" w:ascii="仿宋_GB2312" w:eastAsia="仿宋_GB2312"/>
          <w:b w:val="0"/>
          <w:sz w:val="32"/>
          <w:szCs w:val="32"/>
          <w:lang w:eastAsia="zh-CN"/>
        </w:rPr>
        <w:t>一是因</w:t>
      </w:r>
      <w:r>
        <w:rPr>
          <w:rFonts w:ascii="仿宋_GB2312" w:eastAsia="仿宋_GB2312"/>
          <w:b w:val="0"/>
          <w:sz w:val="32"/>
          <w:szCs w:val="32"/>
        </w:rPr>
        <w:t>专户中安排较多基本支出</w:t>
      </w:r>
      <w:r>
        <w:rPr>
          <w:rFonts w:hint="eastAsia" w:ascii="仿宋_GB2312" w:eastAsia="仿宋_GB2312"/>
          <w:b w:val="0"/>
          <w:sz w:val="32"/>
          <w:szCs w:val="32"/>
          <w:lang w:eastAsia="zh-CN"/>
        </w:rPr>
        <w:t>，所以财政拨款收入中基本支出减少</w:t>
      </w:r>
      <w:r>
        <w:rPr>
          <w:rFonts w:ascii="仿宋_GB2312" w:eastAsia="仿宋_GB2312"/>
          <w:b w:val="0"/>
          <w:sz w:val="32"/>
          <w:szCs w:val="32"/>
        </w:rPr>
        <w:t>1,159.60万元；</w:t>
      </w:r>
      <w:r>
        <w:rPr>
          <w:rFonts w:hint="eastAsia" w:ascii="仿宋_GB2312" w:eastAsia="仿宋_GB2312"/>
          <w:b w:val="0"/>
          <w:sz w:val="32"/>
          <w:szCs w:val="32"/>
          <w:lang w:eastAsia="zh-CN"/>
        </w:rPr>
        <w:t>二是</w:t>
      </w:r>
      <w:r>
        <w:rPr>
          <w:rFonts w:ascii="仿宋_GB2312" w:eastAsia="仿宋_GB2312"/>
          <w:b w:val="0"/>
          <w:sz w:val="32"/>
          <w:szCs w:val="32"/>
        </w:rPr>
        <w:t>财政拨款追加项目资金较上年增加1,551.80万元。</w:t>
      </w:r>
      <w:r>
        <w:rPr>
          <w:rFonts w:hint="eastAsia" w:ascii="仿宋_GB2312" w:eastAsia="仿宋_GB2312"/>
          <w:b w:val="0"/>
          <w:sz w:val="32"/>
          <w:szCs w:val="32"/>
          <w:lang w:eastAsia="zh-CN"/>
        </w:rPr>
        <w:t>三是</w:t>
      </w:r>
      <w:r>
        <w:rPr>
          <w:rFonts w:ascii="仿宋_GB2312" w:eastAsia="仿宋_GB2312"/>
          <w:b w:val="0"/>
          <w:sz w:val="32"/>
          <w:szCs w:val="32"/>
        </w:rPr>
        <w:t>年末财政拨款结转和结余8,048.11万元。综上，财政拨款收入支出总体</w:t>
      </w:r>
      <w:r>
        <w:rPr>
          <w:rFonts w:hint="eastAsia" w:ascii="仿宋_GB2312" w:eastAsia="仿宋_GB2312"/>
          <w:b w:val="0"/>
          <w:sz w:val="32"/>
          <w:szCs w:val="32"/>
          <w:lang w:eastAsia="zh-CN"/>
        </w:rPr>
        <w:t>较上年增加</w:t>
      </w:r>
      <w:r>
        <w:rPr>
          <w:rFonts w:ascii="仿宋_GB2312" w:eastAsia="仿宋_GB2312"/>
          <w:b w:val="0"/>
          <w:sz w:val="32"/>
          <w:szCs w:val="32"/>
        </w:rPr>
        <w:t>。与年初预算相比，年初预算数22,731.84万元，决算数34,160.37万元，预决算差异率50.28%，主要原因是：</w:t>
      </w:r>
      <w:r>
        <w:rPr>
          <w:rFonts w:hint="eastAsia" w:ascii="仿宋_GB2312" w:eastAsia="仿宋_GB2312"/>
          <w:b w:val="0"/>
          <w:sz w:val="32"/>
          <w:szCs w:val="32"/>
          <w:lang w:eastAsia="zh-CN"/>
        </w:rPr>
        <w:t>一是</w:t>
      </w:r>
      <w:r>
        <w:rPr>
          <w:rFonts w:ascii="仿宋_GB2312" w:eastAsia="仿宋_GB2312"/>
          <w:b w:val="0"/>
          <w:sz w:val="32"/>
          <w:szCs w:val="32"/>
        </w:rPr>
        <w:t>年中追加基本支出人员经费丧葬费抚恤金；</w:t>
      </w:r>
      <w:r>
        <w:rPr>
          <w:rFonts w:hint="eastAsia" w:ascii="仿宋_GB2312" w:eastAsia="仿宋_GB2312"/>
          <w:b w:val="0"/>
          <w:sz w:val="32"/>
          <w:szCs w:val="32"/>
          <w:lang w:eastAsia="zh-CN"/>
        </w:rPr>
        <w:t>二是</w:t>
      </w:r>
      <w:r>
        <w:rPr>
          <w:rFonts w:ascii="仿宋_GB2312" w:eastAsia="仿宋_GB2312"/>
          <w:b w:val="0"/>
          <w:sz w:val="32"/>
          <w:szCs w:val="32"/>
        </w:rPr>
        <w:t>年中追加项目资金较</w:t>
      </w:r>
      <w:r>
        <w:rPr>
          <w:rFonts w:ascii="仿宋_GB2312" w:eastAsia="仿宋_GB2312"/>
          <w:b w:val="0"/>
          <w:color w:val="auto"/>
          <w:sz w:val="32"/>
          <w:szCs w:val="32"/>
          <w:highlight w:val="none"/>
        </w:rPr>
        <w:t>多</w:t>
      </w:r>
      <w:r>
        <w:rPr>
          <w:rFonts w:hint="eastAsia" w:ascii="仿宋_GB2312" w:eastAsia="仿宋_GB2312"/>
          <w:b w:val="0"/>
          <w:color w:val="auto"/>
          <w:sz w:val="32"/>
          <w:szCs w:val="32"/>
          <w:highlight w:val="none"/>
          <w:lang w:eastAsia="zh-CN"/>
        </w:rPr>
        <w:t>，主要有2024年自治区本级高校追加生均拨款经费项目、2024年天山英才培养计划教育教学名师项目、2024年青年拔尖基层科级骨干人才项目、2024年智力援疆创新人才计划小组团援疆团队项目、2024年天山英才培养计划新疆工匠项目等；</w:t>
      </w:r>
      <w:r>
        <w:rPr>
          <w:rFonts w:hint="eastAsia" w:ascii="仿宋_GB2312" w:eastAsia="仿宋_GB2312"/>
          <w:b w:val="0"/>
          <w:sz w:val="32"/>
          <w:szCs w:val="32"/>
          <w:lang w:eastAsia="zh-CN"/>
        </w:rPr>
        <w:t>三是</w:t>
      </w:r>
      <w:r>
        <w:rPr>
          <w:rFonts w:ascii="仿宋_GB2312" w:eastAsia="仿宋_GB2312"/>
          <w:b w:val="0"/>
          <w:sz w:val="32"/>
          <w:szCs w:val="32"/>
        </w:rPr>
        <w:t>年末</w:t>
      </w:r>
      <w:r>
        <w:rPr>
          <w:rFonts w:hint="eastAsia" w:ascii="仿宋_GB2312" w:eastAsia="仿宋_GB2312"/>
          <w:b w:val="0"/>
          <w:sz w:val="32"/>
          <w:szCs w:val="32"/>
          <w:lang w:eastAsia="zh-CN"/>
        </w:rPr>
        <w:t>结转结余</w:t>
      </w:r>
      <w:r>
        <w:rPr>
          <w:rFonts w:ascii="仿宋_GB2312" w:eastAsia="仿宋_GB2312"/>
          <w:b w:val="0"/>
          <w:sz w:val="32"/>
          <w:szCs w:val="32"/>
        </w:rPr>
        <w:t>财政拨款</w:t>
      </w:r>
      <w:r>
        <w:rPr>
          <w:rFonts w:hint="eastAsia" w:ascii="仿宋_GB2312" w:eastAsia="仿宋_GB2312"/>
          <w:b w:val="0"/>
          <w:sz w:val="32"/>
          <w:szCs w:val="32"/>
          <w:lang w:eastAsia="zh-CN"/>
        </w:rPr>
        <w:t>资金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outlineLvl w:val="2"/>
        <w:rPr>
          <w:rFonts w:ascii="黑体" w:eastAsia="黑体" w:hAnsiTheme="minorHAnsi" w:cstheme="minorBidi"/>
          <w:b/>
          <w:sz w:val="32"/>
          <w:szCs w:val="32"/>
        </w:rPr>
      </w:pPr>
      <w:r>
        <w:rPr>
          <w:rFonts w:ascii="黑体" w:eastAsia="黑体" w:hAnsiTheme="minorHAnsi" w:cstheme="minorBidi"/>
          <w:b/>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rPr>
        <w:t>2024年度一般公共预算财政拨款支出26,112.26万元，占本年支出合计的77.59%。与上年相比，增加392.20万元，增长1.52%，主要原因是：</w:t>
      </w:r>
      <w:r>
        <w:rPr>
          <w:rFonts w:hint="eastAsia" w:ascii="仿宋_GB2312" w:eastAsia="仿宋_GB2312"/>
          <w:b w:val="0"/>
          <w:sz w:val="32"/>
          <w:szCs w:val="32"/>
          <w:lang w:eastAsia="zh-CN"/>
        </w:rPr>
        <w:t>一是因</w:t>
      </w:r>
      <w:r>
        <w:rPr>
          <w:rFonts w:ascii="仿宋_GB2312" w:eastAsia="仿宋_GB2312"/>
          <w:b w:val="0"/>
          <w:sz w:val="32"/>
          <w:szCs w:val="32"/>
        </w:rPr>
        <w:t>专户中安排较多基本支出</w:t>
      </w:r>
      <w:r>
        <w:rPr>
          <w:rFonts w:hint="eastAsia" w:ascii="仿宋_GB2312" w:eastAsia="仿宋_GB2312"/>
          <w:b w:val="0"/>
          <w:sz w:val="32"/>
          <w:szCs w:val="32"/>
          <w:lang w:eastAsia="zh-CN"/>
        </w:rPr>
        <w:t>，所以财政拨款收入中基本支出减少</w:t>
      </w:r>
      <w:r>
        <w:rPr>
          <w:rFonts w:ascii="仿宋_GB2312" w:eastAsia="仿宋_GB2312"/>
          <w:b w:val="0"/>
          <w:sz w:val="32"/>
          <w:szCs w:val="32"/>
        </w:rPr>
        <w:t>1,159.60万元；</w:t>
      </w:r>
      <w:r>
        <w:rPr>
          <w:rFonts w:hint="eastAsia" w:ascii="仿宋_GB2312" w:eastAsia="仿宋_GB2312"/>
          <w:b w:val="0"/>
          <w:sz w:val="32"/>
          <w:szCs w:val="32"/>
          <w:lang w:eastAsia="zh-CN"/>
        </w:rPr>
        <w:t>二是</w:t>
      </w:r>
      <w:r>
        <w:rPr>
          <w:rFonts w:ascii="仿宋_GB2312" w:eastAsia="仿宋_GB2312"/>
          <w:b w:val="0"/>
          <w:sz w:val="32"/>
          <w:szCs w:val="32"/>
        </w:rPr>
        <w:t>财政拨款追加项目资金较上年增加1,551.80万元。与年初预算相比，年初预算数22,731.84万元，决算数26,112.26万元，预决算差异率14.87%，主要原因是：</w:t>
      </w:r>
      <w:r>
        <w:rPr>
          <w:rFonts w:hint="eastAsia" w:ascii="仿宋_GB2312" w:eastAsia="仿宋_GB2312"/>
          <w:b w:val="0"/>
          <w:sz w:val="32"/>
          <w:szCs w:val="32"/>
          <w:lang w:eastAsia="zh-CN"/>
        </w:rPr>
        <w:t>一是</w:t>
      </w:r>
      <w:r>
        <w:rPr>
          <w:rFonts w:ascii="仿宋_GB2312" w:eastAsia="仿宋_GB2312"/>
          <w:b w:val="0"/>
          <w:sz w:val="32"/>
          <w:szCs w:val="32"/>
        </w:rPr>
        <w:t>年中追加基本支出人员经费丧葬费抚恤金；</w:t>
      </w:r>
      <w:r>
        <w:rPr>
          <w:rFonts w:hint="eastAsia" w:ascii="仿宋_GB2312" w:eastAsia="仿宋_GB2312"/>
          <w:b w:val="0"/>
          <w:sz w:val="32"/>
          <w:szCs w:val="32"/>
          <w:lang w:eastAsia="zh-CN"/>
        </w:rPr>
        <w:t>二是</w:t>
      </w:r>
      <w:r>
        <w:rPr>
          <w:rFonts w:ascii="仿宋_GB2312" w:eastAsia="仿宋_GB2312"/>
          <w:b w:val="0"/>
          <w:sz w:val="32"/>
          <w:szCs w:val="32"/>
        </w:rPr>
        <w:t>年中追加项目资金较多</w:t>
      </w:r>
      <w:r>
        <w:rPr>
          <w:rFonts w:hint="eastAsia" w:ascii="仿宋_GB2312" w:eastAsia="仿宋_GB2312"/>
          <w:b w:val="0"/>
          <w:sz w:val="32"/>
          <w:szCs w:val="32"/>
          <w:lang w:eastAsia="zh-CN"/>
        </w:rPr>
        <w:t>，</w:t>
      </w:r>
      <w:bookmarkStart w:id="0" w:name="_GoBack"/>
      <w:r>
        <w:rPr>
          <w:rFonts w:hint="eastAsia" w:ascii="仿宋_GB2312" w:eastAsia="仿宋_GB2312"/>
          <w:b w:val="0"/>
          <w:sz w:val="32"/>
          <w:szCs w:val="32"/>
          <w:highlight w:val="none"/>
          <w:lang w:eastAsia="zh-CN"/>
        </w:rPr>
        <w:t>主要有2024年自治区本级高校追加生均拨款经费项目、2024年天山英才培养计划教育教学名师项目、2024年青年拔尖基层科级骨干人才项目、2024年智力援疆创新人才计划小组团援疆团队项目、2024年天山英才培养计划新疆工匠项目等。</w:t>
      </w:r>
    </w:p>
    <w:bookmarkEnd w:id="0"/>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教育支出（类）25,899.26万元，占99.18%。</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科学技术支出（类）30.00万元，占0.11%。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社会保障和就业支出（类）29.00万元，占0.11%。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资源勘探工业信息等支出（类）154.00万元，占0.59%。</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1、教育支出（类）普通教育（款）高等教育（项）：支出决算数为30.00万元，比上年决算增加30.00万元，增长100.00%，主要原因是：追加2024年天池英才引进计划（第二批）特聘教授项目30.00万元。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2、教育支出（类）职业教育（款）技校教育（项）：支出决算数为56.79万元，比上年决算增加8.42万元，增长17.41%，主要原因是：技工招生规模扩大，技工学生奖助学金增多。</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3、教育支出（类）职业教育（款）高等职业教育（项）：支出决算数为25,812.47万元，比上年决算增加315.76万元，增长1.24%，主要原因是：在专户中增加了基本支出</w:t>
      </w:r>
      <w:r>
        <w:rPr>
          <w:rFonts w:hint="eastAsia" w:ascii="仿宋_GB2312" w:eastAsia="仿宋_GB2312"/>
          <w:b w:val="0"/>
          <w:sz w:val="32"/>
          <w:szCs w:val="32"/>
          <w:lang w:eastAsia="zh-CN"/>
        </w:rPr>
        <w:t>，财政拨款中</w:t>
      </w:r>
      <w:r>
        <w:rPr>
          <w:rFonts w:ascii="仿宋_GB2312" w:eastAsia="仿宋_GB2312"/>
          <w:b w:val="0"/>
          <w:sz w:val="32"/>
          <w:szCs w:val="32"/>
        </w:rPr>
        <w:t>人员经费减少961.85万元、公用经费减少119.78万元。财政增加项目拨款，项目支出较上年增加1,397.38万元。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4、科学技术支出（类）基础研究（款）科技人才队伍建设（项）：支出决算数为30.00万元，比上年决算增加30.00万元，增长100.00%，主要原因是：追加天山英才-科技人才项目资金30.00万元。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5、科学技术支出（类）基础研究（款）其他基础研究支出（项）：支出决算数为0.00万元，比上年决算减少2.00万元，下降100.00%，主要原因是：2024年无追加高校科研计划专项资金支出。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6、社会保障和就业支出（类）人力资源和社会保障管理事务（款）就业管理事务（项）：支出决算数为19.00万元，比上年决算增加19.00万元，增长100.00%，主要原因是：2024年追加天山英才新疆工匠项目。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7、社会保障和就业支出（类）人力资源和社会保障管理事务（款）其他人力资源和社会保障管理事务支出（项）：支出决算数为10.00万元，比上年决算增加10.00万元，增长100.00%，主要原因是：追加2024年自治区葡萄酒企业经营管理人员高级研修班项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8、社会保障和就业支出（类）行政事业单位养老支出（款）事业单位离退休（项）：支出决算数为0.00万元，比上年决算减少77.97万元，下降100.00%，主要原因是：2024年丧葬费抚恤金主款发生变化。</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9、资源勘探工业信息等支出（类）工业和信息产业监管（款）一般行政管理事务（项）：支出决算数为154.00万元，比上年决算增加154.00万元，增长100.00%，主要原因是：2024年追加智力援疆创新人才计划项目支出。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10、资源勘探工业信息等支出（类）工业和信息产业监管（款）产业发展（项）：支出决算数为0.00万元，比上年决算减少95.00万元，下降100.00%，主要原因是：2023年追加自治区葡萄酒产业发展专项资金95.00万元，2024年无此项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18,540.17万元，其中：人员经费17,310.17万元，包括：基本工资、津贴补贴、奖金、绩效工资、机关事业单位基本养老保险缴费、职业年金缴费、职工基本医疗保险缴费、公务员医疗补助缴费、其他社会保障缴费、住房公积金、退休费、抚恤金、生活补助、奖励金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公用经费1,230.00万元，包括：办公费、印刷费、水费、电费、邮电费、取暖费、物业管理费、差旅费、培训费、工会经费、福利费、其他交通费用和其他商品和服务支出。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0.00万元，与上年相比无变化，主要原因是：我单位无财政拨款“三公”经费支出。其中：因公出国（境）费支出0.00万元,占0.00%，与上年相比无变化，主要原因是：我单位无因公出国（境）费支出；公务用车购置及运行维护费支出0.00万元，占0.00%，与上年相比无变化，主要原因是：我单位无公务用车购置及运行维护费支出；公务接待费支出0.00万元，占0.00%，与上年相比无变化，主要原因是：我单位无公务接待费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我单位无公务用车购置及运行维护费支出。公务用车购置数0辆，公务用车保有量0辆。国有资产占用情况中固定资产车辆12辆，与公务用车保有量差异原因是：其他用车12辆使用预算外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公务接待费0.00万元，开支内容包括我单位无公务接待费支出。单位全年安排的国内公务接待0批次，0人次。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三公经费遵循只减不增原则，上年度三公经费为0.00万元。其中：因公出国（境）费全年预算数0.00万元，决算数0.00万元，预决算差异率0.00%，主要原因是：三公经费遵循只减不增原则，上年度三公经费为0.00万元；公务用车购置费全年预算数0.00万元，决算数0.00万元，预决算差异率0.00%，主要原因是：三公经费遵循只减不增原则，上年度三公经费为0.00万元；公务用车运行维护费全年预算数0.00万元，决算数0.00万元，预决算差异率0.00%，主要原因是：三公经费遵循只减不增原则，上年度三公经费为0.00万元；公务接待费全年预算数0.00万元，决算数0.00万元，预决算差异率0.00%，主要原因是：三公经费遵循只减不增原则，上年度三公经费为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outlineLvl w:val="2"/>
        <w:rPr>
          <w:rFonts w:ascii="黑体" w:eastAsia="黑体"/>
          <w:sz w:val="32"/>
          <w:szCs w:val="32"/>
        </w:rPr>
      </w:pPr>
      <w:r>
        <w:rPr>
          <w:rFonts w:ascii="黑体" w:eastAsia="黑体"/>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2024年度新疆轻工职业技术学院单位（事业单位）公用经费支出1,230.00万元，比上年减少119.78万元，下降8.87%，主要原因是：项目支出弥补公用经费。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2024年度政府采购支出总额4,533.75万元，其中：政府采购货物支出1,901.67万元、政府采购工程支出1,785.32万元、政府采购服务支出846.76万元。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授予中小企业合同金额4,212.40万元，占政府采购支出总额的92.91%，其中：授予小微企业合同金额2,972.82万元，占政府采购支出总额的65.57%。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outlineLvl w:val="2"/>
        <w:rPr>
          <w:rFonts w:ascii="黑体" w:eastAsia="黑体"/>
          <w:sz w:val="32"/>
          <w:szCs w:val="32"/>
        </w:rPr>
      </w:pPr>
      <w:r>
        <w:rPr>
          <w:rFonts w:ascii="黑体" w:eastAsia="黑体"/>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286,424.62平方米，价值47,933.88万元。车辆12辆，价值261.32万元，其中：副部（省）级及以上领导用车0辆、主要负责人用车0辆、机要通信用车0辆、应急保障用车0辆、执法执勤用车0辆、特种专业技术用车0辆、离退休干部服务用车0辆、其他用车12辆，其他用车主要是：一般业务用车;单价100万元（含）以上设备（不含车辆）19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80" w:firstLineChars="15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8个，全年预算7,172.00万元，全年执行数6,187.10万元。预算绩效管理取得的成效：一是严格执行《会计法》《预算法》《采购法》等制度规定；规范和加快预算执行,积极做好绩效监控和绩效评价工作，确保预算执行的准确性</w:t>
      </w:r>
      <w:r>
        <w:rPr>
          <w:rFonts w:hint="eastAsia" w:ascii="仿宋_GB2312" w:eastAsia="仿宋_GB2312"/>
          <w:b w:val="0"/>
          <w:sz w:val="32"/>
          <w:szCs w:val="32"/>
          <w:lang w:eastAsia="zh-CN"/>
        </w:rPr>
        <w:t>、</w:t>
      </w:r>
      <w:r>
        <w:rPr>
          <w:rFonts w:ascii="仿宋_GB2312" w:eastAsia="仿宋_GB2312"/>
          <w:b w:val="0"/>
          <w:sz w:val="32"/>
          <w:szCs w:val="32"/>
        </w:rPr>
        <w:t>及时性和规范性,切实发挥财政资金最大效用;二是各项工作实施及资金使用情况均在绩效目标设定时限完成，在项目经费的使用上,在保证各项任务顺利完成的同时,严格落实厉行节约原则。发现的问题及原因：一是预算绩效申报个别绩效目标设置不科学；二是因为编制的项目自评指标体系不够精细,绩效目标未完全细化,分解工作任务不够具体,在经费支出过程中精确度有待提高</w:t>
      </w:r>
      <w:r>
        <w:rPr>
          <w:rFonts w:hint="eastAsia" w:ascii="仿宋_GB2312" w:eastAsia="仿宋_GB2312"/>
          <w:b w:val="0"/>
          <w:sz w:val="32"/>
          <w:szCs w:val="32"/>
          <w:lang w:eastAsia="zh-CN"/>
        </w:rPr>
        <w:t>。</w:t>
      </w:r>
      <w:r>
        <w:rPr>
          <w:rFonts w:ascii="仿宋_GB2312" w:eastAsia="仿宋_GB2312"/>
          <w:b w:val="0"/>
          <w:sz w:val="32"/>
          <w:szCs w:val="32"/>
        </w:rPr>
        <w:t>下一步改进措施：在今后的预算绩效申报时,相关业务科室将全年工作任务细化分解为具体的工作目标,并采取定量的方式制定清晰、可衡量的绩效指标,提高项目使用精确度。具体项目自评情况附项目支出绩效自评表。具体附项目支出绩效自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ED35CC"/>
    <w:rsid w:val="0FA45EBC"/>
    <w:rsid w:val="305F35BB"/>
    <w:rsid w:val="37FA72D1"/>
    <w:rsid w:val="47680DBC"/>
    <w:rsid w:val="973EF82C"/>
    <w:rsid w:val="DFAF976E"/>
    <w:rsid w:val="F7FE48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17</TotalTime>
  <ScaleCrop>false</ScaleCrop>
  <LinksUpToDate>false</LinksUpToDate>
  <Application>WPS Office_11.8.2.10337_F1E327BC-269C-435d-A152-05C5408002CA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2025-01-01T00:09:00Z</dcterms:created>
  <dc:creator>Administrator</dc:creator>
  <cp:lastModifiedBy>user</cp:lastModifiedBy>
  <dcterms:modified xsi:type="dcterms:W3CDTF">2025-08-26T19:27:57Z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E3DF68ECDDA241D09DA29185977B1E7E</vt:lpwstr>
  </property>
</Properties>
</file>