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黑体" w:hAnsi="黑体" w:eastAsia="黑体" w:cs="黑体"/>
          <w:b/>
          <w:kern w:val="0"/>
          <w:sz w:val="52"/>
          <w:szCs w:val="52"/>
        </w:rPr>
      </w:pPr>
    </w:p>
    <w:p>
      <w:pPr>
        <w:spacing w:line="540" w:lineRule="exact"/>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后勤服务成本性支出</w:t>
      </w:r>
      <w:r>
        <w:rPr>
          <w:rFonts w:hint="eastAsia" w:ascii="黑体" w:hAnsi="黑体" w:eastAsia="黑体" w:cs="黑体"/>
          <w:b/>
          <w:bCs/>
          <w:sz w:val="44"/>
          <w:szCs w:val="44"/>
        </w:rPr>
        <w:t>专项经费项目</w:t>
      </w:r>
    </w:p>
    <w:p>
      <w:pPr>
        <w:spacing w:line="540" w:lineRule="exact"/>
        <w:jc w:val="center"/>
        <w:rPr>
          <w:rFonts w:hint="eastAsia" w:ascii="黑体" w:hAnsi="黑体" w:eastAsia="黑体" w:cs="黑体"/>
          <w:kern w:val="0"/>
          <w:sz w:val="44"/>
          <w:szCs w:val="44"/>
        </w:rPr>
      </w:pPr>
      <w:r>
        <w:rPr>
          <w:rFonts w:hint="eastAsia" w:ascii="黑体" w:hAnsi="黑体" w:eastAsia="黑体" w:cs="黑体"/>
          <w:kern w:val="0"/>
          <w:sz w:val="44"/>
          <w:szCs w:val="44"/>
        </w:rPr>
        <w:t>支出绩效评价报告</w:t>
      </w:r>
    </w:p>
    <w:p>
      <w:pPr>
        <w:spacing w:line="540" w:lineRule="exact"/>
        <w:jc w:val="center"/>
        <w:rPr>
          <w:rFonts w:hint="eastAsia" w:ascii="黑体" w:hAnsi="黑体" w:eastAsia="黑体" w:cs="黑体"/>
          <w:b/>
          <w:kern w:val="0"/>
          <w:sz w:val="44"/>
          <w:szCs w:val="44"/>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7"/>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后勤服务成本性支出</w:t>
      </w:r>
      <w:r>
        <w:rPr>
          <w:rFonts w:hint="eastAsia" w:ascii="Times New Roman" w:hAnsi="Times New Roman" w:eastAsia="仿宋_GB2312" w:cs="Times New Roman"/>
          <w:kern w:val="0"/>
          <w:sz w:val="36"/>
          <w:szCs w:val="36"/>
        </w:rPr>
        <w:t>专项经费</w:t>
      </w:r>
    </w:p>
    <w:p>
      <w:pPr>
        <w:spacing w:line="700" w:lineRule="exact"/>
        <w:ind w:firstLine="1440" w:firstLineChars="400"/>
        <w:jc w:val="left"/>
        <w:rPr>
          <w:rFonts w:hint="eastAsia" w:eastAsia="仿宋_GB2312"/>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rPr>
        <w:t>新</w:t>
      </w:r>
      <w:r>
        <w:rPr>
          <w:rFonts w:hint="eastAsia" w:eastAsia="仿宋_GB2312"/>
          <w:kern w:val="0"/>
          <w:sz w:val="36"/>
          <w:szCs w:val="36"/>
        </w:rPr>
        <w:t>疆轻工职业技术学院</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李晓江</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2"/>
          <w:rFonts w:hint="default" w:ascii="Times New Roman" w:hAnsi="Times New Roman" w:eastAsia="黑体" w:cs="Times New Roman"/>
          <w:b w:val="0"/>
          <w:spacing w:val="-4"/>
          <w:sz w:val="32"/>
          <w:szCs w:val="32"/>
        </w:rPr>
      </w:pPr>
    </w:p>
    <w:p>
      <w:pPr>
        <w:spacing w:line="540" w:lineRule="exact"/>
        <w:ind w:firstLine="640"/>
        <w:rPr>
          <w:rStyle w:val="12"/>
          <w:rFonts w:hint="default" w:ascii="Times New Roman" w:hAnsi="Times New Roman" w:eastAsia="黑体" w:cs="Times New Roman"/>
          <w:b w:val="0"/>
          <w:spacing w:val="-4"/>
          <w:sz w:val="32"/>
          <w:szCs w:val="32"/>
        </w:rPr>
      </w:pPr>
    </w:p>
    <w:p>
      <w:pPr>
        <w:spacing w:line="540" w:lineRule="exact"/>
        <w:rPr>
          <w:rStyle w:val="12"/>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7"/>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后勤服务成本性支出项目为高校食堂运营专项，根据教育部等五部委关于进一步加强高等学校学生食堂工作的意见，主要用于自营餐厅食材采购、员工工资及社保支出，旨在保障师生餐饮服务质量和食品安全。项目覆盖食材供应链管理、人力资源成本控制、服务质量提升三大核心领域，通过优化采购流程、强化成本核算、完善员工激励机制，实现食堂运营的可持续发展。</w:t>
      </w:r>
    </w:p>
    <w:p>
      <w:pPr>
        <w:pStyle w:val="7"/>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560" w:lineRule="exact"/>
        <w:ind w:left="0" w:leftChars="0" w:firstLine="600" w:firstLineChars="200"/>
        <w:rPr>
          <w:rFonts w:hint="eastAsia"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b w:val="0"/>
          <w:bCs w:val="0"/>
          <w:kern w:val="2"/>
          <w:sz w:val="30"/>
          <w:szCs w:val="30"/>
          <w:highlight w:val="none"/>
          <w:lang w:val="en-US" w:eastAsia="zh-CN" w:bidi="ar-SA"/>
        </w:rPr>
        <w:t>自营餐厅食材购买及食堂员工薪酬支出等。</w:t>
      </w:r>
    </w:p>
    <w:p>
      <w:pPr>
        <w:spacing w:line="560" w:lineRule="exact"/>
        <w:ind w:left="0" w:leftChars="0" w:firstLine="0" w:firstLineChars="0"/>
        <w:rPr>
          <w:rFonts w:hint="default" w:ascii="Times New Roman" w:hAnsi="Times New Roman" w:eastAsia="仿宋_GB2312" w:cs="Times New Roman"/>
          <w:lang w:val="en-US" w:eastAsia="zh-CN"/>
        </w:rPr>
      </w:pPr>
      <w:r>
        <w:rPr>
          <w:rFonts w:hint="eastAsia"/>
          <w:lang w:val="en-US" w:eastAsia="zh-CN"/>
        </w:rPr>
        <w:t xml:space="preserve">      </w:t>
      </w: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该项目收入来源主要为学院自营餐厅营业额，资金性质为单位资金。全年资金按预算执行支出</w:t>
      </w:r>
      <w:r>
        <w:rPr>
          <w:rFonts w:hint="eastAsia"/>
          <w:lang w:eastAsia="zh-CN"/>
        </w:rPr>
        <w:t>，</w:t>
      </w:r>
      <w:r>
        <w:rPr>
          <w:rFonts w:hint="eastAsia" w:eastAsia="仿宋_GB2312" w:cs="Times New Roman"/>
          <w:sz w:val="32"/>
          <w:szCs w:val="32"/>
          <w:lang w:val="en-US" w:eastAsia="zh-CN"/>
        </w:rPr>
        <w:t>差异甚微。</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color w:val="auto"/>
          <w:sz w:val="32"/>
          <w:szCs w:val="32"/>
          <w:highlight w:val="none"/>
          <w:lang w:val="en-US" w:eastAsia="zh-CN"/>
        </w:rPr>
        <w:t>720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720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其他资金</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567.16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78.77</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b w:val="0"/>
          <w:bCs w:val="0"/>
          <w:kern w:val="2"/>
          <w:sz w:val="30"/>
          <w:szCs w:val="30"/>
          <w:highlight w:val="none"/>
          <w:lang w:val="en-US" w:eastAsia="zh-CN" w:bidi="ar-SA"/>
        </w:rPr>
        <w:t>自营餐厅食材购买及食堂员工薪酬支出等</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进一步做好高校学生伙食工作，规范和加强食堂运行资金管理，稳定学生食堂饭菜价格，根据教育部等五部委关于进一步加强高等学校学生食堂工作的意见，保证学生的生活水平不降低，维护校园稳定。提供质量好、价格合理的服务，满足广大学生和教职工的需求。</w:t>
      </w:r>
    </w:p>
    <w:p>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widowControl w:val="0"/>
        <w:numPr>
          <w:ilvl w:val="0"/>
          <w:numId w:val="0"/>
        </w:numPr>
        <w:spacing w:line="560"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服务质量：包括服务态度、服务流程、规范化程度、食品质量等。目标是提供高效、优质、安全、美味的食品，满足师生需求。2.资源利用：包括食品、人力、设备等资源的合理利用，降低成本，提高效益。目标是实现资源的最优配置，提高食堂的运营效率。3.食品安全：包括食品的采购、储存、加工、销售等环节的食品安全管理。目标是确保食品的安全、卫生，预防食物中毒等食品安全事故的发生。</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本项目预算绩效评价报告的评价对象是后勤服务成本性支出及其预算执行情况。该项目由</w:t>
      </w:r>
      <w:r>
        <w:rPr>
          <w:rFonts w:hint="eastAsia" w:ascii="Times New Roman" w:hAnsi="Times New Roman" w:eastAsia="仿宋_GB2312" w:cs="Times New Roman"/>
          <w:b w:val="0"/>
          <w:bCs w:val="0"/>
          <w:highlight w:val="none"/>
          <w:lang w:eastAsia="zh-CN"/>
        </w:rPr>
        <w:t>新疆轻工职业技术学院后勤服务饮食中心</w:t>
      </w:r>
      <w:r>
        <w:rPr>
          <w:rFonts w:hint="default" w:ascii="Times New Roman" w:hAnsi="Times New Roman" w:eastAsia="仿宋_GB2312" w:cs="Times New Roman"/>
          <w:b w:val="0"/>
          <w:bCs w:val="0"/>
          <w:highlight w:val="none"/>
        </w:rPr>
        <w:t>负责实施，旨在规范和加强食堂运行资金管理，稳定学生食堂饭菜价格。项目预算涵盖从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720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7"/>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7"/>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7"/>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numPr>
          <w:ilvl w:val="0"/>
          <w:numId w:val="2"/>
        </w:numPr>
        <w:spacing w:line="560" w:lineRule="exact"/>
        <w:ind w:firstLine="640" w:firstLineChars="200"/>
        <w:rPr>
          <w:rFonts w:hint="eastAsia"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社会、</w:t>
      </w:r>
      <w:r>
        <w:rPr>
          <w:rFonts w:hint="eastAsia" w:ascii="Times New Roman" w:hAnsi="Times New Roman" w:eastAsia="仿宋_GB2312" w:cs="Times New Roman"/>
          <w:b w:val="0"/>
          <w:bCs w:val="0"/>
          <w:kern w:val="28"/>
          <w:sz w:val="32"/>
          <w:szCs w:val="32"/>
          <w:highlight w:val="none"/>
          <w:lang w:val="en-US" w:eastAsia="zh-CN" w:bidi="ar-SA"/>
        </w:rPr>
        <w:t>生态</w:t>
      </w:r>
      <w:r>
        <w:rPr>
          <w:rFonts w:hint="default" w:ascii="Times New Roman" w:hAnsi="Times New Roman" w:eastAsia="仿宋_GB2312" w:cs="Times New Roman"/>
          <w:b w:val="0"/>
          <w:bCs w:val="0"/>
          <w:kern w:val="28"/>
          <w:sz w:val="32"/>
          <w:szCs w:val="32"/>
          <w:highlight w:val="none"/>
          <w:lang w:val="en-US" w:eastAsia="zh-CN" w:bidi="ar-SA"/>
        </w:rPr>
        <w:t>等影响：</w:t>
      </w:r>
      <w:r>
        <w:rPr>
          <w:rFonts w:hint="eastAsia" w:eastAsia="仿宋_GB2312" w:cs="Times New Roman"/>
          <w:b w:val="0"/>
          <w:bCs w:val="0"/>
          <w:kern w:val="28"/>
          <w:sz w:val="32"/>
          <w:szCs w:val="32"/>
          <w:highlight w:val="none"/>
          <w:lang w:val="en-US" w:eastAsia="zh-CN" w:bidi="ar-SA"/>
        </w:rPr>
        <w:t>保障</w:t>
      </w:r>
      <w:r>
        <w:rPr>
          <w:rFonts w:hint="default" w:ascii="Times New Roman" w:hAnsi="Times New Roman" w:eastAsia="仿宋_GB2312" w:cs="Times New Roman"/>
          <w:b w:val="0"/>
          <w:bCs w:val="0"/>
          <w:kern w:val="28"/>
          <w:sz w:val="32"/>
          <w:szCs w:val="32"/>
          <w:highlight w:val="none"/>
          <w:lang w:val="en-US" w:eastAsia="zh-CN" w:bidi="ar-SA"/>
        </w:rPr>
        <w:t>学生的生活水平不降低，维护校园稳定。提供质量好、价格合理的服务，满足广大学生和教职工的需求</w:t>
      </w:r>
      <w:r>
        <w:rPr>
          <w:rFonts w:hint="eastAsia" w:eastAsia="仿宋_GB2312" w:cs="Times New Roman"/>
          <w:b w:val="0"/>
          <w:bCs w:val="0"/>
          <w:kern w:val="28"/>
          <w:sz w:val="32"/>
          <w:szCs w:val="32"/>
          <w:highlight w:val="none"/>
          <w:lang w:val="en-US" w:eastAsia="zh-CN" w:bidi="ar-SA"/>
        </w:rPr>
        <w:t>。</w:t>
      </w:r>
    </w:p>
    <w:p>
      <w:pPr>
        <w:numPr>
          <w:ilvl w:val="0"/>
          <w:numId w:val="0"/>
        </w:numPr>
        <w:spacing w:line="560" w:lineRule="exact"/>
        <w:ind w:firstLine="321" w:firstLineChars="1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7"/>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7"/>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四</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绩效评价标准通常包括计划标准、行业标准、历史标准等，用于对</w:t>
      </w:r>
      <w:r>
        <w:rPr>
          <w:rFonts w:hint="default" w:ascii="Times New Roman" w:hAnsi="Times New Roman" w:eastAsia="仿宋_GB2312" w:cs="Times New Roman"/>
          <w:b w:val="0"/>
          <w:bCs w:val="0"/>
          <w:highlight w:val="none"/>
        </w:rPr>
        <w:t>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w:t>
      </w:r>
      <w:r>
        <w:rPr>
          <w:rFonts w:hint="default" w:ascii="Times New Roman" w:hAnsi="Times New Roman" w:eastAsia="仿宋_GB2312" w:cs="Times New Roman"/>
          <w:b w:val="0"/>
          <w:bCs w:val="0"/>
        </w:rPr>
        <w:t>先制定的目标、计划、预算、定额等作为评价标准。</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pPr>
        <w:pStyle w:val="7"/>
        <w:numPr>
          <w:ilvl w:val="0"/>
          <w:numId w:val="3"/>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7"/>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后勤服务成本性支出在规范和加强食堂运行资金管理，稳定学生食堂饭菜价格等方面表现出色，达到了预期的标准与要求。同时，项目也在提高学生生活质量取得了显著的成效，如</w:t>
      </w:r>
      <w:r>
        <w:rPr>
          <w:rFonts w:hint="eastAsia" w:eastAsia="仿宋_GB2312" w:cs="Times New Roman"/>
          <w:sz w:val="32"/>
          <w:szCs w:val="32"/>
          <w:highlight w:val="none"/>
          <w:lang w:eastAsia="zh-CN"/>
        </w:rPr>
        <w:t>减轻困难家庭学生生活水平</w:t>
      </w:r>
      <w:r>
        <w:rPr>
          <w:rFonts w:hint="default" w:ascii="Times New Roman" w:hAnsi="Times New Roman" w:eastAsia="仿宋_GB2312" w:cs="Times New Roman"/>
          <w:sz w:val="32"/>
          <w:szCs w:val="32"/>
          <w:highlight w:val="none"/>
        </w:rPr>
        <w:t>等。</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新疆轻工职业技术学院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保证学生的生活水平不降低，维护校园稳定。提供质量好、价格合理的服务，满足广大学生和教职工的需求等方面的提升，为项目的利益相关者带来了实实在在的利益。</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后勤服务成本性支出</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7"/>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w:t>
      </w:r>
      <w:r>
        <w:rPr>
          <w:rFonts w:hint="default" w:ascii="Times New Roman" w:hAnsi="Times New Roman" w:eastAsia="仿宋_GB2312" w:cs="Times New Roman"/>
          <w:b w:val="0"/>
          <w:bCs w:val="0"/>
          <w:highlight w:val="none"/>
        </w:rPr>
        <w:t>，通过数据采集、问卷调查及访谈等方式，对本项目进行客观评价，最终评分结果：总得分为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85</w:t>
      </w:r>
      <w:r>
        <w:rPr>
          <w:rFonts w:hint="default" w:ascii="Times New Roman" w:hAnsi="Times New Roman" w:eastAsia="仿宋_GB2312" w:cs="Times New Roman"/>
          <w:b w:val="0"/>
          <w:bCs w:val="0"/>
          <w:highlight w:val="none"/>
          <w:lang w:val="en" w:eastAsia="zh-CN"/>
        </w:rPr>
        <w:t>.</w:t>
      </w:r>
      <w:r>
        <w:rPr>
          <w:rFonts w:hint="eastAsia" w:ascii="Times New Roman" w:hAnsi="Times New Roman" w:eastAsia="仿宋_GB2312" w:cs="Times New Roman"/>
          <w:b w:val="0"/>
          <w:bCs w:val="0"/>
          <w:highlight w:val="none"/>
          <w:lang w:val="en-US" w:eastAsia="zh-CN"/>
        </w:rPr>
        <w:t>49</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良</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6.06</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30.3</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39.43</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98.57</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7"/>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6.06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39.43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85.49</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7"/>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7"/>
        <w:numPr>
          <w:ilvl w:val="0"/>
          <w:numId w:val="5"/>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w:t>
      </w:r>
      <w:r>
        <w:rPr>
          <w:rFonts w:hint="default" w:ascii="Times New Roman" w:hAnsi="Times New Roman" w:eastAsia="仿宋_GB2312" w:cs="Times New Roman"/>
          <w:sz w:val="32"/>
          <w:szCs w:val="32"/>
          <w:highlight w:val="none"/>
          <w:lang w:val="en-US" w:eastAsia="zh-CN"/>
        </w:rPr>
        <w:t>重分值为20分，实际得分</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w:t>
      </w:r>
    </w:p>
    <w:p>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567.16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78.77</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8"/>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w:t>
      </w:r>
      <w:r>
        <w:rPr>
          <w:rFonts w:hint="default" w:ascii="Times New Roman" w:hAnsi="Times New Roman" w:eastAsia="仿宋_GB2312" w:cs="Times New Roman"/>
          <w:sz w:val="32"/>
          <w:szCs w:val="32"/>
          <w:highlight w:val="none"/>
          <w:lang w:val="en-US" w:eastAsia="zh-CN"/>
        </w:rPr>
        <w:t>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45.49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75.83</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指标1：保障食堂职工人数，指标值：&gt;=35人，实际完成值：</w:t>
      </w:r>
      <w:r>
        <w:rPr>
          <w:rFonts w:hint="eastAsia" w:eastAsia="仿宋_GB2312" w:cs="Times New Roman"/>
          <w:sz w:val="32"/>
          <w:szCs w:val="32"/>
          <w:highlight w:val="none"/>
          <w:lang w:val="en-US" w:eastAsia="zh-CN"/>
        </w:rPr>
        <w:t>34人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97.14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食堂员工流动性大</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：厨具购置批次，指标值：&gt;=1批，实际完成值：1批，指标完成率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：购买食材批次，指标值：&gt;=7批，实际完成值：7批，指标完成率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指标1：食堂员工持健康证上岗率，指标值：=100%，实际完成值：100%，指标完成率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：购置厨具合格率，指标值：=100%，实际完成值：100%，指标完成率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：食材采购合格率=100%，指标值：100%，实际完成值：</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指标1：食堂职工工资发放及时率，指标值：=100%，实际完成值：100%，指标完成率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指标1：食堂职工经费，指标值：</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&lt;=330万元，实际完成值：236.58万元，指标完成率71.69%，偏差原因：</w:t>
      </w:r>
      <w:r>
        <w:rPr>
          <w:rFonts w:hint="eastAsia" w:eastAsia="仿宋_GB2312" w:cs="Times New Roman"/>
          <w:sz w:val="32"/>
          <w:szCs w:val="32"/>
          <w:highlight w:val="none"/>
          <w:lang w:val="en-US" w:eastAsia="zh-CN"/>
        </w:rPr>
        <w:t>食堂职工流动性大</w:t>
      </w:r>
      <w:r>
        <w:rPr>
          <w:rFonts w:hint="default" w:ascii="Times New Roman" w:hAnsi="Times New Roman" w:eastAsia="仿宋_GB2312" w:cs="Times New Roman"/>
          <w:sz w:val="32"/>
          <w:szCs w:val="32"/>
          <w:highlight w:val="none"/>
          <w:lang w:val="en-US" w:eastAsia="zh-CN"/>
        </w:rPr>
        <w:t>。</w:t>
      </w:r>
    </w:p>
    <w:p>
      <w:pPr>
        <w:pStyle w:val="8"/>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指标2：厨具购置经费，指标值：&lt;=145万元，实际完成值：2.1万元，指标完成率1.45%，偏差原因：</w:t>
      </w:r>
      <w:r>
        <w:rPr>
          <w:rFonts w:hint="eastAsia" w:eastAsia="仿宋_GB2312" w:cs="Times New Roman"/>
          <w:sz w:val="32"/>
          <w:szCs w:val="32"/>
          <w:highlight w:val="none"/>
          <w:lang w:val="en-US" w:eastAsia="zh-CN"/>
        </w:rPr>
        <w:t>秉承节约精神、未采购厨房设备</w:t>
      </w:r>
      <w:r>
        <w:rPr>
          <w:rFonts w:hint="default" w:ascii="Times New Roman" w:hAnsi="Times New Roman" w:eastAsia="仿宋_GB2312" w:cs="Times New Roman"/>
          <w:sz w:val="32"/>
          <w:szCs w:val="32"/>
          <w:highlight w:val="none"/>
          <w:lang w:val="en-US" w:eastAsia="zh-CN"/>
        </w:rPr>
        <w:t>。</w:t>
      </w:r>
    </w:p>
    <w:p>
      <w:pPr>
        <w:pStyle w:val="8"/>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指标3：食材采购成本，指标值：&lt;=235万元，实际完成值：190.9万元，指标完成率81.23%，偏差原因：</w:t>
      </w:r>
      <w:r>
        <w:rPr>
          <w:rFonts w:hint="eastAsia" w:eastAsia="仿宋_GB2312" w:cs="Times New Roman"/>
          <w:sz w:val="32"/>
          <w:szCs w:val="32"/>
          <w:highlight w:val="none"/>
          <w:lang w:val="en-US" w:eastAsia="zh-CN"/>
        </w:rPr>
        <w:t>消化以往年度资金</w:t>
      </w:r>
      <w:r>
        <w:rPr>
          <w:rFonts w:hint="default" w:ascii="Times New Roman" w:hAnsi="Times New Roman" w:eastAsia="仿宋_GB2312" w:cs="Times New Roman"/>
          <w:sz w:val="32"/>
          <w:szCs w:val="32"/>
          <w:highlight w:val="none"/>
          <w:lang w:val="en-US" w:eastAsia="zh-CN"/>
        </w:rPr>
        <w:t>。</w:t>
      </w:r>
    </w:p>
    <w:p>
      <w:pPr>
        <w:pStyle w:val="8"/>
        <w:numPr>
          <w:ilvl w:val="0"/>
          <w:numId w:val="0"/>
        </w:numPr>
        <w:spacing w:line="560" w:lineRule="exact"/>
        <w:ind w:firstLine="640" w:firstLineChars="200"/>
        <w:rPr>
          <w:rFonts w:hint="default" w:ascii="Times New Roman" w:hAnsi="Times New Roman" w:eastAsia="楷体_GB2312" w:cs="Times New Roman"/>
          <w:b/>
          <w:bCs/>
          <w:sz w:val="32"/>
          <w:szCs w:val="32"/>
          <w:highlight w:val="none"/>
          <w:lang w:val="en-US" w:eastAsia="zh-CN"/>
        </w:rPr>
      </w:pPr>
      <w:r>
        <w:rPr>
          <w:rFonts w:hint="eastAsia" w:eastAsia="仿宋_GB2312" w:cs="Times New Roman"/>
          <w:sz w:val="32"/>
          <w:szCs w:val="32"/>
          <w:highlight w:val="none"/>
          <w:lang w:val="en-US" w:eastAsia="zh-CN"/>
        </w:rPr>
        <w:t>（四）</w:t>
      </w: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w:t>
      </w:r>
      <w:r>
        <w:rPr>
          <w:rFonts w:hint="default" w:ascii="Times New Roman" w:hAnsi="Times New Roman" w:eastAsia="仿宋_GB2312" w:cs="Times New Roman"/>
          <w:sz w:val="32"/>
          <w:szCs w:val="32"/>
          <w:lang w:val="en-US" w:eastAsia="zh-CN"/>
        </w:rPr>
        <w:t>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指标1：提高学生生活质量，指标值：有效提高，实际完成值：</w:t>
      </w:r>
      <w:r>
        <w:rPr>
          <w:rFonts w:hint="eastAsia" w:eastAsia="仿宋_GB2312" w:cs="Times New Roman"/>
          <w:sz w:val="32"/>
          <w:szCs w:val="32"/>
          <w:highlight w:val="none"/>
          <w:lang w:eastAsia="zh-CN"/>
        </w:rPr>
        <w:t>有效提高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指标1：学生满意度，指标值：&gt;=90%，实际完成值：90%，指标完成率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8"/>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指标2：教职工满意度，指标值：&gt;=90%，实际完成值：90%，指标完成率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13"/>
        <w:spacing w:line="560" w:lineRule="exact"/>
        <w:ind w:left="0" w:leftChars="0"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后勤服务成本性支出</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720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720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567.16</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78.77</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88.58</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11.42</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该项目为我单位资金</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预算收入支出与年初计划存在偏差。</w:t>
      </w:r>
    </w:p>
    <w:p>
      <w:pPr>
        <w:spacing w:line="560" w:lineRule="exact"/>
        <w:ind w:firstLine="640" w:firstLineChars="200"/>
        <w:rPr>
          <w:rStyle w:val="14"/>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7"/>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9"/>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9"/>
        <w:spacing w:after="0" w:line="560" w:lineRule="exact"/>
        <w:ind w:left="0" w:leftChars="0" w:firstLine="640"/>
        <w:rPr>
          <w:rFonts w:hint="eastAsia" w:ascii="Times New Roman" w:hAnsi="Times New Roman" w:eastAsia="仿宋_GB2312" w:cs="Times New Roman"/>
          <w:sz w:val="32"/>
          <w:szCs w:val="32"/>
          <w:lang w:eastAsia="zh-CN"/>
        </w:rPr>
      </w:pPr>
    </w:p>
    <w:p>
      <w:pPr>
        <w:pStyle w:val="9"/>
        <w:spacing w:after="0" w:line="560" w:lineRule="exact"/>
        <w:ind w:left="0" w:leftChars="0" w:firstLine="640"/>
        <w:rPr>
          <w:rFonts w:hint="eastAsia" w:ascii="Times New Roman" w:hAnsi="Times New Roman" w:eastAsia="仿宋_GB2312" w:cs="Times New Roman"/>
          <w:sz w:val="32"/>
          <w:szCs w:val="32"/>
          <w:lang w:eastAsia="zh-CN"/>
        </w:rPr>
      </w:pPr>
    </w:p>
    <w:p>
      <w:pPr>
        <w:pStyle w:val="9"/>
        <w:spacing w:after="0" w:line="560" w:lineRule="exact"/>
        <w:ind w:left="0" w:leftChars="0" w:firstLine="640"/>
        <w:rPr>
          <w:rFonts w:hint="eastAsia" w:ascii="Times New Roman" w:hAnsi="Times New Roman" w:eastAsia="仿宋_GB2312" w:cs="Times New Roman"/>
          <w:sz w:val="32"/>
          <w:szCs w:val="32"/>
          <w:lang w:eastAsia="zh-CN"/>
        </w:rPr>
      </w:pPr>
    </w:p>
    <w:p/>
    <w:p/>
    <w:p/>
    <w:p/>
    <w:p/>
    <w:p/>
    <w:p/>
    <w:p/>
    <w:p/>
    <w:p/>
    <w:p/>
    <w:p/>
    <w:p/>
    <w:p/>
    <w:p/>
    <w:p/>
    <w:p/>
    <w:p/>
    <w:p/>
    <w:p/>
    <w:p/>
    <w:p/>
    <w:p/>
    <w:p/>
    <w:p/>
    <w:p/>
    <w:p/>
    <w:p/>
    <w:p/>
    <w:p/>
    <w:p/>
    <w:p/>
    <w:p/>
    <w:p/>
    <w:p>
      <w:pPr>
        <w:sectPr>
          <w:pgSz w:w="11906" w:h="16838"/>
          <w:pgMar w:top="1440" w:right="1800" w:bottom="1440" w:left="180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3"/>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后勤服务成本性支出</w:t>
      </w:r>
      <w:r>
        <w:rPr>
          <w:rFonts w:hint="eastAsia" w:ascii="仿宋_GB2312" w:hAnsi="仿宋_GB2312" w:eastAsia="仿宋_GB2312" w:cs="仿宋_GB2312"/>
          <w:b/>
          <w:bCs/>
          <w:sz w:val="28"/>
          <w:szCs w:val="40"/>
        </w:rPr>
        <w:t>专项经费项目</w:t>
      </w:r>
      <w:r>
        <w:rPr>
          <w:rFonts w:hint="eastAsia" w:ascii="仿宋_GB2312" w:hAnsi="仿宋_GB2312" w:eastAsia="仿宋_GB2312" w:cs="仿宋_GB2312"/>
          <w:b/>
          <w:bCs/>
          <w:sz w:val="28"/>
          <w:szCs w:val="40"/>
        </w:rPr>
        <w:t>绩效评价指标体系及综合评分表</w:t>
      </w:r>
      <w:bookmarkEnd w:id="1"/>
      <w:bookmarkEnd w:id="2"/>
    </w:p>
    <w:tbl>
      <w:tblPr>
        <w:tblStyle w:val="1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后勤服务成本性支出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新疆轻工职业技术学院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567.16</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7.88</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78.77%</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720.00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567.16</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为进一步做好高校学生伙食工作，规范和加强食堂运行资金管理，稳定学生食堂饭菜价格，根据教育部等五部委关于进一步加强高等学校学生食堂工作的意见，保证学生的生活水平不降低，维护校园稳定。提供质量好、价格合理的服务，满足广大学生和教职工的需求。</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服务质量：包括服务态度、服务流程、规范化程度、食品质量等。目标是提供高效、优质、安全、美味的食品，满足师生需求。2.资源利用：包括食品、人力、设备等资源的合理利用，降低成本，提高效益。目标是实现资源的最优配置，提高食堂的运营效率。 3.食品安全：包括食品的采购、储存、加工、销售等环节的食品安全管理。目标是确保食品的安全、卫生，预防食物中毒等食品安全事故的发生。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保障食堂职工人数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&gt;=35人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97.14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7.43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厨具购置批次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购买食材批次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&gt;=7批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食堂员工持健康证上岗率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购置厨具合格率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食材采购合格率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食堂职工工资发放及时率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食堂职工经费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&lt;=330万元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=236.58万元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71.69</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2.34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厨具购置经费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&lt;=145万元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=2.1万元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食材采购成本</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&lt;=235万元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=190.9万元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81.23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3.72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提高学生生活质量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学生满意度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教职工满意度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83.37分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rPr>
          <w:rFonts w:hint="default" w:ascii="Times New Roman" w:hAnsi="Times New Roman" w:cs="Times New Roman"/>
        </w:rPr>
      </w:pPr>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7764392"/>
    <w:multiLevelType w:val="singleLevel"/>
    <w:tmpl w:val="67764392"/>
    <w:lvl w:ilvl="0" w:tentative="0">
      <w:start w:val="2"/>
      <w:numFmt w:val="decimal"/>
      <w:suff w:val="nothing"/>
      <w:lvlText w:val="%1."/>
      <w:lvlJc w:val="left"/>
    </w:lvl>
  </w:abstractNum>
  <w:abstractNum w:abstractNumId="5">
    <w:nsid w:val="67764654"/>
    <w:multiLevelType w:val="singleLevel"/>
    <w:tmpl w:val="67764654"/>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37577"/>
    <w:rsid w:val="0A841F49"/>
    <w:rsid w:val="0ABC163E"/>
    <w:rsid w:val="0B1A5177"/>
    <w:rsid w:val="0C3B4BA3"/>
    <w:rsid w:val="0FEC05E8"/>
    <w:rsid w:val="15EA6A08"/>
    <w:rsid w:val="252247BF"/>
    <w:rsid w:val="276D0F1A"/>
    <w:rsid w:val="2AD76D1A"/>
    <w:rsid w:val="2DA14DF8"/>
    <w:rsid w:val="33BD3592"/>
    <w:rsid w:val="375D977D"/>
    <w:rsid w:val="3B4B72E0"/>
    <w:rsid w:val="3FF1340C"/>
    <w:rsid w:val="40942FF7"/>
    <w:rsid w:val="41567467"/>
    <w:rsid w:val="468E004A"/>
    <w:rsid w:val="49633313"/>
    <w:rsid w:val="4BD43DD9"/>
    <w:rsid w:val="4C6353E5"/>
    <w:rsid w:val="53CF4010"/>
    <w:rsid w:val="574774D8"/>
    <w:rsid w:val="57B0054E"/>
    <w:rsid w:val="5D8F6653"/>
    <w:rsid w:val="5E1E2FBD"/>
    <w:rsid w:val="654D1EBF"/>
    <w:rsid w:val="667E068F"/>
    <w:rsid w:val="6B162402"/>
    <w:rsid w:val="6B510855"/>
    <w:rsid w:val="6D053170"/>
    <w:rsid w:val="6EFFE078"/>
    <w:rsid w:val="743766C5"/>
    <w:rsid w:val="7EE96026"/>
    <w:rsid w:val="BFC7D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8">
    <w:name w:val="Body Text First Indent"/>
    <w:basedOn w:val="3"/>
    <w:qFormat/>
    <w:uiPriority w:val="0"/>
    <w:pPr>
      <w:spacing w:after="0"/>
      <w:ind w:firstLine="200" w:firstLineChars="200"/>
    </w:pPr>
  </w:style>
  <w:style w:type="paragraph" w:styleId="9">
    <w:name w:val="Body Text First Indent 2"/>
    <w:basedOn w:val="4"/>
    <w:qFormat/>
    <w:uiPriority w:val="0"/>
    <w:pPr>
      <w:ind w:firstLine="420" w:firstLineChars="200"/>
    </w:pPr>
  </w:style>
  <w:style w:type="character" w:styleId="12">
    <w:name w:val="Strong"/>
    <w:basedOn w:val="11"/>
    <w:qFormat/>
    <w:uiPriority w:val="0"/>
    <w:rPr>
      <w:b/>
      <w:bCs/>
    </w:rPr>
  </w:style>
  <w:style w:type="paragraph" w:customStyle="1" w:styleId="13">
    <w:name w:val="闻政-正文段落文字"/>
    <w:basedOn w:val="1"/>
    <w:qFormat/>
    <w:uiPriority w:val="3"/>
    <w:pPr>
      <w:spacing w:line="500" w:lineRule="exact"/>
      <w:ind w:firstLine="200"/>
    </w:pPr>
    <w:rPr>
      <w:kern w:val="0"/>
      <w:szCs w:val="28"/>
    </w:rPr>
  </w:style>
  <w:style w:type="character" w:customStyle="1" w:styleId="14">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9608</Words>
  <Characters>9911</Characters>
  <Lines>0</Lines>
  <Paragraphs>0</Paragraphs>
  <TotalTime>2</TotalTime>
  <ScaleCrop>false</ScaleCrop>
  <LinksUpToDate>false</LinksUpToDate>
  <CharactersWithSpaces>9912</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2025-03-12T15:04:00Z</dcterms:created>
  <dc:creator>27911</dc:creator>
  <cp:lastModifiedBy>user</cp:lastModifiedBy>
  <dcterms:modified xsi:type="dcterms:W3CDTF">2025-08-27T12:46:04Z</dcterms:modified>
  <dc:title>后勤服务成本性支出专项经费项目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eyJoZGlkIjoiMjU3YmEzMzJkODQ2NDNkZDEyMTlhN2QyYzljMzIwNGMiLCJ1c2VySWQiOiIzNDgxNTQ2NTgifQ==</vt:lpwstr>
  </property>
  <property fmtid="{D5CDD505-2E9C-101B-9397-08002B2CF9AE}" pid="4" name="ICV">
    <vt:lpwstr>15EEBAB1FD684422B9B4140D45AD545F_12</vt:lpwstr>
  </property>
</Properties>
</file>