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无线电法治科普教育实践基地设计实施项目支出绩效评价</w:t>
      </w:r>
    </w:p>
    <w:p>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报告</w:t>
      </w: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pStyle w:val="10"/>
        <w:rPr>
          <w:rFonts w:hint="default" w:ascii="Times New Roman" w:hAnsi="Times New Roman" w:cs="Times New Roman"/>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rPr>
          <w:rFonts w:hint="default" w:ascii="Times New Roman" w:hAnsi="Times New Roman" w:eastAsia="仿宋_GB2312" w:cs="Times New Roman"/>
          <w:kern w:val="0"/>
          <w:sz w:val="30"/>
          <w:szCs w:val="30"/>
          <w:highlight w:val="none"/>
        </w:rPr>
      </w:pPr>
    </w:p>
    <w:p>
      <w:pPr>
        <w:spacing w:line="700" w:lineRule="exact"/>
        <w:ind w:firstLine="1440" w:firstLineChars="400"/>
        <w:jc w:val="left"/>
        <w:rPr>
          <w:rFonts w:hint="default"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项目名称：无线电</w:t>
      </w:r>
      <w:r>
        <w:rPr>
          <w:rFonts w:hint="default" w:ascii="Times New Roman" w:hAnsi="Times New Roman" w:eastAsia="仿宋_GB2312" w:cs="Times New Roman"/>
          <w:kern w:val="0"/>
          <w:sz w:val="36"/>
          <w:szCs w:val="36"/>
          <w:highlight w:val="none"/>
          <w:lang w:val="en-US" w:eastAsia="zh-CN"/>
        </w:rPr>
        <w:t>法治科普教育实践基地</w:t>
      </w:r>
    </w:p>
    <w:p>
      <w:pPr>
        <w:spacing w:line="700" w:lineRule="exact"/>
        <w:ind w:firstLine="1440" w:firstLineChars="400"/>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lang w:val="en-US" w:eastAsia="zh-CN"/>
        </w:rPr>
        <w:t>设计实施项目</w:t>
      </w:r>
    </w:p>
    <w:p>
      <w:pPr>
        <w:spacing w:line="700" w:lineRule="exact"/>
        <w:ind w:firstLine="1440" w:firstLineChars="400"/>
        <w:jc w:val="left"/>
        <w:rPr>
          <w:rFonts w:hint="default"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实施单位（公章）：</w:t>
      </w:r>
      <w:r>
        <w:rPr>
          <w:rFonts w:hint="eastAsia" w:eastAsia="仿宋_GB2312" w:cs="Times New Roman"/>
          <w:kern w:val="0"/>
          <w:sz w:val="36"/>
          <w:szCs w:val="36"/>
          <w:highlight w:val="none"/>
          <w:lang w:val="en-US" w:eastAsia="zh-CN"/>
        </w:rPr>
        <w:t>昌吉州无线电管理中心</w:t>
      </w:r>
    </w:p>
    <w:p>
      <w:pPr>
        <w:spacing w:line="700" w:lineRule="exact"/>
        <w:ind w:firstLine="1440" w:firstLineChars="400"/>
        <w:jc w:val="left"/>
        <w:rPr>
          <w:rFonts w:hint="eastAsia"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val="en-US" w:eastAsia="zh-CN"/>
        </w:rPr>
        <w:t>王会才</w:t>
      </w:r>
    </w:p>
    <w:p>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3</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12</w:t>
      </w:r>
      <w:r>
        <w:rPr>
          <w:rFonts w:hint="default" w:ascii="Times New Roman" w:hAnsi="Times New Roman" w:eastAsia="仿宋_GB2312" w:cs="Times New Roman"/>
          <w:kern w:val="0"/>
          <w:sz w:val="36"/>
          <w:szCs w:val="36"/>
          <w:highlight w:val="none"/>
        </w:rPr>
        <w:t>日</w:t>
      </w: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rPr>
          <w:rStyle w:val="16"/>
          <w:rFonts w:hint="default" w:ascii="Times New Roman" w:hAnsi="Times New Roman" w:eastAsia="黑体" w:cs="Times New Roman"/>
          <w:b w:val="0"/>
          <w:spacing w:val="-4"/>
          <w:sz w:val="32"/>
          <w:szCs w:val="32"/>
          <w:highlight w:val="none"/>
        </w:rPr>
      </w:pPr>
    </w:p>
    <w:p>
      <w:pPr>
        <w:spacing w:line="540" w:lineRule="exact"/>
        <w:ind w:firstLine="640"/>
        <w:rPr>
          <w:rStyle w:val="16"/>
          <w:rFonts w:hint="default" w:ascii="Times New Roman" w:hAnsi="Times New Roman" w:eastAsia="黑体" w:cs="Times New Roman"/>
          <w:b w:val="0"/>
          <w:spacing w:val="-4"/>
          <w:sz w:val="32"/>
          <w:szCs w:val="32"/>
          <w:highlight w:val="none"/>
        </w:rPr>
      </w:pPr>
    </w:p>
    <w:p>
      <w:pPr>
        <w:spacing w:line="560" w:lineRule="exact"/>
        <w:rPr>
          <w:rFonts w:hint="default" w:ascii="Times New Roman" w:hAnsi="Times New Roman" w:eastAsia="黑体" w:cs="Times New Roman"/>
          <w:bCs/>
          <w:sz w:val="32"/>
          <w:szCs w:val="32"/>
          <w:highlight w:val="none"/>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pPr>
        <w:spacing w:line="560" w:lineRule="exact"/>
        <w:ind w:firstLine="642"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pPr>
        <w:spacing w:line="560" w:lineRule="exact"/>
        <w:ind w:firstLine="642"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pPr>
        <w:widowControl w:val="0"/>
        <w:numPr>
          <w:ilvl w:val="0"/>
          <w:numId w:val="0"/>
        </w:numPr>
        <w:wordWrap/>
        <w:adjustRightInd/>
        <w:snapToGrid/>
        <w:spacing w:line="560" w:lineRule="exact"/>
        <w:ind w:firstLine="640" w:firstLineChars="200"/>
        <w:jc w:val="both"/>
        <w:textAlignment w:val="auto"/>
        <w:rPr>
          <w:rFonts w:hint="eastAsia" w:ascii="仿宋_GB2312" w:hAnsi="仿宋" w:eastAsia="仿宋_GB2312" w:cs="宋体"/>
          <w:color w:val="auto"/>
          <w:sz w:val="32"/>
          <w:szCs w:val="32"/>
          <w:highlight w:val="none"/>
          <w:lang w:eastAsia="zh-CN"/>
        </w:rPr>
      </w:pPr>
      <w:r>
        <w:rPr>
          <w:rFonts w:hint="eastAsia" w:ascii="仿宋_GB2312" w:hAnsi="仿宋" w:eastAsia="仿宋_GB2312" w:cs="宋体"/>
          <w:color w:val="auto"/>
          <w:sz w:val="32"/>
          <w:szCs w:val="32"/>
          <w:highlight w:val="none"/>
          <w:lang w:val="en-US" w:eastAsia="zh-CN"/>
        </w:rPr>
        <w:t>随着无线电</w:t>
      </w:r>
      <w:r>
        <w:rPr>
          <w:rFonts w:ascii="仿宋_GB2312" w:hAnsi="仿宋" w:eastAsia="仿宋_GB2312" w:cs="宋体"/>
          <w:color w:val="auto"/>
          <w:sz w:val="32"/>
          <w:szCs w:val="32"/>
          <w:highlight w:val="none"/>
        </w:rPr>
        <w:t>新技术、新业务</w:t>
      </w:r>
      <w:r>
        <w:rPr>
          <w:rFonts w:hint="eastAsia" w:ascii="仿宋_GB2312" w:hAnsi="仿宋" w:eastAsia="仿宋_GB2312" w:cs="宋体"/>
          <w:color w:val="auto"/>
          <w:sz w:val="32"/>
          <w:szCs w:val="32"/>
          <w:highlight w:val="none"/>
          <w:lang w:val="en-US" w:eastAsia="zh-CN"/>
        </w:rPr>
        <w:t>的快速发展和广泛应用</w:t>
      </w:r>
      <w:r>
        <w:rPr>
          <w:rFonts w:hint="eastAsia" w:ascii="仿宋_GB2312" w:hAnsi="仿宋" w:eastAsia="仿宋_GB2312" w:cs="宋体"/>
          <w:color w:val="auto"/>
          <w:sz w:val="32"/>
          <w:szCs w:val="32"/>
          <w:highlight w:val="none"/>
        </w:rPr>
        <w:t>，利用无线电发射设备从事黑广播、伪基站等违法犯罪屡禁不止，</w:t>
      </w:r>
      <w:r>
        <w:rPr>
          <w:rFonts w:ascii="仿宋_GB2312" w:hAnsi="仿宋" w:eastAsia="仿宋_GB2312" w:cs="宋体"/>
          <w:color w:val="auto"/>
          <w:sz w:val="32"/>
          <w:szCs w:val="32"/>
          <w:highlight w:val="none"/>
        </w:rPr>
        <w:t>有害干扰逐年增加</w:t>
      </w:r>
      <w:r>
        <w:rPr>
          <w:rFonts w:hint="eastAsia" w:ascii="仿宋_GB2312" w:hAnsi="仿宋" w:eastAsia="仿宋_GB2312" w:cs="宋体"/>
          <w:color w:val="auto"/>
          <w:sz w:val="32"/>
          <w:szCs w:val="32"/>
          <w:highlight w:val="none"/>
        </w:rPr>
        <w:t>，</w:t>
      </w:r>
      <w:r>
        <w:rPr>
          <w:rFonts w:hint="eastAsia" w:ascii="仿宋_GB2312" w:hAnsi="仿宋" w:eastAsia="仿宋_GB2312" w:cs="宋体"/>
          <w:color w:val="auto"/>
          <w:sz w:val="32"/>
          <w:szCs w:val="32"/>
          <w:highlight w:val="none"/>
          <w:lang w:val="en-US" w:eastAsia="zh-CN"/>
        </w:rPr>
        <w:t>非法</w:t>
      </w:r>
      <w:r>
        <w:rPr>
          <w:rFonts w:hint="eastAsia" w:ascii="仿宋_GB2312" w:hAnsi="仿宋" w:eastAsia="仿宋_GB2312" w:cs="宋体"/>
          <w:color w:val="auto"/>
          <w:sz w:val="32"/>
          <w:szCs w:val="32"/>
          <w:highlight w:val="none"/>
        </w:rPr>
        <w:t>设置使用无线电台站现象多发长发，</w:t>
      </w:r>
      <w:r>
        <w:rPr>
          <w:rFonts w:hint="eastAsia" w:ascii="仿宋_GB2312" w:hAnsi="仿宋" w:eastAsia="仿宋_GB2312" w:cs="宋体"/>
          <w:color w:val="auto"/>
          <w:sz w:val="32"/>
          <w:szCs w:val="32"/>
          <w:highlight w:val="none"/>
          <w:lang w:eastAsia="zh-CN"/>
        </w:rPr>
        <w:t>《</w:t>
      </w:r>
      <w:r>
        <w:rPr>
          <w:rFonts w:hint="eastAsia" w:ascii="仿宋_GB2312" w:hAnsi="仿宋" w:eastAsia="仿宋_GB2312" w:cs="宋体"/>
          <w:color w:val="auto"/>
          <w:sz w:val="32"/>
          <w:szCs w:val="32"/>
          <w:highlight w:val="none"/>
          <w:lang w:val="en-US" w:eastAsia="zh-CN"/>
        </w:rPr>
        <w:t>中华人民共和国无线电管理条例</w:t>
      </w:r>
      <w:r>
        <w:rPr>
          <w:rFonts w:hint="eastAsia" w:ascii="仿宋_GB2312" w:hAnsi="仿宋" w:eastAsia="仿宋_GB2312" w:cs="宋体"/>
          <w:color w:val="auto"/>
          <w:sz w:val="32"/>
          <w:szCs w:val="32"/>
          <w:highlight w:val="none"/>
          <w:lang w:eastAsia="zh-CN"/>
        </w:rPr>
        <w:t>》</w:t>
      </w:r>
      <w:r>
        <w:rPr>
          <w:rFonts w:hint="eastAsia" w:ascii="仿宋_GB2312" w:hAnsi="仿宋" w:eastAsia="仿宋_GB2312" w:cs="宋体"/>
          <w:color w:val="auto"/>
          <w:sz w:val="32"/>
          <w:szCs w:val="32"/>
          <w:highlight w:val="none"/>
          <w:lang w:val="en-US" w:eastAsia="zh-CN"/>
        </w:rPr>
        <w:t>及相关</w:t>
      </w:r>
      <w:r>
        <w:rPr>
          <w:rFonts w:hint="eastAsia" w:ascii="仿宋_GB2312" w:hAnsi="仿宋" w:eastAsia="仿宋_GB2312" w:cs="宋体"/>
          <w:color w:val="auto"/>
          <w:sz w:val="32"/>
          <w:szCs w:val="32"/>
          <w:highlight w:val="none"/>
        </w:rPr>
        <w:t>无线电管理法律法规</w:t>
      </w:r>
      <w:r>
        <w:rPr>
          <w:rFonts w:hint="eastAsia" w:ascii="仿宋_GB2312" w:hAnsi="仿宋" w:eastAsia="仿宋_GB2312" w:cs="宋体"/>
          <w:color w:val="auto"/>
          <w:sz w:val="32"/>
          <w:szCs w:val="32"/>
          <w:highlight w:val="none"/>
          <w:lang w:val="en-US" w:eastAsia="zh-CN"/>
        </w:rPr>
        <w:t>急需普及</w:t>
      </w:r>
      <w:r>
        <w:rPr>
          <w:rFonts w:hint="eastAsia" w:ascii="仿宋_GB2312" w:hAnsi="仿宋" w:eastAsia="仿宋_GB2312" w:cs="宋体"/>
          <w:color w:val="auto"/>
          <w:sz w:val="32"/>
          <w:szCs w:val="32"/>
          <w:highlight w:val="none"/>
          <w:lang w:eastAsia="zh-CN"/>
        </w:rPr>
        <w:t>。</w:t>
      </w:r>
    </w:p>
    <w:p>
      <w:pPr>
        <w:widowControl w:val="0"/>
        <w:numPr>
          <w:ilvl w:val="0"/>
          <w:numId w:val="0"/>
        </w:numPr>
        <w:wordWrap/>
        <w:adjustRightInd/>
        <w:snapToGrid/>
        <w:spacing w:line="560" w:lineRule="exact"/>
        <w:ind w:firstLine="640" w:firstLineChars="200"/>
        <w:jc w:val="both"/>
        <w:textAlignment w:val="auto"/>
        <w:rPr>
          <w:rFonts w:hint="eastAsia" w:ascii="仿宋_GB2312" w:hAnsi="仿宋" w:eastAsia="仿宋_GB2312" w:cs="宋体"/>
          <w:color w:val="333333"/>
          <w:sz w:val="32"/>
          <w:szCs w:val="32"/>
          <w:highlight w:val="none"/>
          <w:lang w:val="en-US" w:eastAsia="zh-CN"/>
        </w:rPr>
      </w:pPr>
      <w:r>
        <w:rPr>
          <w:rFonts w:hint="eastAsia" w:ascii="仿宋_GB2312" w:hAnsi="仿宋" w:eastAsia="仿宋_GB2312" w:cs="宋体"/>
          <w:color w:val="auto"/>
          <w:sz w:val="32"/>
          <w:szCs w:val="32"/>
          <w:highlight w:val="none"/>
          <w:lang w:val="en-US" w:eastAsia="zh-CN"/>
        </w:rPr>
        <w:t>昌吉回族自治州无线电管理局的职责之一是</w:t>
      </w:r>
      <w:r>
        <w:rPr>
          <w:rFonts w:ascii="仿宋_GB2312" w:eastAsia="仿宋_GB2312"/>
          <w:color w:val="auto"/>
          <w:sz w:val="32"/>
          <w:szCs w:val="32"/>
          <w:highlight w:val="none"/>
        </w:rPr>
        <w:t>负责本行政区域无线电管理的行政执法检查，按照有关规定对</w:t>
      </w:r>
      <w:r>
        <w:rPr>
          <w:rFonts w:ascii="仿宋_GB2312" w:eastAsia="仿宋_GB2312"/>
          <w:sz w:val="32"/>
          <w:szCs w:val="32"/>
          <w:highlight w:val="none"/>
        </w:rPr>
        <w:t>无线电台(站)的设置、使用和无线电发射设备的研制、生产、进口、销售实施监督检查</w:t>
      </w:r>
      <w:r>
        <w:rPr>
          <w:rFonts w:hint="eastAsia" w:ascii="仿宋_GB2312" w:eastAsia="仿宋_GB2312"/>
          <w:sz w:val="32"/>
          <w:szCs w:val="32"/>
          <w:highlight w:val="none"/>
          <w:lang w:eastAsia="zh-CN"/>
        </w:rPr>
        <w:t>。</w:t>
      </w:r>
      <w:r>
        <w:rPr>
          <w:rFonts w:hint="eastAsia" w:ascii="仿宋_GB2312" w:hAnsi="仿宋" w:eastAsia="仿宋_GB2312" w:cs="宋体"/>
          <w:color w:val="333333"/>
          <w:sz w:val="32"/>
          <w:szCs w:val="32"/>
          <w:highlight w:val="none"/>
          <w:lang w:val="en-US" w:eastAsia="zh-CN"/>
        </w:rPr>
        <w:t>根据</w:t>
      </w:r>
      <w:r>
        <w:rPr>
          <w:rFonts w:hint="eastAsia" w:ascii="仿宋_GB2312" w:eastAsia="仿宋_GB2312" w:cs="宋体"/>
          <w:kern w:val="0"/>
          <w:sz w:val="32"/>
          <w:szCs w:val="32"/>
          <w:highlight w:val="none"/>
          <w:lang w:val="en-US" w:eastAsia="zh-CN"/>
        </w:rPr>
        <w:t>自治区“八五普法”规划和</w:t>
      </w:r>
      <w:r>
        <w:rPr>
          <w:rFonts w:hint="eastAsia" w:ascii="仿宋_GB2312" w:eastAsia="仿宋_GB2312" w:cs="宋体"/>
          <w:kern w:val="0"/>
          <w:sz w:val="24"/>
          <w:szCs w:val="24"/>
          <w:highlight w:val="none"/>
          <w:lang w:val="zh-CN"/>
        </w:rPr>
        <w:t>“</w:t>
      </w:r>
      <w:r>
        <w:rPr>
          <w:rFonts w:hint="eastAsia" w:ascii="仿宋_GB2312" w:eastAsia="仿宋_GB2312" w:cs="宋体"/>
          <w:kern w:val="0"/>
          <w:sz w:val="32"/>
          <w:szCs w:val="32"/>
          <w:highlight w:val="none"/>
          <w:lang w:val="zh-CN"/>
        </w:rPr>
        <w:t>谁执法谁普法</w:t>
      </w:r>
      <w:r>
        <w:rPr>
          <w:rFonts w:hint="eastAsia" w:ascii="仿宋_GB2312" w:eastAsia="仿宋_GB2312" w:cs="宋体"/>
          <w:kern w:val="0"/>
          <w:sz w:val="24"/>
          <w:szCs w:val="24"/>
          <w:highlight w:val="none"/>
          <w:lang w:val="zh-CN"/>
        </w:rPr>
        <w:t>”</w:t>
      </w:r>
      <w:r>
        <w:rPr>
          <w:rFonts w:hint="eastAsia" w:ascii="仿宋_GB2312" w:eastAsia="仿宋_GB2312" w:cs="宋体"/>
          <w:kern w:val="0"/>
          <w:sz w:val="32"/>
          <w:szCs w:val="32"/>
          <w:highlight w:val="none"/>
          <w:lang w:val="en-US" w:eastAsia="zh-CN"/>
        </w:rPr>
        <w:t>的总要求，为切实履行</w:t>
      </w:r>
      <w:r>
        <w:rPr>
          <w:rFonts w:hint="eastAsia" w:ascii="仿宋_GB2312" w:hAnsi="仿宋" w:eastAsia="仿宋_GB2312" w:cs="宋体"/>
          <w:color w:val="333333"/>
          <w:sz w:val="32"/>
          <w:szCs w:val="32"/>
          <w:highlight w:val="none"/>
          <w:lang w:val="en-US" w:eastAsia="zh-CN"/>
        </w:rPr>
        <w:t>无线电行政执法普法主体责任，对广大市民群众和违反无线电管理规定、法治意识不强的群众进行警示教育和普法宣传</w:t>
      </w:r>
      <w:r>
        <w:rPr>
          <w:rFonts w:hint="eastAsia" w:ascii="仿宋_GB2312" w:hAnsi="仿宋" w:eastAsia="仿宋_GB2312" w:cs="宋体"/>
          <w:color w:val="333333"/>
          <w:sz w:val="32"/>
          <w:szCs w:val="32"/>
          <w:highlight w:val="none"/>
        </w:rPr>
        <w:t>，</w:t>
      </w:r>
      <w:r>
        <w:rPr>
          <w:rFonts w:hint="eastAsia" w:ascii="仿宋_GB2312" w:hAnsi="仿宋" w:eastAsia="仿宋_GB2312" w:cs="宋体"/>
          <w:color w:val="333333"/>
          <w:sz w:val="32"/>
          <w:szCs w:val="32"/>
          <w:highlight w:val="none"/>
          <w:lang w:val="en-US" w:eastAsia="zh-CN"/>
        </w:rPr>
        <w:t>急需将闲置办公资源改造为</w:t>
      </w:r>
      <w:r>
        <w:rPr>
          <w:rFonts w:hint="eastAsia" w:ascii="仿宋_GB2312" w:hAnsi="仿宋_GB2312" w:eastAsia="仿宋_GB2312" w:cs="仿宋_GB2312"/>
          <w:sz w:val="32"/>
          <w:szCs w:val="32"/>
          <w:highlight w:val="none"/>
          <w:u w:val="none" w:color="auto"/>
        </w:rPr>
        <w:t>无线电</w:t>
      </w:r>
      <w:r>
        <w:rPr>
          <w:rFonts w:hint="eastAsia" w:ascii="仿宋_GB2312" w:hAnsi="仿宋_GB2312" w:eastAsia="仿宋_GB2312" w:cs="仿宋_GB2312"/>
          <w:sz w:val="32"/>
          <w:szCs w:val="32"/>
          <w:highlight w:val="none"/>
          <w:u w:val="none" w:color="auto"/>
          <w:lang w:val="en-US" w:eastAsia="zh-CN"/>
        </w:rPr>
        <w:t>法治科普教育实践基地，</w:t>
      </w:r>
      <w:r>
        <w:rPr>
          <w:rFonts w:hint="eastAsia" w:ascii="仿宋_GB2312" w:hAnsi="仿宋" w:eastAsia="仿宋_GB2312" w:cs="宋体"/>
          <w:color w:val="333333"/>
          <w:sz w:val="32"/>
          <w:szCs w:val="32"/>
          <w:highlight w:val="none"/>
          <w:lang w:val="en-US" w:eastAsia="zh-CN"/>
        </w:rPr>
        <w:t>为“以案释法”“以案普法”的实施打造阵地，填补昌吉州无线电管理</w:t>
      </w:r>
      <w:r>
        <w:rPr>
          <w:rFonts w:hint="eastAsia" w:ascii="仿宋_GB2312" w:hAnsi="仿宋_GB2312" w:eastAsia="仿宋_GB2312" w:cs="仿宋_GB2312"/>
          <w:sz w:val="32"/>
          <w:szCs w:val="32"/>
          <w:highlight w:val="none"/>
          <w:u w:val="none" w:color="auto"/>
          <w:lang w:val="en-US" w:eastAsia="zh-CN"/>
        </w:rPr>
        <w:t>法治科普教育实践</w:t>
      </w:r>
      <w:r>
        <w:rPr>
          <w:rFonts w:hint="eastAsia" w:ascii="仿宋_GB2312" w:hAnsi="仿宋" w:eastAsia="仿宋_GB2312" w:cs="宋体"/>
          <w:color w:val="333333"/>
          <w:sz w:val="32"/>
          <w:szCs w:val="32"/>
          <w:highlight w:val="none"/>
          <w:lang w:val="en-US" w:eastAsia="zh-CN"/>
        </w:rPr>
        <w:t>阵地的空白。</w:t>
      </w:r>
    </w:p>
    <w:p>
      <w:pPr>
        <w:pStyle w:val="10"/>
        <w:numPr>
          <w:ilvl w:val="0"/>
          <w:numId w:val="0"/>
        </w:numPr>
        <w:spacing w:before="0" w:after="0" w:line="560" w:lineRule="exact"/>
        <w:ind w:firstLine="642" w:firstLineChars="200"/>
        <w:jc w:val="both"/>
        <w:rPr>
          <w:rFonts w:hint="default" w:ascii="Times New Roman" w:hAnsi="Times New Roman" w:eastAsia="仿宋_GB2312" w:cs="Times New Roman"/>
          <w:kern w:val="2"/>
          <w:highlight w:val="none"/>
          <w:lang w:val="en-US" w:eastAsia="zh-CN"/>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r>
        <w:rPr>
          <w:rFonts w:hint="eastAsia" w:ascii="Times New Roman" w:hAnsi="Times New Roman" w:eastAsia="仿宋_GB2312" w:cs="Times New Roman"/>
          <w:kern w:val="2"/>
          <w:highlight w:val="none"/>
          <w:lang w:val="en-US" w:eastAsia="zh-CN"/>
        </w:rPr>
        <w:t>及实施情况</w:t>
      </w:r>
    </w:p>
    <w:p>
      <w:pPr>
        <w:shd w:val="clear"/>
        <w:spacing w:line="600" w:lineRule="exact"/>
        <w:ind w:firstLine="600" w:firstLineChars="200"/>
        <w:outlineLvl w:val="0"/>
        <w:rPr>
          <w:rFonts w:hint="default" w:eastAsia="仿宋_GB2312" w:cs="Times New Roman"/>
          <w:sz w:val="32"/>
          <w:szCs w:val="32"/>
          <w:highlight w:val="none"/>
          <w:lang w:val="en-US" w:eastAsia="zh-CN"/>
        </w:rPr>
      </w:pPr>
      <w:r>
        <w:rPr>
          <w:rFonts w:hint="default" w:ascii="Times New Roman" w:hAnsi="Times New Roman" w:eastAsia="仿宋_GB2312" w:cs="Times New Roman"/>
          <w:sz w:val="30"/>
          <w:szCs w:val="30"/>
          <w:highlight w:val="none"/>
          <w:lang w:val="en-US" w:eastAsia="zh-CN"/>
        </w:rPr>
        <w:t>项目主要内容：</w:t>
      </w:r>
      <w:r>
        <w:rPr>
          <w:rFonts w:hint="eastAsia" w:eastAsia="仿宋_GB2312" w:cs="Times New Roman"/>
          <w:sz w:val="32"/>
          <w:szCs w:val="32"/>
          <w:highlight w:val="none"/>
          <w:lang w:val="en-US" w:eastAsia="zh-CN"/>
        </w:rPr>
        <w:t>无线电法治科普教育实践基地整体设计实施，包括灯箱、背景墙、展柜、水晶字、宣传板及展示牌的设计制作安装。</w:t>
      </w:r>
    </w:p>
    <w:p>
      <w:pPr>
        <w:spacing w:line="560" w:lineRule="exact"/>
        <w:ind w:firstLine="600" w:firstLineChars="200"/>
        <w:rPr>
          <w:rFonts w:hint="default" w:eastAsia="仿宋_GB2312" w:cs="Times New Roman"/>
          <w:sz w:val="32"/>
          <w:szCs w:val="32"/>
          <w:highlight w:val="none"/>
          <w:lang w:val="en-US" w:eastAsia="zh-CN"/>
        </w:rPr>
      </w:pPr>
      <w:r>
        <w:rPr>
          <w:rFonts w:hint="default" w:ascii="Times New Roman" w:hAnsi="Times New Roman" w:eastAsia="仿宋_GB2312" w:cs="Times New Roman"/>
          <w:sz w:val="30"/>
          <w:szCs w:val="30"/>
          <w:highlight w:val="none"/>
          <w:lang w:val="en-US" w:eastAsia="zh-CN"/>
        </w:rPr>
        <w:t>项目实施情况</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严格按照项目实施计划开展，2024年5月完成项目在政采云平台采购发布的相关准备工作，6月11日通过竞价方式发布采购信息，6月15日完成政采云竞价工作。6月20日完成合同审核和签订工作。6月24日完成项目内容设计施工和验收工作，6月25日完成资金使用审批和支付相关工作。</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eastAsia" w:eastAsia="仿宋_GB2312" w:cs="Times New Roman"/>
          <w:sz w:val="32"/>
          <w:szCs w:val="32"/>
          <w:highlight w:val="none"/>
          <w:lang w:val="en-US" w:eastAsia="zh-CN"/>
        </w:rPr>
        <w:t>该项目于</w:t>
      </w:r>
      <w:r>
        <w:rPr>
          <w:rFonts w:hint="default" w:ascii="Times New Roman" w:hAnsi="Times New Roman" w:eastAsia="仿宋_GB2312" w:cs="Times New Roman"/>
          <w:color w:val="auto"/>
          <w:sz w:val="32"/>
          <w:szCs w:val="32"/>
          <w:highlight w:val="none"/>
          <w:lang w:val="en-US" w:eastAsia="zh-CN"/>
        </w:rPr>
        <w:t>2024年4月30日前完成项目的政府采购网站公示和政府采购计划，2024年6月30日前完成该项目的设计实施，该项目实施</w:t>
      </w:r>
      <w:r>
        <w:rPr>
          <w:rFonts w:hint="default" w:ascii="Times New Roman" w:hAnsi="Times New Roman" w:eastAsia="仿宋_GB2312" w:cs="Times New Roman"/>
          <w:color w:val="auto"/>
          <w:sz w:val="32"/>
          <w:szCs w:val="32"/>
          <w:highlight w:val="none"/>
        </w:rPr>
        <w:t>工作计划合理,计划进度安排</w:t>
      </w:r>
      <w:r>
        <w:rPr>
          <w:rFonts w:hint="default" w:ascii="Times New Roman" w:hAnsi="Times New Roman" w:eastAsia="仿宋_GB2312" w:cs="Times New Roman"/>
          <w:color w:val="auto"/>
          <w:sz w:val="32"/>
          <w:szCs w:val="32"/>
          <w:highlight w:val="none"/>
          <w:lang w:val="en-US" w:eastAsia="zh-CN"/>
        </w:rPr>
        <w:t>科学合理</w:t>
      </w:r>
      <w:r>
        <w:rPr>
          <w:rFonts w:hint="default" w:ascii="Times New Roman" w:hAnsi="Times New Roman" w:eastAsia="仿宋_GB2312" w:cs="Times New Roman"/>
          <w:color w:val="auto"/>
          <w:sz w:val="32"/>
          <w:szCs w:val="32"/>
          <w:highlight w:val="none"/>
        </w:rPr>
        <w:t>，职责分工明确，组织管理机制健全</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该项目由具体项目负责人王会才负责各阶段项目实施推进，由单位负责人郭欣媛负责项目实施各阶段督导验收。</w:t>
      </w:r>
    </w:p>
    <w:p>
      <w:pPr>
        <w:spacing w:line="560" w:lineRule="exact"/>
        <w:ind w:firstLine="642"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4.8</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4.8</w:t>
      </w:r>
      <w:r>
        <w:rPr>
          <w:rFonts w:hint="default" w:ascii="Times New Roman" w:hAnsi="Times New Roman" w:eastAsia="仿宋_GB2312" w:cs="Times New Roman"/>
          <w:sz w:val="32"/>
          <w:szCs w:val="32"/>
          <w:highlight w:val="none"/>
          <w:lang w:val="en-US" w:eastAsia="zh-CN"/>
        </w:rPr>
        <w:t>万元，该项目资金已全部落实到位，资金来源为其他资金。</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4.8</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4.8</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4.8</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无线电法治科普教育实践基地整体设计实施，包括灯箱、背景墙、展柜、水晶字、宣传板及展示牌的设计制作安装。</w:t>
      </w:r>
    </w:p>
    <w:p>
      <w:pPr>
        <w:spacing w:line="560" w:lineRule="exact"/>
        <w:ind w:firstLine="642"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pPr>
        <w:spacing w:line="560" w:lineRule="exact"/>
        <w:ind w:firstLine="640" w:firstLineChars="200"/>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昌</w:t>
      </w:r>
      <w:r>
        <w:rPr>
          <w:rFonts w:hint="default" w:ascii="Times New Roman" w:hAnsi="Times New Roman" w:eastAsia="仿宋_GB2312" w:cs="Times New Roman"/>
          <w:sz w:val="32"/>
          <w:szCs w:val="32"/>
          <w:highlight w:val="none"/>
        </w:rPr>
        <w:t>吉州无线电管理局业务楼一层闲置资源用于开展无线电宣传科普工作。主要是利用现有业务一层闲置空间，围绕无线电科普宣传、无线电管理法律法规、业务政策宣传、无线电执法成果展示和无线电技术装备展示等，对展厅进行整体设计并制作宣传版面、背景墙、部署展柜等。</w:t>
      </w:r>
    </w:p>
    <w:p>
      <w:pPr>
        <w:numPr>
          <w:ilvl w:val="0"/>
          <w:numId w:val="1"/>
        </w:num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阶段性目标</w:t>
      </w:r>
    </w:p>
    <w:p>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eastAsia" w:eastAsia="仿宋_GB2312" w:cs="Times New Roman"/>
          <w:sz w:val="32"/>
          <w:szCs w:val="32"/>
          <w:highlight w:val="none"/>
          <w:lang w:val="en-US" w:eastAsia="zh-CN"/>
        </w:rPr>
        <w:t>严格按照项目实施计划开展，</w:t>
      </w:r>
      <w:r>
        <w:rPr>
          <w:rFonts w:hint="default" w:ascii="Times New Roman" w:hAnsi="Times New Roman" w:eastAsia="仿宋_GB2312" w:cs="Times New Roman"/>
          <w:color w:val="auto"/>
          <w:sz w:val="32"/>
          <w:szCs w:val="32"/>
          <w:highlight w:val="none"/>
          <w:lang w:val="en-US" w:eastAsia="zh-CN"/>
        </w:rPr>
        <w:t>该项目由具体项目负责人王会才负责各阶段项目实施推进，由单位负责人郭欣媛负责项目实施各阶段督导验收。</w:t>
      </w:r>
      <w:r>
        <w:rPr>
          <w:rFonts w:hint="eastAsia" w:eastAsia="仿宋_GB2312" w:cs="Times New Roman"/>
          <w:sz w:val="32"/>
          <w:szCs w:val="32"/>
          <w:highlight w:val="none"/>
          <w:lang w:val="en-US" w:eastAsia="zh-CN"/>
        </w:rPr>
        <w:t>2024年5月完成项目在政采云平台采购发布的相关准备工作，6月11日通过竞价方式发布采购信息，6月15日完成政采云竞价工作。6月20日完成合同审核和签订工作。6月24日完成项目内容设计施工和验收工作，6月25日完成资金使用审批和支付相关工作。</w:t>
      </w:r>
    </w:p>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pPr>
        <w:spacing w:line="560" w:lineRule="exact"/>
        <w:ind w:firstLine="642"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w:t>
      </w:r>
      <w:r>
        <w:rPr>
          <w:rFonts w:hint="default" w:ascii="Times New Roman" w:hAnsi="Times New Roman" w:eastAsia="仿宋_GB2312" w:cs="Times New Roman"/>
          <w:color w:val="auto"/>
          <w:sz w:val="32"/>
          <w:szCs w:val="32"/>
          <w:highlight w:val="none"/>
          <w:lang w:val="en-US" w:eastAsia="zh-CN"/>
        </w:rPr>
        <w:t>数量指标</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质量指标</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时效指标</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经济成本指标</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社会效益指标</w:t>
      </w:r>
      <w:r>
        <w:rPr>
          <w:rFonts w:hint="default" w:ascii="Times New Roman" w:hAnsi="Times New Roman" w:eastAsia="仿宋_GB2312" w:cs="Times New Roman"/>
          <w:sz w:val="32"/>
          <w:szCs w:val="32"/>
          <w:highlight w:val="none"/>
          <w:lang w:val="en-US" w:eastAsia="zh-CN"/>
        </w:rPr>
        <w:t>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w:t>
      </w:r>
      <w:r>
        <w:rPr>
          <w:rFonts w:hint="default" w:ascii="Times New Roman" w:hAnsi="Times New Roman" w:eastAsia="仿宋_GB2312" w:cs="Times New Roman"/>
          <w:color w:val="auto"/>
          <w:sz w:val="32"/>
          <w:szCs w:val="32"/>
          <w:highlight w:val="none"/>
          <w:lang w:val="en-US" w:eastAsia="zh-CN"/>
        </w:rPr>
        <w:t>数量指标</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质量指标</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时效指标</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经济成本指标</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社会效益指标</w:t>
      </w:r>
      <w:r>
        <w:rPr>
          <w:rFonts w:hint="default" w:ascii="Times New Roman" w:hAnsi="Times New Roman" w:eastAsia="仿宋_GB2312" w:cs="Times New Roman"/>
          <w:sz w:val="32"/>
          <w:szCs w:val="32"/>
          <w:highlight w:val="none"/>
        </w:rPr>
        <w:t>以及可持续性等多维度指标，为项目后续的改进与优化提供科学依据。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highlight w:val="none"/>
        </w:rPr>
        <w:t>本项目预算绩效评价报告的评价对象是</w:t>
      </w:r>
      <w:r>
        <w:rPr>
          <w:rFonts w:hint="default" w:ascii="Times New Roman" w:hAnsi="Times New Roman" w:eastAsia="仿宋_GB2312" w:cs="Times New Roman"/>
          <w:b w:val="0"/>
          <w:bCs w:val="0"/>
          <w:color w:val="auto"/>
          <w:highlight w:val="none"/>
          <w:lang w:val="en-US" w:eastAsia="zh-CN"/>
        </w:rPr>
        <w:t>无线电法治科普教育实践基地设计实施项目</w:t>
      </w:r>
      <w:r>
        <w:rPr>
          <w:rFonts w:hint="default" w:ascii="Times New Roman" w:hAnsi="Times New Roman" w:eastAsia="仿宋_GB2312" w:cs="Times New Roman"/>
          <w:b w:val="0"/>
          <w:bCs w:val="0"/>
          <w:color w:val="auto"/>
          <w:highlight w:val="none"/>
        </w:rPr>
        <w:t>及其预算执行情况。该项目由</w:t>
      </w:r>
      <w:r>
        <w:rPr>
          <w:rFonts w:hint="default" w:ascii="Times New Roman" w:hAnsi="Times New Roman" w:eastAsia="仿宋_GB2312" w:cs="Times New Roman"/>
          <w:b w:val="0"/>
          <w:bCs w:val="0"/>
          <w:color w:val="auto"/>
          <w:highlight w:val="none"/>
          <w:lang w:val="en-US" w:eastAsia="zh-CN"/>
        </w:rPr>
        <w:t>具体项目负责人王会才负责各阶段项目实施推进，由单位负责人郭欣媛负责项目实施各阶段督导验收。</w:t>
      </w:r>
      <w:r>
        <w:rPr>
          <w:rFonts w:hint="default" w:ascii="Times New Roman" w:hAnsi="Times New Roman" w:eastAsia="仿宋_GB2312" w:cs="Times New Roman"/>
          <w:b w:val="0"/>
          <w:bCs w:val="0"/>
          <w:color w:val="auto"/>
          <w:highlight w:val="none"/>
        </w:rPr>
        <w:t>旨在</w:t>
      </w:r>
      <w:r>
        <w:rPr>
          <w:rFonts w:hint="eastAsia" w:ascii="Times New Roman" w:hAnsi="Times New Roman" w:eastAsia="仿宋_GB2312" w:cs="Times New Roman"/>
          <w:b w:val="0"/>
          <w:bCs w:val="0"/>
          <w:color w:val="auto"/>
          <w:highlight w:val="none"/>
          <w:lang w:val="en-US" w:eastAsia="zh-CN"/>
        </w:rPr>
        <w:t>打造一个“以案释法”“以案普法”的无线电法治科普教育实践基地，</w:t>
      </w:r>
      <w:r>
        <w:rPr>
          <w:rFonts w:hint="eastAsia" w:ascii="仿宋_GB2312" w:hAnsi="仿宋_GB2312" w:eastAsia="仿宋_GB2312" w:cs="仿宋_GB2312"/>
          <w:b w:val="0"/>
          <w:bCs w:val="0"/>
          <w:color w:val="auto"/>
          <w:sz w:val="32"/>
          <w:szCs w:val="32"/>
          <w:highlight w:val="none"/>
          <w:lang w:val="en-US" w:eastAsia="zh-CN"/>
        </w:rPr>
        <w:t>填补昌吉州无线电管理法治科普教育实践阵地的空白，</w:t>
      </w:r>
      <w:r>
        <w:rPr>
          <w:rFonts w:hint="eastAsia" w:ascii="Times New Roman" w:hAnsi="Times New Roman" w:eastAsia="仿宋_GB2312" w:cs="Times New Roman"/>
          <w:b w:val="0"/>
          <w:bCs w:val="0"/>
          <w:color w:val="auto"/>
          <w:highlight w:val="none"/>
          <w:lang w:val="en-US" w:eastAsia="zh-CN"/>
        </w:rPr>
        <w:t>并对其进行</w:t>
      </w:r>
      <w:r>
        <w:rPr>
          <w:rFonts w:hint="default" w:ascii="Times New Roman" w:hAnsi="Times New Roman" w:eastAsia="仿宋_GB2312" w:cs="Times New Roman"/>
          <w:b w:val="0"/>
          <w:bCs w:val="0"/>
          <w:color w:val="auto"/>
          <w:highlight w:val="none"/>
        </w:rPr>
        <w:t>整体设计</w:t>
      </w:r>
      <w:r>
        <w:rPr>
          <w:rFonts w:hint="eastAsia"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制作宣传版面、背景墙、部署展柜等</w:t>
      </w:r>
      <w:r>
        <w:rPr>
          <w:rFonts w:hint="eastAsia" w:ascii="Times New Roman" w:hAnsi="Times New Roman" w:eastAsia="仿宋_GB2312" w:cs="Times New Roman"/>
          <w:b w:val="0"/>
          <w:bCs w:val="0"/>
          <w:color w:val="auto"/>
          <w:highlight w:val="none"/>
          <w:lang w:eastAsia="zh-CN"/>
        </w:rPr>
        <w:t>，通过实物、展板、图片、科普书屋、执法案例等多种形式，面向社会科普无线电知识，增强公众的依法用频意识，促进无线电事业健康有序发展。</w:t>
      </w:r>
      <w:r>
        <w:rPr>
          <w:rFonts w:hint="default" w:ascii="Times New Roman" w:hAnsi="Times New Roman" w:eastAsia="仿宋_GB2312" w:cs="Times New Roman"/>
          <w:b w:val="0"/>
          <w:bCs w:val="0"/>
          <w:color w:val="auto"/>
          <w:highlight w:val="none"/>
        </w:rPr>
        <w:t>项目预算涵盖从</w:t>
      </w:r>
      <w:r>
        <w:rPr>
          <w:rFonts w:hint="eastAsia" w:ascii="Times New Roman" w:hAnsi="Times New Roman" w:eastAsia="仿宋_GB2312" w:cs="Times New Roman"/>
          <w:b w:val="0"/>
          <w:bCs w:val="0"/>
          <w:color w:val="auto"/>
          <w:highlight w:val="none"/>
          <w:lang w:val="en-US" w:eastAsia="zh-CN"/>
        </w:rPr>
        <w:t>2024年1月</w:t>
      </w:r>
      <w:r>
        <w:rPr>
          <w:rFonts w:hint="default" w:ascii="Times New Roman" w:hAnsi="Times New Roman" w:eastAsia="仿宋_GB2312" w:cs="Times New Roman"/>
          <w:b w:val="0"/>
          <w:bCs w:val="0"/>
          <w:color w:val="auto"/>
          <w:highlight w:val="none"/>
        </w:rPr>
        <w:t>至</w:t>
      </w:r>
      <w:r>
        <w:rPr>
          <w:rFonts w:hint="eastAsia" w:ascii="Times New Roman" w:hAnsi="Times New Roman" w:eastAsia="仿宋_GB2312" w:cs="Times New Roman"/>
          <w:b w:val="0"/>
          <w:bCs w:val="0"/>
          <w:color w:val="auto"/>
          <w:highlight w:val="none"/>
          <w:lang w:val="en-US" w:eastAsia="zh-CN"/>
        </w:rPr>
        <w:t>2024年6月</w:t>
      </w:r>
      <w:r>
        <w:rPr>
          <w:rFonts w:hint="default" w:ascii="Times New Roman" w:hAnsi="Times New Roman" w:eastAsia="仿宋_GB2312" w:cs="Times New Roman"/>
          <w:b w:val="0"/>
          <w:bCs w:val="0"/>
          <w:color w:val="auto"/>
          <w:highlight w:val="none"/>
        </w:rPr>
        <w:t>的全部资金投入与支出，涉及资金总额为</w:t>
      </w:r>
      <w:r>
        <w:rPr>
          <w:rFonts w:hint="eastAsia" w:ascii="Times New Roman" w:hAnsi="Times New Roman" w:eastAsia="仿宋_GB2312" w:cs="Times New Roman"/>
          <w:b w:val="0"/>
          <w:bCs w:val="0"/>
          <w:color w:val="auto"/>
          <w:highlight w:val="none"/>
          <w:lang w:val="en-US" w:eastAsia="zh-CN"/>
        </w:rPr>
        <w:t>4.8</w:t>
      </w:r>
      <w:r>
        <w:rPr>
          <w:rFonts w:hint="default" w:ascii="Times New Roman" w:hAnsi="Times New Roman" w:eastAsia="仿宋_GB2312" w:cs="Times New Roman"/>
          <w:b w:val="0"/>
          <w:bCs w:val="0"/>
          <w:color w:val="auto"/>
          <w:highlight w:val="none"/>
          <w:lang w:val="en-US" w:eastAsia="zh-CN"/>
        </w:rPr>
        <w:t>万</w:t>
      </w:r>
      <w:r>
        <w:rPr>
          <w:rFonts w:hint="default" w:ascii="Times New Roman" w:hAnsi="Times New Roman" w:eastAsia="仿宋_GB2312" w:cs="Times New Roman"/>
          <w:b w:val="0"/>
          <w:bCs w:val="0"/>
          <w:color w:val="auto"/>
          <w:highlight w:val="none"/>
        </w:rPr>
        <w:t>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w:t>
      </w:r>
      <w:r>
        <w:rPr>
          <w:rFonts w:hint="default" w:ascii="Times New Roman" w:hAnsi="Times New Roman" w:eastAsia="仿宋_GB2312" w:cs="Times New Roman"/>
          <w:b w:val="0"/>
          <w:bCs w:val="0"/>
          <w:color w:val="auto"/>
          <w:highlight w:val="none"/>
        </w:rPr>
        <w:t>考察项目对社会</w:t>
      </w:r>
      <w:r>
        <w:rPr>
          <w:rFonts w:hint="eastAsia" w:ascii="Times New Roman" w:hAnsi="Times New Roman" w:eastAsia="仿宋_GB2312" w:cs="Times New Roman"/>
          <w:b w:val="0"/>
          <w:bCs w:val="0"/>
          <w:color w:val="auto"/>
          <w:highlight w:val="none"/>
          <w:lang w:val="en-US" w:eastAsia="zh-CN"/>
        </w:rPr>
        <w:t>效益</w:t>
      </w:r>
      <w:r>
        <w:rPr>
          <w:rFonts w:hint="default" w:ascii="Times New Roman" w:hAnsi="Times New Roman" w:eastAsia="仿宋_GB2312" w:cs="Times New Roman"/>
          <w:b w:val="0"/>
          <w:bCs w:val="0"/>
          <w:color w:val="auto"/>
          <w:highlight w:val="none"/>
        </w:rPr>
        <w:t>方面的综合影响</w:t>
      </w:r>
      <w:r>
        <w:rPr>
          <w:rFonts w:hint="eastAsia"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是否</w:t>
      </w:r>
      <w:r>
        <w:rPr>
          <w:rFonts w:hint="default" w:ascii="Times New Roman" w:hAnsi="Times New Roman" w:eastAsia="仿宋_GB2312" w:cs="Times New Roman"/>
          <w:b w:val="0"/>
          <w:bCs w:val="0"/>
          <w:color w:val="auto"/>
          <w:highlight w:val="none"/>
        </w:rPr>
        <w:t>有效开展无线电管理法律法规</w:t>
      </w: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无线电科普宣传</w:t>
      </w: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lang w:val="en-US" w:eastAsia="zh-CN"/>
        </w:rPr>
        <w:t>确保能够对该项目事前事中事后全生命周期形成有效的绩效约束</w:t>
      </w:r>
      <w:r>
        <w:rPr>
          <w:rFonts w:hint="default" w:ascii="Times New Roman" w:hAnsi="Times New Roman" w:eastAsia="仿宋_GB2312" w:cs="Times New Roman"/>
          <w:b w:val="0"/>
          <w:bCs w:val="0"/>
          <w:color w:val="auto"/>
          <w:highlight w:val="none"/>
        </w:rPr>
        <w:t>。</w:t>
      </w:r>
    </w:p>
    <w:p>
      <w:pPr>
        <w:spacing w:line="560" w:lineRule="exact"/>
        <w:ind w:firstLine="642" w:firstLineChars="200"/>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ascii="仿宋_GB2312" w:hAnsi="仿宋" w:eastAsia="仿宋_GB2312" w:cs="宋体"/>
          <w:color w:val="auto"/>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本次评价指标中，既有定性指标又有定量指标，各类指标因考核内容不同和客观标准不同存在较大差异，本次评价指标中，既有定性指标又有定量指标，各类指标因考核内容不同和客观标准不同存在较大差异，</w:t>
      </w:r>
      <w:r>
        <w:rPr>
          <w:rFonts w:hint="eastAsia" w:ascii="仿宋_GB2312" w:hAnsi="仿宋" w:eastAsia="仿宋_GB2312" w:cs="宋体"/>
          <w:color w:val="auto"/>
          <w:sz w:val="32"/>
          <w:szCs w:val="32"/>
          <w:highlight w:val="none"/>
          <w:lang w:val="en-US" w:eastAsia="zh-CN"/>
        </w:rPr>
        <w:t>因该项目的性质和实施特点，该项目绩效评估方法</w:t>
      </w:r>
      <w:r>
        <w:rPr>
          <w:rFonts w:hint="eastAsia" w:ascii="仿宋_GB2312" w:hAnsi="仿宋" w:eastAsia="仿宋_GB2312" w:cs="宋体"/>
          <w:color w:val="auto"/>
          <w:sz w:val="32"/>
          <w:szCs w:val="32"/>
          <w:highlight w:val="none"/>
        </w:rPr>
        <w:t>采用成本效</w:t>
      </w:r>
      <w:r>
        <w:rPr>
          <w:rFonts w:hint="eastAsia" w:ascii="仿宋_GB2312" w:hAnsi="仿宋" w:eastAsia="仿宋_GB2312" w:cs="宋体"/>
          <w:color w:val="auto"/>
          <w:sz w:val="32"/>
          <w:szCs w:val="32"/>
          <w:highlight w:val="none"/>
          <w:lang w:val="en-US" w:eastAsia="zh-CN"/>
        </w:rPr>
        <w:t>益</w:t>
      </w:r>
      <w:r>
        <w:rPr>
          <w:rFonts w:hint="eastAsia" w:ascii="仿宋_GB2312" w:hAnsi="仿宋" w:eastAsia="仿宋_GB2312" w:cs="宋体"/>
          <w:color w:val="auto"/>
          <w:sz w:val="32"/>
          <w:szCs w:val="32"/>
          <w:highlight w:val="none"/>
        </w:rPr>
        <w:t>分析法，</w:t>
      </w:r>
      <w:r>
        <w:rPr>
          <w:rFonts w:hint="eastAsia" w:ascii="仿宋_GB2312" w:eastAsia="仿宋_GB2312" w:cs="仿宋_GB2312"/>
          <w:color w:val="auto"/>
          <w:kern w:val="0"/>
          <w:sz w:val="32"/>
          <w:szCs w:val="32"/>
          <w:highlight w:val="none"/>
          <w:u w:val="none" w:color="auto"/>
          <w:lang w:val="en-US" w:eastAsia="zh-CN"/>
        </w:rPr>
        <w:t>通过将项目的预算支出安排与预期效益进行对比，寻求以最小成本获取最大收益的投入方式。</w:t>
      </w:r>
      <w:r>
        <w:rPr>
          <w:rFonts w:hint="eastAsia" w:ascii="仿宋_GB2312" w:hAnsi="仿宋" w:eastAsia="仿宋_GB2312" w:cs="宋体"/>
          <w:color w:val="auto"/>
          <w:sz w:val="32"/>
          <w:szCs w:val="32"/>
          <w:highlight w:val="none"/>
        </w:rPr>
        <w:t>成本效</w:t>
      </w:r>
      <w:r>
        <w:rPr>
          <w:rFonts w:hint="eastAsia" w:ascii="仿宋_GB2312" w:hAnsi="仿宋" w:eastAsia="仿宋_GB2312" w:cs="宋体"/>
          <w:color w:val="auto"/>
          <w:sz w:val="32"/>
          <w:szCs w:val="32"/>
          <w:highlight w:val="none"/>
          <w:lang w:val="en-US" w:eastAsia="zh-CN"/>
        </w:rPr>
        <w:t>益</w:t>
      </w:r>
      <w:r>
        <w:rPr>
          <w:rFonts w:hint="eastAsia" w:ascii="仿宋_GB2312" w:hAnsi="仿宋" w:eastAsia="仿宋_GB2312" w:cs="宋体"/>
          <w:color w:val="auto"/>
          <w:sz w:val="32"/>
          <w:szCs w:val="32"/>
          <w:highlight w:val="none"/>
        </w:rPr>
        <w:t>分析法主要是分析效</w:t>
      </w:r>
      <w:r>
        <w:rPr>
          <w:rFonts w:hint="eastAsia" w:ascii="仿宋_GB2312" w:hAnsi="仿宋" w:eastAsia="仿宋_GB2312" w:cs="宋体"/>
          <w:color w:val="auto"/>
          <w:sz w:val="32"/>
          <w:szCs w:val="32"/>
          <w:highlight w:val="none"/>
          <w:lang w:val="en-US" w:eastAsia="zh-CN"/>
        </w:rPr>
        <w:t>益</w:t>
      </w:r>
      <w:r>
        <w:rPr>
          <w:rFonts w:hint="eastAsia" w:ascii="仿宋_GB2312" w:hAnsi="仿宋" w:eastAsia="仿宋_GB2312" w:cs="宋体"/>
          <w:color w:val="auto"/>
          <w:sz w:val="32"/>
          <w:szCs w:val="32"/>
          <w:highlight w:val="none"/>
        </w:rPr>
        <w:t>的单位成本，即为获得一定的效用而必需耗费的成本，以及节约的成本，即分析净效益。若有功能或效益相同的多项方案，自然应选用单位成本最低者。</w:t>
      </w:r>
    </w:p>
    <w:p>
      <w:pPr>
        <w:pStyle w:val="24"/>
        <w:wordWrap/>
        <w:adjustRightInd/>
        <w:spacing w:line="560" w:lineRule="exact"/>
        <w:ind w:left="425" w:firstLine="0" w:firstLineChars="0"/>
        <w:rPr>
          <w:rFonts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成本效</w:t>
      </w:r>
      <w:r>
        <w:rPr>
          <w:rFonts w:hint="eastAsia" w:ascii="仿宋_GB2312" w:hAnsi="仿宋" w:eastAsia="仿宋_GB2312" w:cs="宋体"/>
          <w:color w:val="auto"/>
          <w:sz w:val="32"/>
          <w:szCs w:val="32"/>
          <w:highlight w:val="none"/>
          <w:lang w:val="en-US" w:eastAsia="zh-CN"/>
        </w:rPr>
        <w:t>益</w:t>
      </w:r>
      <w:r>
        <w:rPr>
          <w:rFonts w:hint="eastAsia" w:ascii="仿宋_GB2312" w:hAnsi="仿宋" w:eastAsia="仿宋_GB2312" w:cs="宋体"/>
          <w:color w:val="auto"/>
          <w:sz w:val="32"/>
          <w:szCs w:val="32"/>
          <w:highlight w:val="none"/>
        </w:rPr>
        <w:t>分析有三种情况：</w:t>
      </w:r>
    </w:p>
    <w:p>
      <w:pPr>
        <w:pStyle w:val="24"/>
        <w:wordWrap/>
        <w:adjustRightInd/>
        <w:spacing w:line="560" w:lineRule="exact"/>
        <w:ind w:left="425" w:firstLine="0" w:firstLineChars="0"/>
        <w:rPr>
          <w:rFonts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（1）当成本相同时，应选择效</w:t>
      </w:r>
      <w:r>
        <w:rPr>
          <w:rFonts w:hint="eastAsia" w:ascii="仿宋_GB2312" w:hAnsi="仿宋" w:eastAsia="仿宋_GB2312" w:cs="宋体"/>
          <w:color w:val="auto"/>
          <w:sz w:val="32"/>
          <w:szCs w:val="32"/>
          <w:highlight w:val="none"/>
          <w:lang w:val="en-US" w:eastAsia="zh-CN"/>
        </w:rPr>
        <w:t>益</w:t>
      </w:r>
      <w:r>
        <w:rPr>
          <w:rFonts w:hint="eastAsia" w:ascii="仿宋_GB2312" w:hAnsi="仿宋" w:eastAsia="仿宋_GB2312" w:cs="宋体"/>
          <w:color w:val="auto"/>
          <w:sz w:val="32"/>
          <w:szCs w:val="32"/>
          <w:highlight w:val="none"/>
        </w:rPr>
        <w:t>高的方案；</w:t>
      </w:r>
    </w:p>
    <w:p>
      <w:pPr>
        <w:pStyle w:val="24"/>
        <w:wordWrap/>
        <w:adjustRightInd/>
        <w:spacing w:line="560" w:lineRule="exact"/>
        <w:ind w:left="425" w:firstLine="0" w:firstLineChars="0"/>
        <w:rPr>
          <w:rFonts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（2）当效</w:t>
      </w:r>
      <w:r>
        <w:rPr>
          <w:rFonts w:hint="eastAsia" w:ascii="仿宋_GB2312" w:hAnsi="仿宋" w:eastAsia="仿宋_GB2312" w:cs="宋体"/>
          <w:color w:val="auto"/>
          <w:sz w:val="32"/>
          <w:szCs w:val="32"/>
          <w:highlight w:val="none"/>
          <w:lang w:val="en-US" w:eastAsia="zh-CN"/>
        </w:rPr>
        <w:t>益</w:t>
      </w:r>
      <w:r>
        <w:rPr>
          <w:rFonts w:hint="eastAsia" w:ascii="仿宋_GB2312" w:hAnsi="仿宋" w:eastAsia="仿宋_GB2312" w:cs="宋体"/>
          <w:color w:val="auto"/>
          <w:sz w:val="32"/>
          <w:szCs w:val="32"/>
          <w:highlight w:val="none"/>
        </w:rPr>
        <w:t>相同时，应选择成本低的方案；</w:t>
      </w:r>
    </w:p>
    <w:p>
      <w:pPr>
        <w:pStyle w:val="24"/>
        <w:wordWrap/>
        <w:adjustRightInd/>
        <w:spacing w:line="560" w:lineRule="exact"/>
        <w:ind w:left="425" w:firstLine="0" w:firstLineChars="0"/>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（3）当效</w:t>
      </w:r>
      <w:r>
        <w:rPr>
          <w:rFonts w:hint="eastAsia" w:ascii="仿宋_GB2312" w:hAnsi="仿宋" w:eastAsia="仿宋_GB2312" w:cs="宋体"/>
          <w:color w:val="auto"/>
          <w:sz w:val="32"/>
          <w:szCs w:val="32"/>
          <w:highlight w:val="none"/>
          <w:lang w:val="en-US" w:eastAsia="zh-CN"/>
        </w:rPr>
        <w:t>益</w:t>
      </w:r>
      <w:r>
        <w:rPr>
          <w:rFonts w:hint="eastAsia" w:ascii="仿宋_GB2312" w:hAnsi="仿宋" w:eastAsia="仿宋_GB2312" w:cs="宋体"/>
          <w:color w:val="auto"/>
          <w:sz w:val="32"/>
          <w:szCs w:val="32"/>
          <w:highlight w:val="none"/>
        </w:rPr>
        <w:t>提高而成本成加大时，应选择增效的单位追加成本低的方案。</w:t>
      </w:r>
    </w:p>
    <w:p>
      <w:pPr>
        <w:pStyle w:val="24"/>
        <w:wordWrap/>
        <w:adjustRightInd/>
        <w:spacing w:line="560" w:lineRule="exact"/>
        <w:ind w:left="425" w:firstLine="0" w:firstLineChars="0"/>
        <w:rPr>
          <w:rFonts w:hint="default" w:ascii="Times New Roman" w:hAnsi="Times New Roman" w:eastAsia="仿宋_GB2312" w:cs="Times New Roman"/>
          <w:color w:val="auto"/>
          <w:spacing w:val="17"/>
          <w:sz w:val="32"/>
          <w:szCs w:val="32"/>
          <w:highlight w:val="none"/>
        </w:rPr>
      </w:pPr>
      <w:r>
        <w:rPr>
          <w:rFonts w:hint="eastAsia" w:ascii="仿宋_GB2312" w:hAnsi="仿宋" w:eastAsia="仿宋_GB2312" w:cs="宋体"/>
          <w:color w:val="auto"/>
          <w:sz w:val="32"/>
          <w:szCs w:val="32"/>
          <w:highlight w:val="none"/>
          <w:lang w:val="en-US" w:eastAsia="zh-CN"/>
        </w:rPr>
        <w:t xml:space="preserve"> 该项目</w:t>
      </w:r>
      <w:r>
        <w:rPr>
          <w:rFonts w:hint="eastAsia" w:ascii="仿宋_GB2312" w:hAnsi="仿宋" w:eastAsia="仿宋_GB2312" w:cs="宋体"/>
          <w:color w:val="auto"/>
          <w:sz w:val="32"/>
          <w:szCs w:val="32"/>
          <w:highlight w:val="none"/>
        </w:rPr>
        <w:t>成本效</w:t>
      </w:r>
      <w:r>
        <w:rPr>
          <w:rFonts w:hint="eastAsia" w:ascii="仿宋_GB2312" w:hAnsi="仿宋" w:eastAsia="仿宋_GB2312" w:cs="宋体"/>
          <w:color w:val="auto"/>
          <w:sz w:val="32"/>
          <w:szCs w:val="32"/>
          <w:highlight w:val="none"/>
          <w:lang w:val="en-US" w:eastAsia="zh-CN"/>
        </w:rPr>
        <w:t>益</w:t>
      </w:r>
      <w:r>
        <w:rPr>
          <w:rFonts w:hint="eastAsia" w:ascii="仿宋_GB2312" w:hAnsi="仿宋" w:eastAsia="仿宋_GB2312" w:cs="宋体"/>
          <w:color w:val="auto"/>
          <w:sz w:val="32"/>
          <w:szCs w:val="32"/>
          <w:highlight w:val="none"/>
        </w:rPr>
        <w:t>分析</w:t>
      </w:r>
      <w:r>
        <w:rPr>
          <w:rFonts w:hint="eastAsia" w:ascii="仿宋_GB2312" w:hAnsi="仿宋" w:eastAsia="仿宋_GB2312" w:cs="宋体"/>
          <w:color w:val="auto"/>
          <w:sz w:val="32"/>
          <w:szCs w:val="32"/>
          <w:highlight w:val="none"/>
          <w:lang w:val="en-US" w:eastAsia="zh-CN"/>
        </w:rPr>
        <w:t>选用第二种方案。</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计划标准。指以预先制定的目标、计划、预算、定额等作为评价标准。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2</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行业标准。指参照国家公布的行业指标数据制定的评价标准。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历史标准。指参照历史数据制定的评价标准，为体现绩效改进的原则，在可实现的条件下应当确定相对较高的评价标准。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财政部门和预算部门确认或认可的其他标准。</w:t>
      </w:r>
    </w:p>
    <w:p>
      <w:pPr>
        <w:pStyle w:val="10"/>
        <w:numPr>
          <w:ilvl w:val="0"/>
          <w:numId w:val="3"/>
        </w:numPr>
        <w:spacing w:before="0" w:after="0" w:line="560" w:lineRule="exact"/>
        <w:ind w:firstLine="710"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4"/>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2"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lang w:val="en-US" w:eastAsia="zh-CN"/>
        </w:rPr>
        <w:t>无线电法治科普教育实践基地</w:t>
      </w:r>
      <w:r>
        <w:rPr>
          <w:rFonts w:hint="eastAsia" w:eastAsia="仿宋_GB2312" w:cs="Times New Roman"/>
          <w:color w:val="auto"/>
          <w:sz w:val="32"/>
          <w:szCs w:val="32"/>
          <w:highlight w:val="none"/>
          <w:lang w:val="en-US" w:eastAsia="zh-CN"/>
        </w:rPr>
        <w:t>设计实施项目</w:t>
      </w:r>
      <w:r>
        <w:rPr>
          <w:rFonts w:hint="default" w:ascii="Times New Roman" w:hAnsi="Times New Roman" w:eastAsia="仿宋_GB2312" w:cs="Times New Roman"/>
          <w:color w:val="auto"/>
          <w:sz w:val="32"/>
          <w:szCs w:val="32"/>
          <w:highlight w:val="none"/>
        </w:rPr>
        <w:t>在产出指标、</w:t>
      </w:r>
      <w:r>
        <w:rPr>
          <w:rFonts w:hint="eastAsia" w:eastAsia="仿宋_GB2312" w:cs="Times New Roman"/>
          <w:color w:val="auto"/>
          <w:sz w:val="32"/>
          <w:szCs w:val="32"/>
          <w:highlight w:val="none"/>
          <w:lang w:val="en-US" w:eastAsia="zh-CN"/>
        </w:rPr>
        <w:t>成本指标</w:t>
      </w:r>
      <w:r>
        <w:rPr>
          <w:rFonts w:hint="default" w:ascii="Times New Roman" w:hAnsi="Times New Roman" w:eastAsia="仿宋_GB2312" w:cs="Times New Roman"/>
          <w:color w:val="auto"/>
          <w:sz w:val="32"/>
          <w:szCs w:val="32"/>
          <w:highlight w:val="none"/>
        </w:rPr>
        <w:t>等方面表现出色，达到了预期的标准与要求。同时，项目也在</w:t>
      </w:r>
      <w:r>
        <w:rPr>
          <w:rFonts w:hint="eastAsia" w:eastAsia="仿宋_GB2312" w:cs="Times New Roman"/>
          <w:color w:val="auto"/>
          <w:sz w:val="32"/>
          <w:szCs w:val="32"/>
          <w:highlight w:val="none"/>
          <w:lang w:val="en-US" w:eastAsia="zh-CN"/>
        </w:rPr>
        <w:t>项目执行和资金支付环节</w:t>
      </w:r>
      <w:r>
        <w:rPr>
          <w:rFonts w:hint="default" w:ascii="Times New Roman" w:hAnsi="Times New Roman" w:eastAsia="仿宋_GB2312" w:cs="Times New Roman"/>
          <w:color w:val="auto"/>
          <w:sz w:val="32"/>
          <w:szCs w:val="32"/>
          <w:highlight w:val="none"/>
        </w:rPr>
        <w:t>取得了显著的成效，如</w:t>
      </w:r>
      <w:r>
        <w:rPr>
          <w:rFonts w:hint="default" w:ascii="Times New Roman" w:hAnsi="Times New Roman" w:eastAsia="仿宋_GB2312" w:cs="Times New Roman"/>
          <w:color w:val="auto"/>
          <w:sz w:val="32"/>
          <w:szCs w:val="32"/>
          <w:highlight w:val="none"/>
          <w:lang w:eastAsia="zh-CN"/>
        </w:rPr>
        <w:t>资金使用坚持了专款专用的原则，确保了项目资金不被挪用或截留</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资金使用还充分考虑了成本效益原则，通过优化资源配置、提高资金使用效率等措施，</w:t>
      </w:r>
      <w:r>
        <w:rPr>
          <w:rFonts w:hint="eastAsia" w:eastAsia="仿宋_GB2312" w:cs="Times New Roman"/>
          <w:color w:val="auto"/>
          <w:sz w:val="32"/>
          <w:szCs w:val="32"/>
          <w:highlight w:val="none"/>
          <w:lang w:val="en-US" w:eastAsia="zh-CN"/>
        </w:rPr>
        <w:t>利用结余资金设计制作了执法案例展示牌，</w:t>
      </w:r>
      <w:r>
        <w:rPr>
          <w:rFonts w:hint="default" w:ascii="Times New Roman" w:hAnsi="Times New Roman" w:eastAsia="仿宋_GB2312" w:cs="Times New Roman"/>
          <w:color w:val="auto"/>
          <w:sz w:val="32"/>
          <w:szCs w:val="32"/>
          <w:highlight w:val="none"/>
          <w:lang w:eastAsia="zh-CN"/>
        </w:rPr>
        <w:t>确保了项目资金的最大化利用。</w:t>
      </w:r>
      <w:r>
        <w:rPr>
          <w:rFonts w:hint="default" w:ascii="Times New Roman" w:hAnsi="Times New Roman" w:eastAsia="仿宋_GB2312" w:cs="Times New Roman"/>
          <w:color w:val="auto"/>
          <w:sz w:val="32"/>
          <w:szCs w:val="32"/>
          <w:highlight w:val="none"/>
        </w:rPr>
        <w:t>在项目管理方面，</w:t>
      </w:r>
      <w:r>
        <w:rPr>
          <w:rFonts w:hint="eastAsia" w:eastAsia="仿宋_GB2312" w:cs="Times New Roman"/>
          <w:color w:val="auto"/>
          <w:sz w:val="32"/>
          <w:szCs w:val="32"/>
          <w:highlight w:val="none"/>
          <w:lang w:val="en-US" w:eastAsia="zh-CN"/>
        </w:rPr>
        <w:t>昌吉州无线电管理中心</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从项目效益的角度来看，本项目不仅实现了预期的社会效益方面产生了积极的影响。具体而言，</w:t>
      </w:r>
      <w:r>
        <w:rPr>
          <w:rFonts w:hint="eastAsia" w:eastAsia="仿宋_GB2312" w:cs="Times New Roman"/>
          <w:color w:val="auto"/>
          <w:sz w:val="32"/>
          <w:szCs w:val="32"/>
          <w:highlight w:val="none"/>
          <w:lang w:val="en-US" w:eastAsia="zh-CN"/>
        </w:rPr>
        <w:t>该项目的顺利实施</w:t>
      </w:r>
      <w:r>
        <w:rPr>
          <w:rFonts w:hint="default" w:ascii="Times New Roman" w:hAnsi="Times New Roman" w:eastAsia="仿宋_GB2312" w:cs="Times New Roman"/>
          <w:color w:val="auto"/>
          <w:sz w:val="32"/>
          <w:szCs w:val="32"/>
          <w:highlight w:val="none"/>
        </w:rPr>
        <w:t>填补</w:t>
      </w:r>
      <w:r>
        <w:rPr>
          <w:rFonts w:hint="eastAsia" w:eastAsia="仿宋_GB2312" w:cs="Times New Roman"/>
          <w:color w:val="auto"/>
          <w:sz w:val="32"/>
          <w:szCs w:val="32"/>
          <w:highlight w:val="none"/>
          <w:lang w:val="en-US" w:eastAsia="zh-CN"/>
        </w:rPr>
        <w:t>两</w:t>
      </w:r>
      <w:r>
        <w:rPr>
          <w:rFonts w:hint="default" w:ascii="Times New Roman" w:hAnsi="Times New Roman" w:eastAsia="仿宋_GB2312" w:cs="Times New Roman"/>
          <w:color w:val="auto"/>
          <w:sz w:val="32"/>
          <w:szCs w:val="32"/>
          <w:highlight w:val="none"/>
        </w:rPr>
        <w:t>昌吉州无线电管理法治科普教育实践阵地的空白。</w:t>
      </w:r>
      <w:r>
        <w:rPr>
          <w:rFonts w:hint="eastAsia" w:eastAsia="仿宋_GB2312" w:cs="Times New Roman"/>
          <w:color w:val="auto"/>
          <w:sz w:val="32"/>
          <w:szCs w:val="32"/>
          <w:highlight w:val="none"/>
          <w:lang w:val="en-US" w:eastAsia="zh-CN"/>
        </w:rPr>
        <w:t>通过</w:t>
      </w:r>
      <w:r>
        <w:rPr>
          <w:rFonts w:hint="default" w:ascii="Times New Roman" w:hAnsi="Times New Roman" w:eastAsia="仿宋_GB2312" w:cs="Times New Roman"/>
          <w:color w:val="auto"/>
          <w:sz w:val="32"/>
          <w:szCs w:val="32"/>
          <w:highlight w:val="none"/>
        </w:rPr>
        <w:t>“以案释法”“以案普法”</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面向社会科普无线电知识，增强公众的依法用频意识，促进无线电事业健康有序发展</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为项目的利益相关者带来了实实在在的利益。</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default" w:ascii="Times New Roman" w:hAnsi="Times New Roman" w:eastAsia="仿宋_GB2312" w:cs="Times New Roman"/>
          <w:color w:val="auto"/>
          <w:sz w:val="32"/>
          <w:szCs w:val="32"/>
          <w:highlight w:val="none"/>
          <w:lang w:val="en-US" w:eastAsia="zh-CN"/>
        </w:rPr>
        <w:t>无线电法治科普教育实践基地</w:t>
      </w:r>
      <w:r>
        <w:rPr>
          <w:rFonts w:hint="eastAsia" w:eastAsia="仿宋_GB2312" w:cs="Times New Roman"/>
          <w:color w:val="auto"/>
          <w:sz w:val="32"/>
          <w:szCs w:val="32"/>
          <w:highlight w:val="none"/>
          <w:lang w:val="en-US" w:eastAsia="zh-CN"/>
        </w:rPr>
        <w:t>设计实施项目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2"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highlight w:val="none"/>
          <w:lang w:val="en-US" w:eastAsia="zh-CN"/>
        </w:rPr>
        <w:t>90</w:t>
      </w:r>
      <w:r>
        <w:rPr>
          <w:rFonts w:hint="default" w:ascii="Times New Roman" w:hAnsi="Times New Roman" w:eastAsia="仿宋_GB2312" w:cs="Times New Roman"/>
          <w:b w:val="0"/>
          <w:bCs w:val="0"/>
          <w:highlight w:val="none"/>
        </w:rPr>
        <w:t>分，属于“优（良/中/差）”。其中，项目</w:t>
      </w:r>
      <w:r>
        <w:rPr>
          <w:rFonts w:hint="eastAsia" w:ascii="Times New Roman" w:hAnsi="Times New Roman" w:eastAsia="仿宋_GB2312" w:cs="Times New Roman"/>
          <w:b w:val="0"/>
          <w:bCs w:val="0"/>
          <w:highlight w:val="none"/>
          <w:lang w:val="en-US" w:eastAsia="zh-CN"/>
        </w:rPr>
        <w:t>产出指标类</w:t>
      </w:r>
      <w:r>
        <w:rPr>
          <w:rFonts w:hint="default" w:ascii="Times New Roman" w:hAnsi="Times New Roman" w:eastAsia="仿宋_GB2312" w:cs="Times New Roman"/>
          <w:b w:val="0"/>
          <w:bCs w:val="0"/>
          <w:highlight w:val="none"/>
        </w:rPr>
        <w:t>权重为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eastAsia" w:ascii="Times New Roman" w:hAnsi="Times New Roman" w:eastAsia="仿宋_GB2312" w:cs="Times New Roman"/>
          <w:b w:val="0"/>
          <w:bCs w:val="0"/>
          <w:highlight w:val="none"/>
          <w:lang w:val="en-US" w:eastAsia="zh-CN"/>
        </w:rPr>
        <w:t>成本指标类</w:t>
      </w:r>
      <w:r>
        <w:rPr>
          <w:rFonts w:hint="default" w:ascii="Times New Roman" w:hAnsi="Times New Roman" w:eastAsia="仿宋_GB2312" w:cs="Times New Roman"/>
          <w:b w:val="0"/>
          <w:bCs w:val="0"/>
          <w:highlight w:val="none"/>
        </w:rPr>
        <w:t>指标权重为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w:t>
      </w:r>
      <w:r>
        <w:rPr>
          <w:rFonts w:hint="eastAsia"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val="0"/>
          <w:bCs w:val="0"/>
          <w:highlight w:val="none"/>
        </w:rPr>
        <w:t>0分，得分为</w:t>
      </w:r>
      <w:r>
        <w:rPr>
          <w:rFonts w:hint="eastAsia" w:ascii="Times New Roman" w:hAnsi="Times New Roman" w:eastAsia="仿宋_GB2312" w:cs="Times New Roman"/>
          <w:b w:val="0"/>
          <w:bCs w:val="0"/>
          <w:highlight w:val="none"/>
          <w:lang w:val="en-US" w:eastAsia="zh-CN"/>
        </w:rPr>
        <w:t>30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Times New Roman" w:hAnsi="Times New Roman" w:eastAsia="仿宋_GB2312" w:cs="Times New Roman"/>
                <w:color w:val="000000"/>
                <w:sz w:val="21"/>
                <w:szCs w:val="21"/>
                <w:highlight w:val="none"/>
                <w:lang w:eastAsia="zh-CN"/>
              </w:rPr>
            </w:pPr>
            <w:r>
              <w:rPr>
                <w:rFonts w:hint="default" w:ascii="Times New Roman" w:hAnsi="Times New Roman" w:eastAsia="仿宋_GB2312" w:cs="Times New Roman"/>
                <w:color w:val="000000"/>
                <w:sz w:val="21"/>
                <w:szCs w:val="21"/>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kern w:val="2"/>
                <w:sz w:val="21"/>
                <w:szCs w:val="21"/>
                <w:highlight w:val="none"/>
                <w:lang w:val="en-US" w:eastAsia="zh-CN" w:bidi="ar-SA"/>
              </w:rPr>
            </w:pPr>
            <w:r>
              <w:rPr>
                <w:rFonts w:hint="default" w:ascii="Times New Roman" w:hAnsi="Times New Roman" w:eastAsia="仿宋_GB2312" w:cs="Times New Roman"/>
                <w:color w:val="auto"/>
                <w:sz w:val="21"/>
                <w:szCs w:val="21"/>
                <w:highlight w:val="none"/>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w:t>
            </w:r>
            <w:r>
              <w:rPr>
                <w:rFonts w:hint="eastAsia" w:eastAsia="仿宋_GB2312" w:cs="Times New Roman"/>
                <w:color w:val="000000"/>
                <w:sz w:val="21"/>
                <w:szCs w:val="21"/>
                <w:highlight w:val="none"/>
                <w:lang w:val="en-US" w:eastAsia="zh-CN"/>
              </w:rPr>
              <w:t>成本</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kern w:val="2"/>
                <w:sz w:val="21"/>
                <w:szCs w:val="21"/>
                <w:highlight w:val="none"/>
                <w:lang w:val="en-US" w:eastAsia="zh-CN" w:bidi="ar-SA"/>
              </w:rPr>
            </w:pPr>
            <w:r>
              <w:rPr>
                <w:rFonts w:hint="eastAsia" w:eastAsia="仿宋_GB2312" w:cs="Times New Roman"/>
                <w:color w:val="auto"/>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kern w:val="2"/>
                <w:sz w:val="21"/>
                <w:szCs w:val="21"/>
                <w:highlight w:val="none"/>
                <w:lang w:val="en-US" w:eastAsia="zh-CN" w:bidi="ar-SA"/>
              </w:rPr>
            </w:pPr>
            <w:r>
              <w:rPr>
                <w:rFonts w:hint="eastAsia" w:eastAsia="仿宋_GB2312" w:cs="Times New Roman"/>
                <w:color w:val="auto"/>
                <w:sz w:val="21"/>
                <w:szCs w:val="21"/>
                <w:highlight w:val="none"/>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90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kern w:val="2"/>
                <w:sz w:val="21"/>
                <w:szCs w:val="21"/>
                <w:highlight w:val="none"/>
                <w:lang w:val="en-US" w:eastAsia="zh-CN" w:bidi="ar-SA"/>
              </w:rPr>
            </w:pPr>
            <w:r>
              <w:rPr>
                <w:rFonts w:hint="eastAsia" w:eastAsia="仿宋_GB2312" w:cs="Times New Roman"/>
                <w:b/>
                <w:bCs/>
                <w:color w:val="auto"/>
                <w:sz w:val="21"/>
                <w:szCs w:val="21"/>
                <w:highlight w:val="none"/>
                <w:lang w:val="en-US" w:eastAsia="zh-CN"/>
              </w:rPr>
              <w:t>90</w:t>
            </w:r>
          </w:p>
        </w:tc>
      </w:tr>
    </w:tbl>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pPr>
        <w:shd w:val="clear"/>
        <w:spacing w:line="600" w:lineRule="exact"/>
        <w:ind w:firstLine="642" w:firstLineChars="200"/>
        <w:outlineLvl w:val="0"/>
        <w:rPr>
          <w:rFonts w:hint="default" w:ascii="Times New Roman" w:hAnsi="Times New Roman" w:eastAsia="楷体_GB2312" w:cs="Times New Roman"/>
          <w:b/>
          <w:bCs/>
          <w:sz w:val="32"/>
          <w:szCs w:val="32"/>
          <w:highlight w:val="none"/>
        </w:rPr>
      </w:pPr>
      <w:r>
        <w:rPr>
          <w:rFonts w:hint="eastAsia" w:ascii="Times New Roman" w:hAnsi="Times New Roman" w:eastAsia="楷体_GB2312" w:cs="Times New Roman"/>
          <w:b/>
          <w:bCs/>
          <w:sz w:val="32"/>
          <w:szCs w:val="32"/>
          <w:highlight w:val="none"/>
          <w:lang w:val="en-US" w:eastAsia="zh-CN"/>
        </w:rPr>
        <w:t>(一)</w:t>
      </w: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w:t>
      </w:r>
      <w:r>
        <w:rPr>
          <w:rFonts w:hint="eastAsia" w:eastAsia="仿宋_GB2312" w:cs="Times New Roman"/>
          <w:sz w:val="32"/>
          <w:szCs w:val="32"/>
          <w:highlight w:val="none"/>
          <w:lang w:val="en-US" w:eastAsia="zh-CN"/>
        </w:rPr>
        <w:t>三</w:t>
      </w:r>
      <w:r>
        <w:rPr>
          <w:rFonts w:hint="default" w:ascii="Times New Roman" w:hAnsi="Times New Roman" w:eastAsia="仿宋_GB2312" w:cs="Times New Roman"/>
          <w:sz w:val="32"/>
          <w:szCs w:val="32"/>
          <w:highlight w:val="none"/>
          <w:lang w:val="en-US" w:eastAsia="zh-CN"/>
        </w:rPr>
        <w:t>方面的内容，由</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指标1：灯箱采购，指标值</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背景墙</w:t>
      </w:r>
      <w:r>
        <w:rPr>
          <w:rFonts w:hint="default" w:ascii="Times New Roman" w:hAnsi="Times New Roman" w:eastAsia="仿宋_GB2312" w:cs="Times New Roman"/>
          <w:sz w:val="32"/>
          <w:szCs w:val="32"/>
          <w:highlight w:val="none"/>
        </w:rPr>
        <w:t>采购，指标值</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150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展柜</w:t>
      </w:r>
      <w:r>
        <w:rPr>
          <w:rFonts w:hint="default" w:ascii="Times New Roman" w:hAnsi="Times New Roman" w:eastAsia="仿宋_GB2312" w:cs="Times New Roman"/>
          <w:sz w:val="32"/>
          <w:szCs w:val="32"/>
          <w:highlight w:val="none"/>
        </w:rPr>
        <w:t>采购，指标值</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指标1：采购验收合格率，指标值≥98%，实际完成值：</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pStyle w:val="2"/>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pStyle w:val="2"/>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指标1：项目计划完成时间，指标值</w:t>
      </w:r>
      <w:r>
        <w:rPr>
          <w:rFonts w:hint="eastAsia" w:eastAsia="仿宋_GB2312" w:cs="Times New Roman"/>
          <w:sz w:val="32"/>
          <w:szCs w:val="32"/>
          <w:highlight w:val="none"/>
          <w:lang w:val="en-US" w:eastAsia="zh-CN"/>
        </w:rPr>
        <w:t>2024年12月前</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2024年6月10前</w:t>
      </w:r>
      <w:r>
        <w:rPr>
          <w:rFonts w:hint="default" w:ascii="Times New Roman" w:hAnsi="Times New Roman" w:eastAsia="仿宋_GB2312" w:cs="Times New Roman"/>
          <w:sz w:val="32"/>
          <w:szCs w:val="32"/>
          <w:highlight w:val="none"/>
        </w:rPr>
        <w:t>，指标完成率</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2" w:firstLineChars="200"/>
        <w:outlineLvl w:val="0"/>
        <w:rPr>
          <w:rFonts w:hint="default" w:ascii="Times New Roman" w:hAnsi="Times New Roman" w:eastAsia="楷体_GB2312" w:cs="Times New Roman"/>
          <w:b/>
          <w:bCs/>
          <w:sz w:val="32"/>
          <w:szCs w:val="32"/>
          <w:highlight w:val="none"/>
        </w:rPr>
      </w:pPr>
      <w:r>
        <w:rPr>
          <w:rFonts w:hint="eastAsia" w:ascii="Times New Roman" w:hAnsi="Times New Roman" w:eastAsia="楷体_GB2312" w:cs="Times New Roman"/>
          <w:b/>
          <w:bCs/>
          <w:sz w:val="32"/>
          <w:szCs w:val="32"/>
          <w:highlight w:val="none"/>
          <w:lang w:val="en-US" w:eastAsia="zh-CN"/>
        </w:rPr>
        <w:t>(</w:t>
      </w:r>
      <w:r>
        <w:rPr>
          <w:rFonts w:hint="eastAsia" w:eastAsia="楷体_GB2312" w:cs="Times New Roman"/>
          <w:b/>
          <w:bCs/>
          <w:sz w:val="32"/>
          <w:szCs w:val="32"/>
          <w:highlight w:val="none"/>
          <w:lang w:val="en-US" w:eastAsia="zh-CN"/>
        </w:rPr>
        <w:t>二</w:t>
      </w:r>
      <w:r>
        <w:rPr>
          <w:rFonts w:hint="eastAsia" w:ascii="Times New Roman" w:hAnsi="Times New Roman" w:eastAsia="楷体_GB2312" w:cs="Times New Roman"/>
          <w:b/>
          <w:bCs/>
          <w:sz w:val="32"/>
          <w:szCs w:val="32"/>
          <w:highlight w:val="none"/>
          <w:lang w:val="en-US" w:eastAsia="zh-CN"/>
        </w:rPr>
        <w:t>)成本指标</w:t>
      </w:r>
      <w:r>
        <w:rPr>
          <w:rFonts w:hint="default" w:ascii="Times New Roman" w:hAnsi="Times New Roman" w:eastAsia="楷体_GB2312" w:cs="Times New Roman"/>
          <w:b/>
          <w:bCs/>
          <w:sz w:val="32"/>
          <w:szCs w:val="32"/>
          <w:highlight w:val="none"/>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成本</w:t>
      </w:r>
      <w:r>
        <w:rPr>
          <w:rFonts w:hint="default" w:ascii="Times New Roman" w:hAnsi="Times New Roman" w:eastAsia="仿宋_GB2312" w:cs="Times New Roman"/>
          <w:sz w:val="32"/>
          <w:szCs w:val="32"/>
          <w:highlight w:val="none"/>
          <w:lang w:val="en-US" w:eastAsia="zh-CN"/>
        </w:rPr>
        <w:t>类指标</w:t>
      </w:r>
      <w:r>
        <w:rPr>
          <w:rFonts w:hint="eastAsia" w:eastAsia="仿宋_GB2312" w:cs="Times New Roman"/>
          <w:sz w:val="32"/>
          <w:szCs w:val="32"/>
          <w:highlight w:val="none"/>
          <w:lang w:val="en-US" w:eastAsia="zh-CN"/>
        </w:rPr>
        <w:t>由经济成本指标构成</w:t>
      </w:r>
      <w:r>
        <w:rPr>
          <w:rFonts w:hint="default" w:ascii="Times New Roman" w:hAnsi="Times New Roman" w:eastAsia="仿宋_GB2312" w:cs="Times New Roman"/>
          <w:sz w:val="32"/>
          <w:szCs w:val="32"/>
          <w:highlight w:val="none"/>
          <w:lang w:val="en-US" w:eastAsia="zh-CN"/>
        </w:rPr>
        <w:t>，由</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eastAsia" w:eastAsia="仿宋_GB2312" w:cs="Times New Roman"/>
          <w:sz w:val="32"/>
          <w:szCs w:val="32"/>
          <w:highlight w:val="none"/>
          <w:lang w:val="en-US" w:eastAsia="zh-CN"/>
        </w:rPr>
        <w:t>经济成本</w:t>
      </w:r>
      <w:r>
        <w:rPr>
          <w:rFonts w:hint="default" w:ascii="Times New Roman" w:hAnsi="Times New Roman" w:eastAsia="仿宋_GB2312" w:cs="Times New Roman"/>
          <w:sz w:val="32"/>
          <w:szCs w:val="32"/>
          <w:highlight w:val="none"/>
        </w:rPr>
        <w:t>指标：</w:t>
      </w:r>
    </w:p>
    <w:p>
      <w:pPr>
        <w:pStyle w:val="2"/>
        <w:ind w:firstLine="640" w:firstLineChars="20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default" w:eastAsia="仿宋_GB2312" w:cs="Times New Roman"/>
          <w:sz w:val="32"/>
          <w:szCs w:val="32"/>
          <w:highlight w:val="none"/>
          <w:lang w:eastAsia="zh-CN"/>
        </w:rPr>
        <w:t>灯箱采购成本费用</w:t>
      </w:r>
      <w:r>
        <w:rPr>
          <w:rFonts w:hint="default" w:ascii="Times New Roman" w:hAnsi="Times New Roman" w:eastAsia="仿宋_GB2312" w:cs="Times New Roman"/>
          <w:sz w:val="32"/>
          <w:szCs w:val="32"/>
          <w:highlight w:val="none"/>
        </w:rPr>
        <w:t>，指标值</w:t>
      </w:r>
      <w:r>
        <w:rPr>
          <w:rFonts w:hint="default" w:ascii="Times New Roman" w:hAnsi="Times New Roman" w:eastAsia="仿宋_GB2312" w:cs="Times New Roman"/>
          <w:sz w:val="32"/>
          <w:szCs w:val="32"/>
          <w:highlight w:val="none"/>
          <w:lang w:eastAsia="zh-CN"/>
        </w:rPr>
        <w:tab/>
      </w:r>
      <w:r>
        <w:rPr>
          <w:rFonts w:hint="default" w:ascii="Times New Roman" w:hAnsi="Times New Roman" w:eastAsia="仿宋_GB2312" w:cs="Times New Roman"/>
          <w:sz w:val="32"/>
          <w:szCs w:val="32"/>
          <w:highlight w:val="none"/>
          <w:lang w:eastAsia="zh-CN"/>
        </w:rPr>
        <w:t>≤0.6万元</w:t>
      </w:r>
      <w:r>
        <w:rPr>
          <w:rFonts w:hint="default" w:ascii="Times New Roman" w:hAnsi="Times New Roman" w:eastAsia="仿宋_GB2312" w:cs="Times New Roman"/>
          <w:sz w:val="32"/>
          <w:szCs w:val="32"/>
          <w:highlight w:val="none"/>
        </w:rPr>
        <w:t>，实际完成值：</w:t>
      </w:r>
      <w:r>
        <w:rPr>
          <w:rFonts w:hint="default" w:ascii="Times New Roman" w:hAnsi="Times New Roman" w:eastAsia="仿宋_GB2312" w:cs="Times New Roman"/>
          <w:sz w:val="32"/>
          <w:szCs w:val="32"/>
          <w:highlight w:val="none"/>
          <w:lang w:eastAsia="zh-CN"/>
        </w:rPr>
        <w:t>0.6万元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pStyle w:val="2"/>
        <w:ind w:firstLine="640" w:firstLineChars="200"/>
        <w:rPr>
          <w:rFonts w:hint="default"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eastAsia="仿宋_GB2312" w:cs="Times New Roman"/>
          <w:sz w:val="32"/>
          <w:szCs w:val="32"/>
          <w:highlight w:val="none"/>
          <w:lang w:eastAsia="zh-CN"/>
        </w:rPr>
        <w:t>背景墙采购费用</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default" w:eastAsia="仿宋_GB2312" w:cs="Times New Roman"/>
          <w:sz w:val="32"/>
          <w:szCs w:val="32"/>
          <w:highlight w:val="none"/>
          <w:lang w:eastAsia="zh-CN"/>
        </w:rPr>
        <w:t>≤0.6万元</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0.575万元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pStyle w:val="2"/>
        <w:ind w:firstLine="640" w:firstLineChars="200"/>
        <w:rPr>
          <w:rFonts w:hint="default"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eastAsia="仿宋_GB2312" w:cs="Times New Roman"/>
          <w:sz w:val="32"/>
          <w:szCs w:val="32"/>
          <w:highlight w:val="none"/>
          <w:lang w:eastAsia="zh-CN"/>
        </w:rPr>
        <w:t>展柜采购成本费用</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default" w:eastAsia="仿宋_GB2312" w:cs="Times New Roman"/>
          <w:sz w:val="32"/>
          <w:szCs w:val="32"/>
          <w:highlight w:val="none"/>
          <w:lang w:eastAsia="zh-CN"/>
        </w:rPr>
        <w:t>≤2.25万元</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2.23万元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pStyle w:val="2"/>
        <w:ind w:firstLine="640" w:firstLineChars="200"/>
        <w:rPr>
          <w:rFonts w:hint="default"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4</w:t>
      </w:r>
      <w:r>
        <w:rPr>
          <w:rFonts w:hint="eastAsia" w:eastAsia="仿宋_GB2312" w:cs="Times New Roman"/>
          <w:sz w:val="32"/>
          <w:szCs w:val="32"/>
          <w:highlight w:val="none"/>
          <w:lang w:eastAsia="zh-CN"/>
        </w:rPr>
        <w:t>：</w:t>
      </w:r>
      <w:r>
        <w:rPr>
          <w:rFonts w:hint="default" w:eastAsia="仿宋_GB2312" w:cs="Times New Roman"/>
          <w:sz w:val="32"/>
          <w:szCs w:val="32"/>
          <w:highlight w:val="none"/>
          <w:lang w:eastAsia="zh-CN"/>
        </w:rPr>
        <w:t>水晶字采购成本费用</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default" w:eastAsia="仿宋_GB2312" w:cs="Times New Roman"/>
          <w:sz w:val="32"/>
          <w:szCs w:val="32"/>
          <w:highlight w:val="none"/>
          <w:lang w:eastAsia="zh-CN"/>
        </w:rPr>
        <w:t>≤0.35万元</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0.35万元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pStyle w:val="2"/>
        <w:ind w:firstLine="640" w:firstLineChars="20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5：</w:t>
      </w:r>
      <w:r>
        <w:rPr>
          <w:rFonts w:hint="default" w:eastAsia="仿宋_GB2312" w:cs="Times New Roman"/>
          <w:sz w:val="32"/>
          <w:szCs w:val="32"/>
          <w:highlight w:val="none"/>
          <w:lang w:eastAsia="zh-CN"/>
        </w:rPr>
        <w:t>宣传板采购成本费用</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default" w:eastAsia="仿宋_GB2312" w:cs="Times New Roman"/>
          <w:sz w:val="32"/>
          <w:szCs w:val="32"/>
          <w:highlight w:val="none"/>
          <w:lang w:eastAsia="zh-CN"/>
        </w:rPr>
        <w:t>≤1万元</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0.9345万元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pStyle w:val="2"/>
        <w:numPr>
          <w:ilvl w:val="0"/>
          <w:numId w:val="0"/>
        </w:numPr>
        <w:ind w:leftChars="200"/>
        <w:rPr>
          <w:rFonts w:hint="default" w:ascii="Times New Roman" w:hAnsi="Times New Roman" w:eastAsia="楷体_GB2312" w:cs="Times New Roman"/>
          <w:b/>
          <w:bCs/>
          <w:sz w:val="32"/>
          <w:szCs w:val="32"/>
          <w:highlight w:val="none"/>
          <w:lang w:val="en-US" w:eastAsia="zh-CN"/>
        </w:rPr>
      </w:pPr>
      <w:r>
        <w:rPr>
          <w:rFonts w:hint="eastAsia" w:eastAsia="楷体_GB2312" w:cs="Times New Roman"/>
          <w:b/>
          <w:bCs/>
          <w:sz w:val="32"/>
          <w:szCs w:val="32"/>
          <w:highlight w:val="none"/>
          <w:lang w:val="en-US" w:eastAsia="zh-CN"/>
        </w:rPr>
        <w:t>（三）</w:t>
      </w:r>
      <w:r>
        <w:rPr>
          <w:rFonts w:hint="default" w:ascii="Times New Roman" w:hAnsi="Times New Roman" w:eastAsia="楷体_GB2312" w:cs="Times New Roman"/>
          <w:b/>
          <w:bCs/>
          <w:sz w:val="32"/>
          <w:szCs w:val="32"/>
          <w:highlight w:val="none"/>
          <w:lang w:val="en-US" w:eastAsia="zh-CN"/>
        </w:rPr>
        <w:t>项目效益情况</w:t>
      </w:r>
    </w:p>
    <w:p>
      <w:pPr>
        <w:pStyle w:val="2"/>
        <w:numPr>
          <w:ilvl w:val="0"/>
          <w:numId w:val="0"/>
        </w:numPr>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项目效益类指标由</w:t>
      </w:r>
      <w:r>
        <w:rPr>
          <w:rFonts w:hint="eastAsia" w:eastAsia="仿宋_GB2312" w:cs="Times New Roman"/>
          <w:sz w:val="32"/>
          <w:szCs w:val="32"/>
          <w:highlight w:val="none"/>
          <w:lang w:val="en-US" w:eastAsia="zh-CN"/>
        </w:rPr>
        <w:t>社会</w:t>
      </w:r>
      <w:r>
        <w:rPr>
          <w:rFonts w:hint="default" w:ascii="Times New Roman" w:hAnsi="Times New Roman" w:eastAsia="仿宋_GB2312" w:cs="Times New Roman"/>
          <w:sz w:val="32"/>
          <w:szCs w:val="32"/>
          <w:highlight w:val="none"/>
          <w:lang w:val="en-US" w:eastAsia="zh-CN"/>
        </w:rPr>
        <w:t>效益</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个</w:t>
      </w:r>
      <w:r>
        <w:rPr>
          <w:rFonts w:hint="eastAsia" w:eastAsia="仿宋_GB2312" w:cs="Times New Roman"/>
          <w:sz w:val="32"/>
          <w:szCs w:val="32"/>
          <w:highlight w:val="none"/>
          <w:lang w:val="en-US" w:eastAsia="zh-CN"/>
        </w:rPr>
        <w:t>二</w:t>
      </w:r>
      <w:r>
        <w:rPr>
          <w:rFonts w:hint="default" w:ascii="Times New Roman" w:hAnsi="Times New Roman" w:eastAsia="仿宋_GB2312" w:cs="Times New Roman"/>
          <w:sz w:val="32"/>
          <w:szCs w:val="32"/>
          <w:highlight w:val="none"/>
          <w:lang w:val="en-US" w:eastAsia="zh-CN"/>
        </w:rPr>
        <w:t>级指标</w:t>
      </w:r>
      <w:r>
        <w:rPr>
          <w:rFonts w:hint="eastAsia" w:eastAsia="仿宋_GB2312" w:cs="Times New Roman"/>
          <w:sz w:val="32"/>
          <w:szCs w:val="32"/>
          <w:highlight w:val="none"/>
          <w:lang w:val="en-US" w:eastAsia="zh-CN"/>
        </w:rPr>
        <w:t>和1个三级指标</w:t>
      </w:r>
      <w:r>
        <w:rPr>
          <w:rFonts w:hint="default" w:ascii="Times New Roman" w:hAnsi="Times New Roman" w:eastAsia="仿宋_GB2312" w:cs="Times New Roman"/>
          <w:sz w:val="32"/>
          <w:szCs w:val="32"/>
          <w:highlight w:val="none"/>
          <w:lang w:val="en-US" w:eastAsia="zh-CN"/>
        </w:rPr>
        <w:t>构成，权重分为</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0分，实际得分</w:t>
      </w:r>
      <w:r>
        <w:rPr>
          <w:rFonts w:hint="eastAsia" w:eastAsia="仿宋_GB2312" w:cs="Times New Roman"/>
          <w:sz w:val="32"/>
          <w:szCs w:val="32"/>
          <w:highlight w:val="none"/>
          <w:lang w:val="en-US" w:eastAsia="zh-CN"/>
        </w:rPr>
        <w:t>30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pPr>
        <w:shd w:val="clear"/>
        <w:spacing w:line="600" w:lineRule="exact"/>
        <w:ind w:firstLine="640" w:firstLineChars="200"/>
        <w:outlineLvl w:val="0"/>
        <w:rPr>
          <w:rFonts w:hint="default"/>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提升无线电违法违规人员法治观念意识</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长期有效</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累计完成3次参观宣传</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pacing w:line="560" w:lineRule="exact"/>
        <w:ind w:firstLine="640" w:firstLineChars="200"/>
        <w:rPr>
          <w:rFonts w:hint="eastAsia" w:ascii="黑体" w:hAnsi="黑体" w:eastAsia="黑体" w:cs="黑体"/>
          <w:b w:val="0"/>
          <w:bCs w:val="0"/>
          <w:sz w:val="32"/>
          <w:szCs w:val="32"/>
          <w:highlight w:val="none"/>
          <w:lang w:val="en-US" w:eastAsia="zh-Hans"/>
        </w:rPr>
      </w:pPr>
      <w:r>
        <w:rPr>
          <w:rFonts w:hint="eastAsia" w:ascii="黑体" w:hAnsi="黑体" w:eastAsia="黑体" w:cs="黑体"/>
          <w:b w:val="0"/>
          <w:bCs w:val="0"/>
          <w:sz w:val="32"/>
          <w:szCs w:val="32"/>
          <w:highlight w:val="none"/>
          <w:lang w:val="en-US" w:eastAsia="zh-CN"/>
        </w:rPr>
        <w:t>五、</w:t>
      </w:r>
      <w:r>
        <w:rPr>
          <w:rFonts w:hint="eastAsia" w:ascii="黑体" w:hAnsi="黑体" w:eastAsia="黑体" w:cs="黑体"/>
          <w:b w:val="0"/>
          <w:bCs w:val="0"/>
          <w:sz w:val="32"/>
          <w:szCs w:val="32"/>
          <w:highlight w:val="none"/>
          <w:lang w:val="en-US" w:eastAsia="zh-Hans"/>
        </w:rPr>
        <w:t>预算执行进度与绩效指标总体完成率偏差</w:t>
      </w:r>
    </w:p>
    <w:p>
      <w:pPr>
        <w:pStyle w:val="19"/>
        <w:spacing w:line="560" w:lineRule="exact"/>
        <w:ind w:firstLine="640"/>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无线电</w:t>
      </w:r>
      <w:r>
        <w:rPr>
          <w:rFonts w:hint="eastAsia" w:ascii="仿宋_GB2312" w:hAnsi="仿宋_GB2312" w:eastAsia="仿宋_GB2312" w:cs="仿宋_GB2312"/>
          <w:b w:val="0"/>
          <w:bCs w:val="0"/>
          <w:color w:val="auto"/>
          <w:sz w:val="32"/>
          <w:szCs w:val="32"/>
          <w:highlight w:val="none"/>
          <w:lang w:val="en-US" w:eastAsia="zh-CN"/>
        </w:rPr>
        <w:t>法治科普教育实践基地设计实施</w:t>
      </w:r>
      <w:r>
        <w:rPr>
          <w:rFonts w:hint="eastAsia" w:ascii="仿宋_GB2312" w:hAnsi="仿宋_GB2312" w:eastAsia="仿宋_GB2312" w:cs="仿宋_GB2312"/>
          <w:b w:val="0"/>
          <w:bCs w:val="0"/>
          <w:color w:val="auto"/>
          <w:sz w:val="32"/>
          <w:szCs w:val="32"/>
          <w:highlight w:val="none"/>
        </w:rPr>
        <w:t>项目年初预算</w:t>
      </w:r>
      <w:r>
        <w:rPr>
          <w:rFonts w:hint="eastAsia" w:ascii="仿宋_GB2312" w:hAnsi="仿宋_GB2312" w:eastAsia="仿宋_GB2312" w:cs="仿宋_GB2312"/>
          <w:b w:val="0"/>
          <w:bCs w:val="0"/>
          <w:color w:val="auto"/>
          <w:sz w:val="32"/>
          <w:szCs w:val="32"/>
          <w:highlight w:val="none"/>
          <w:lang w:val="en-US" w:eastAsia="zh-CN"/>
        </w:rPr>
        <w:t>4.8</w:t>
      </w:r>
      <w:r>
        <w:rPr>
          <w:rFonts w:hint="eastAsia" w:ascii="仿宋_GB2312" w:hAnsi="仿宋_GB2312" w:eastAsia="仿宋_GB2312" w:cs="仿宋_GB2312"/>
          <w:b w:val="0"/>
          <w:bCs w:val="0"/>
          <w:color w:val="auto"/>
          <w:sz w:val="32"/>
          <w:szCs w:val="32"/>
          <w:highlight w:val="none"/>
        </w:rPr>
        <w:t>万元，全年预算</w:t>
      </w:r>
      <w:r>
        <w:rPr>
          <w:rFonts w:hint="eastAsia" w:ascii="仿宋_GB2312" w:hAnsi="仿宋_GB2312" w:eastAsia="仿宋_GB2312" w:cs="仿宋_GB2312"/>
          <w:b w:val="0"/>
          <w:bCs w:val="0"/>
          <w:color w:val="auto"/>
          <w:sz w:val="32"/>
          <w:szCs w:val="32"/>
          <w:highlight w:val="none"/>
          <w:lang w:val="en-US" w:eastAsia="zh-CN"/>
        </w:rPr>
        <w:t>4.8</w:t>
      </w:r>
      <w:r>
        <w:rPr>
          <w:rFonts w:hint="eastAsia" w:ascii="仿宋_GB2312" w:hAnsi="仿宋_GB2312" w:eastAsia="仿宋_GB2312" w:cs="仿宋_GB2312"/>
          <w:b w:val="0"/>
          <w:bCs w:val="0"/>
          <w:color w:val="auto"/>
          <w:sz w:val="32"/>
          <w:szCs w:val="32"/>
          <w:highlight w:val="none"/>
        </w:rPr>
        <w:t>万元，实际支出</w:t>
      </w:r>
      <w:r>
        <w:rPr>
          <w:rFonts w:hint="eastAsia" w:ascii="仿宋_GB2312" w:hAnsi="仿宋_GB2312" w:eastAsia="仿宋_GB2312" w:cs="仿宋_GB2312"/>
          <w:b w:val="0"/>
          <w:bCs w:val="0"/>
          <w:color w:val="auto"/>
          <w:sz w:val="32"/>
          <w:szCs w:val="32"/>
          <w:highlight w:val="none"/>
          <w:lang w:val="en-US" w:eastAsia="zh-CN"/>
        </w:rPr>
        <w:t>4.8</w:t>
      </w:r>
      <w:r>
        <w:rPr>
          <w:rFonts w:hint="eastAsia" w:ascii="仿宋_GB2312" w:hAnsi="仿宋_GB2312" w:eastAsia="仿宋_GB2312" w:cs="仿宋_GB2312"/>
          <w:b w:val="0"/>
          <w:bCs w:val="0"/>
          <w:color w:val="auto"/>
          <w:sz w:val="32"/>
          <w:szCs w:val="32"/>
          <w:highlight w:val="none"/>
        </w:rPr>
        <w:t>万元，预算执行率为</w:t>
      </w:r>
      <w:r>
        <w:rPr>
          <w:rFonts w:hint="eastAsia" w:ascii="仿宋_GB2312" w:hAnsi="仿宋_GB2312"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rPr>
        <w:t>%，项目绩效指标总体完成率为</w:t>
      </w:r>
      <w:r>
        <w:rPr>
          <w:rFonts w:hint="eastAsia" w:ascii="仿宋_GB2312" w:hAnsi="仿宋_GB2312"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color w:val="auto"/>
          <w:sz w:val="32"/>
          <w:szCs w:val="32"/>
          <w:highlight w:val="none"/>
          <w:lang w:eastAsia="zh-Hans"/>
        </w:rPr>
        <w:t>总体</w:t>
      </w:r>
      <w:r>
        <w:rPr>
          <w:rFonts w:hint="eastAsia" w:ascii="仿宋_GB2312" w:hAnsi="仿宋_GB2312" w:eastAsia="仿宋_GB2312" w:cs="仿宋_GB2312"/>
          <w:b w:val="0"/>
          <w:bCs w:val="0"/>
          <w:color w:val="auto"/>
          <w:sz w:val="32"/>
          <w:szCs w:val="32"/>
          <w:highlight w:val="none"/>
        </w:rPr>
        <w:t>偏差率为</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lang w:eastAsia="zh-CN"/>
        </w:rPr>
        <w:t>。</w:t>
      </w:r>
    </w:p>
    <w:p>
      <w:pPr>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sz w:val="32"/>
          <w:szCs w:val="32"/>
          <w:highlight w:val="none"/>
          <w:lang w:val="en-US" w:eastAsia="zh-CN"/>
        </w:rPr>
        <w:t>六</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主要经验及做法、存在的问题及原因分析</w:t>
      </w:r>
    </w:p>
    <w:p>
      <w:pPr>
        <w:spacing w:line="560" w:lineRule="exact"/>
        <w:ind w:firstLine="626"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pPr>
        <w:ind w:firstLine="640" w:firstLineChars="200"/>
        <w:rPr>
          <w:rFonts w:hint="default" w:eastAsia="仿宋_GB2312"/>
          <w:highlight w:val="none"/>
          <w:lang w:val="en-US" w:eastAsia="zh-CN"/>
        </w:rPr>
      </w:pPr>
      <w:r>
        <w:rPr>
          <w:rFonts w:hint="eastAsia" w:ascii="仿宋_GB2312" w:eastAsia="仿宋_GB2312" w:cs="宋体"/>
          <w:kern w:val="0"/>
          <w:sz w:val="32"/>
          <w:szCs w:val="32"/>
          <w:highlight w:val="none"/>
          <w:lang w:val="en-US" w:eastAsia="zh-CN"/>
        </w:rPr>
        <w:t>1.根据项目特点，找准</w:t>
      </w:r>
      <w:r>
        <w:rPr>
          <w:rFonts w:hint="eastAsia" w:ascii="仿宋_GB2312" w:eastAsia="仿宋_GB2312" w:cs="宋体"/>
          <w:kern w:val="0"/>
          <w:sz w:val="32"/>
          <w:szCs w:val="32"/>
          <w:highlight w:val="none"/>
          <w:lang w:val="zh-CN"/>
        </w:rPr>
        <w:t>政策依据</w:t>
      </w:r>
      <w:r>
        <w:rPr>
          <w:rFonts w:hint="eastAsia" w:ascii="仿宋_GB2312" w:eastAsia="仿宋_GB2312" w:cs="宋体"/>
          <w:kern w:val="0"/>
          <w:sz w:val="32"/>
          <w:szCs w:val="32"/>
          <w:highlight w:val="none"/>
          <w:lang w:val="en-US" w:eastAsia="zh-CN"/>
        </w:rPr>
        <w:t>。</w:t>
      </w:r>
      <w:r>
        <w:rPr>
          <w:rFonts w:hint="default" w:ascii="Times New Roman" w:hAnsi="Times New Roman" w:eastAsia="仿宋_GB2312" w:cs="Times New Roman"/>
          <w:sz w:val="32"/>
          <w:szCs w:val="32"/>
          <w:highlight w:val="none"/>
        </w:rPr>
        <w:t>为确保项目顺利进行，提前做好项目规划</w:t>
      </w:r>
      <w:r>
        <w:rPr>
          <w:rFonts w:hint="default" w:ascii="仿宋_GB2312" w:eastAsia="仿宋_GB2312" w:cs="宋体"/>
          <w:kern w:val="0"/>
          <w:sz w:val="32"/>
          <w:szCs w:val="32"/>
          <w:highlight w:val="none"/>
          <w:lang w:val="zh-CN"/>
        </w:rPr>
        <w:t>，</w:t>
      </w:r>
      <w:r>
        <w:rPr>
          <w:rFonts w:hint="eastAsia" w:ascii="仿宋_GB2312" w:eastAsia="仿宋_GB2312" w:cs="宋体"/>
          <w:kern w:val="0"/>
          <w:sz w:val="32"/>
          <w:szCs w:val="32"/>
          <w:highlight w:val="none"/>
          <w:lang w:val="en-US" w:eastAsia="zh-CN"/>
        </w:rPr>
        <w:t>结合</w:t>
      </w:r>
      <w:r>
        <w:rPr>
          <w:rFonts w:hint="eastAsia" w:ascii="仿宋_GB2312" w:eastAsia="仿宋_GB2312"/>
          <w:sz w:val="32"/>
          <w:szCs w:val="32"/>
          <w:highlight w:val="none"/>
        </w:rPr>
        <w:t>《关于开展“八五”普法规划实施情况中期评估指导的通知》《2023年自治区无线电管理工作绩效考核细则》《</w:t>
      </w:r>
      <w:r>
        <w:rPr>
          <w:rFonts w:hint="eastAsia" w:ascii="仿宋_GB2312" w:eastAsia="仿宋_GB2312" w:cs="宋体"/>
          <w:kern w:val="0"/>
          <w:sz w:val="32"/>
          <w:szCs w:val="32"/>
          <w:highlight w:val="none"/>
          <w:lang w:val="zh-CN"/>
        </w:rPr>
        <w:t>昌吉州“谁执法谁普法”责任单位履职报告评议工作实施意见的通知</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以及</w:t>
      </w:r>
      <w:r>
        <w:rPr>
          <w:rFonts w:hint="eastAsia" w:ascii="仿宋_GB2312" w:hAnsi="仿宋" w:eastAsia="仿宋_GB2312" w:cs="宋体"/>
          <w:b w:val="0"/>
          <w:bCs w:val="0"/>
          <w:color w:val="333333"/>
          <w:sz w:val="32"/>
          <w:szCs w:val="32"/>
          <w:highlight w:val="none"/>
        </w:rPr>
        <w:t>工信厅财审处《关于〈2022年度部门预算执行和其他财政财务收支情况审计〉整改问题任务台账》</w:t>
      </w:r>
      <w:r>
        <w:rPr>
          <w:rFonts w:hint="eastAsia" w:ascii="仿宋_GB2312" w:hAnsi="仿宋" w:eastAsia="仿宋_GB2312" w:cs="宋体"/>
          <w:b w:val="0"/>
          <w:bCs w:val="0"/>
          <w:color w:val="333333"/>
          <w:sz w:val="32"/>
          <w:szCs w:val="32"/>
          <w:highlight w:val="none"/>
          <w:lang w:val="en-US" w:eastAsia="zh-CN"/>
        </w:rPr>
        <w:t>等相关政策依据，为顺利</w:t>
      </w:r>
      <w:r>
        <w:rPr>
          <w:rFonts w:hint="eastAsia" w:ascii="仿宋_GB2312" w:hAnsi="仿宋" w:eastAsia="仿宋_GB2312" w:cs="宋体"/>
          <w:color w:val="333333"/>
          <w:sz w:val="32"/>
          <w:szCs w:val="32"/>
          <w:highlight w:val="none"/>
          <w:lang w:val="en-US" w:eastAsia="zh-CN"/>
        </w:rPr>
        <w:t>研究讨论通过项目申报做好了充分政策依据。</w:t>
      </w:r>
    </w:p>
    <w:p>
      <w:pPr>
        <w:spacing w:line="560" w:lineRule="exact"/>
        <w:ind w:firstLine="640" w:firstLineChars="20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2.加强监督管理，严格规范执行。</w:t>
      </w:r>
      <w:r>
        <w:rPr>
          <w:rFonts w:hint="default" w:ascii="Times New Roman" w:hAnsi="Times New Roman" w:eastAsia="仿宋_GB2312" w:cs="Times New Roman"/>
          <w:sz w:val="32"/>
          <w:szCs w:val="32"/>
          <w:highlight w:val="none"/>
        </w:rPr>
        <w:t>在项目实施过程中做好定期监督检查，严格按照项目管理规范进行，在项目资金使用过程中，严格落实把关，按照项目资金使用范围做好审核工作，让项目资金落于实处。在项目完成后，</w:t>
      </w:r>
      <w:r>
        <w:rPr>
          <w:rFonts w:hint="eastAsia" w:eastAsia="仿宋_GB2312" w:cs="Times New Roman"/>
          <w:sz w:val="32"/>
          <w:szCs w:val="32"/>
          <w:highlight w:val="none"/>
          <w:lang w:val="en-US" w:eastAsia="zh-CN"/>
        </w:rPr>
        <w:t>及时做好项目管理和使用，发挥项目实际效益。</w:t>
      </w:r>
    </w:p>
    <w:p>
      <w:pPr>
        <w:widowControl w:val="0"/>
        <w:numPr>
          <w:ilvl w:val="0"/>
          <w:numId w:val="0"/>
        </w:numPr>
        <w:wordWrap/>
        <w:adjustRightInd/>
        <w:snapToGrid/>
        <w:spacing w:before="0" w:beforeAutospacing="0" w:after="0" w:afterAutospacing="0" w:line="560" w:lineRule="exact"/>
        <w:ind w:right="0" w:firstLine="640" w:firstLineChars="200"/>
        <w:jc w:val="both"/>
        <w:textAlignment w:val="auto"/>
        <w:outlineLvl w:val="9"/>
        <w:rPr>
          <w:rFonts w:hint="eastAsia" w:ascii="仿宋_GB2312" w:eastAsia="仿宋_GB2312"/>
          <w:sz w:val="32"/>
          <w:szCs w:val="32"/>
          <w:highlight w:val="none"/>
        </w:rPr>
      </w:pPr>
      <w:r>
        <w:rPr>
          <w:rFonts w:hint="eastAsia" w:ascii="仿宋_GB2312" w:eastAsia="仿宋_GB2312"/>
          <w:sz w:val="32"/>
          <w:szCs w:val="32"/>
          <w:highlight w:val="none"/>
          <w:lang w:val="en-US" w:eastAsia="zh-CN"/>
        </w:rPr>
        <w:t>3.该项目实施</w:t>
      </w:r>
      <w:r>
        <w:rPr>
          <w:rFonts w:hint="eastAsia" w:ascii="仿宋_GB2312" w:eastAsia="仿宋_GB2312"/>
          <w:sz w:val="32"/>
          <w:szCs w:val="32"/>
          <w:highlight w:val="none"/>
        </w:rPr>
        <w:t>工作计划合理,计划进度安排</w:t>
      </w:r>
      <w:r>
        <w:rPr>
          <w:rFonts w:hint="eastAsia" w:ascii="仿宋_GB2312" w:eastAsia="仿宋_GB2312"/>
          <w:sz w:val="32"/>
          <w:szCs w:val="32"/>
          <w:highlight w:val="none"/>
          <w:lang w:val="en-US" w:eastAsia="zh-CN"/>
        </w:rPr>
        <w:t>科学合理</w:t>
      </w:r>
      <w:r>
        <w:rPr>
          <w:rFonts w:hint="eastAsia" w:ascii="仿宋_GB2312" w:eastAsia="仿宋_GB2312"/>
          <w:sz w:val="32"/>
          <w:szCs w:val="32"/>
          <w:highlight w:val="none"/>
        </w:rPr>
        <w:t>，职责分工明确，组织管理机制健全</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该项目由具体项目负责人王会才负责各阶段项目实施推进，由单位负责人郭欣媛负责项目实施各阶段督导验收。</w:t>
      </w:r>
    </w:p>
    <w:p>
      <w:pPr>
        <w:keepNext/>
        <w:keepLines/>
        <w:numPr>
          <w:ilvl w:val="0"/>
          <w:numId w:val="5"/>
        </w:numPr>
        <w:spacing w:line="560" w:lineRule="exact"/>
        <w:ind w:firstLine="642"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w:t>
      </w:r>
      <w:r>
        <w:rPr>
          <w:rFonts w:hint="eastAsia" w:eastAsia="仿宋_GB2312" w:cs="Times New Roman"/>
          <w:color w:val="auto"/>
          <w:sz w:val="32"/>
          <w:szCs w:val="32"/>
          <w:highlight w:val="none"/>
          <w:lang w:val="en-US" w:eastAsia="zh-CN"/>
        </w:rPr>
        <w:t>因内控机制不健全，缺乏标准化操作流程</w:t>
      </w:r>
      <w:r>
        <w:rPr>
          <w:rFonts w:hint="default"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造成</w:t>
      </w:r>
      <w:r>
        <w:rPr>
          <w:rFonts w:hint="default" w:ascii="Times New Roman" w:hAnsi="Times New Roman" w:eastAsia="仿宋_GB2312" w:cs="Times New Roman"/>
          <w:color w:val="auto"/>
          <w:sz w:val="32"/>
          <w:szCs w:val="32"/>
          <w:highlight w:val="none"/>
          <w:lang w:val="en-US" w:eastAsia="zh-CN"/>
        </w:rPr>
        <w:t>工作</w:t>
      </w:r>
      <w:r>
        <w:rPr>
          <w:rFonts w:hint="eastAsia" w:eastAsia="仿宋_GB2312" w:cs="Times New Roman"/>
          <w:color w:val="auto"/>
          <w:sz w:val="32"/>
          <w:szCs w:val="32"/>
          <w:highlight w:val="none"/>
          <w:lang w:val="en-US" w:eastAsia="zh-CN"/>
        </w:rPr>
        <w:t>前期</w:t>
      </w:r>
      <w:r>
        <w:rPr>
          <w:rFonts w:hint="default" w:ascii="Times New Roman" w:hAnsi="Times New Roman" w:eastAsia="仿宋_GB2312" w:cs="Times New Roman"/>
          <w:color w:val="auto"/>
          <w:sz w:val="32"/>
          <w:szCs w:val="32"/>
          <w:highlight w:val="none"/>
          <w:lang w:val="en-US" w:eastAsia="zh-CN"/>
        </w:rPr>
        <w:t>衔接不到位</w:t>
      </w:r>
      <w:r>
        <w:rPr>
          <w:rFonts w:hint="eastAsia" w:eastAsia="仿宋_GB2312" w:cs="Times New Roman"/>
          <w:color w:val="auto"/>
          <w:sz w:val="32"/>
          <w:szCs w:val="32"/>
          <w:highlight w:val="none"/>
          <w:lang w:val="en-US" w:eastAsia="zh-CN"/>
        </w:rPr>
        <w:t>、推进速度慢</w:t>
      </w:r>
      <w:r>
        <w:rPr>
          <w:rFonts w:hint="default" w:ascii="Times New Roman" w:hAnsi="Times New Roman" w:eastAsia="仿宋_GB2312" w:cs="Times New Roman"/>
          <w:color w:val="auto"/>
          <w:sz w:val="32"/>
          <w:szCs w:val="32"/>
          <w:highlight w:val="none"/>
          <w:lang w:val="en-US" w:eastAsia="zh-CN"/>
        </w:rPr>
        <w:t>的情况。</w:t>
      </w:r>
    </w:p>
    <w:p>
      <w:pPr>
        <w:spacing w:line="560" w:lineRule="exact"/>
        <w:ind w:firstLine="640" w:firstLineChars="20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w:t>
      </w:r>
      <w:r>
        <w:rPr>
          <w:rFonts w:hint="eastAsia" w:eastAsia="仿宋_GB2312" w:cs="Times New Roman"/>
          <w:color w:val="auto"/>
          <w:sz w:val="32"/>
          <w:szCs w:val="32"/>
          <w:highlight w:val="none"/>
          <w:lang w:val="en-US" w:eastAsia="zh-CN"/>
        </w:rPr>
        <w:t>社会效益方面，组织参观人数和效果未达预期，主要是没有及时制定参观计划，及时组织群众、无线电设台单位参与宣传，没有真正发挥提升无线电法治科普教育实践基地的作用。</w:t>
      </w:r>
    </w:p>
    <w:p>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黑体" w:cs="Times New Roman"/>
          <w:sz w:val="32"/>
          <w:szCs w:val="32"/>
          <w:highlight w:val="none"/>
          <w:lang w:val="en-US" w:eastAsia="zh-CN"/>
        </w:rPr>
        <w:t>.</w:t>
      </w:r>
      <w:r>
        <w:rPr>
          <w:rFonts w:hint="default" w:ascii="Times New Roman" w:hAnsi="Times New Roman" w:eastAsia="黑体" w:cs="Times New Roman"/>
          <w:sz w:val="32"/>
          <w:szCs w:val="32"/>
          <w:highlight w:val="none"/>
        </w:rPr>
        <w:t>有关建议</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val="en-US" w:eastAsia="zh-CN"/>
        </w:rPr>
        <w:t>进一步加强</w:t>
      </w:r>
      <w:r>
        <w:rPr>
          <w:rFonts w:hint="default" w:ascii="Times New Roman" w:hAnsi="Times New Roman" w:eastAsia="仿宋_GB2312" w:cs="Times New Roman"/>
          <w:color w:val="auto"/>
          <w:sz w:val="32"/>
          <w:szCs w:val="32"/>
          <w:highlight w:val="none"/>
          <w:lang w:val="en-US" w:eastAsia="zh-CN"/>
        </w:rPr>
        <w:t>绩效管理工作方面的培训。积极组织第三方开展绩效管理工作培训，进一步夯实业务基础，提高我单位绩效人员水平</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扎实做好绩效管理工作。</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.进一步规范项目建设的程序。做好项目前期</w:t>
      </w:r>
      <w:r>
        <w:rPr>
          <w:rFonts w:hint="eastAsia" w:eastAsia="仿宋_GB2312" w:cs="Times New Roman"/>
          <w:color w:val="auto"/>
          <w:sz w:val="32"/>
          <w:szCs w:val="32"/>
          <w:highlight w:val="none"/>
          <w:lang w:val="en-US" w:eastAsia="zh-CN"/>
        </w:rPr>
        <w:t>立项调研</w:t>
      </w:r>
      <w:r>
        <w:rPr>
          <w:rFonts w:hint="default" w:ascii="Times New Roman" w:hAnsi="Times New Roman" w:eastAsia="仿宋_GB2312" w:cs="Times New Roman"/>
          <w:color w:val="auto"/>
          <w:sz w:val="32"/>
          <w:szCs w:val="32"/>
          <w:highlight w:val="none"/>
          <w:lang w:val="en-US" w:eastAsia="zh-CN"/>
        </w:rPr>
        <w:t>，更加细化实施方案，严格执行资金管理办法和财政资金管理制度，严格按照项目实施方案、招投标管理办法等稳步推进工作。</w:t>
      </w:r>
    </w:p>
    <w:p>
      <w:pPr>
        <w:shd w:val="clear"/>
        <w:spacing w:line="600" w:lineRule="exact"/>
        <w:ind w:firstLine="640" w:firstLineChars="200"/>
        <w:outlineLvl w:val="0"/>
        <w:rPr>
          <w:rFonts w:hint="default" w:ascii="Times New Roman" w:hAnsi="Times New Roman" w:cs="Times New Roman"/>
          <w:color w:val="auto"/>
          <w:sz w:val="22"/>
          <w:szCs w:val="28"/>
          <w:highlight w:val="none"/>
        </w:rPr>
      </w:pP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color w:val="auto"/>
          <w:sz w:val="36"/>
          <w:szCs w:val="32"/>
          <w:highlight w:val="none"/>
        </w:rPr>
        <w:t>。</w:t>
      </w:r>
    </w:p>
    <w:p>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八</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pPr>
        <w:pStyle w:val="13"/>
        <w:spacing w:after="0" w:line="560" w:lineRule="exact"/>
        <w:ind w:left="0" w:leftChars="0" w:firstLine="640"/>
        <w:rPr>
          <w:rFonts w:hint="default" w:ascii="Times New Roman" w:hAnsi="Times New Roman" w:eastAsia="仿宋_GB2312" w:cs="Times New Roman"/>
          <w:sz w:val="32"/>
          <w:szCs w:val="32"/>
          <w:highlight w:val="none"/>
          <w:lang w:eastAsia="zh-Hans"/>
        </w:rPr>
      </w:pPr>
      <w:r>
        <w:rPr>
          <w:rFonts w:hint="default" w:ascii="Times New Roman" w:hAnsi="Times New Roman" w:eastAsia="仿宋_GB2312" w:cs="Times New Roman"/>
          <w:sz w:val="32"/>
          <w:szCs w:val="32"/>
          <w:highlight w:val="none"/>
          <w:lang w:eastAsia="zh-Hans"/>
        </w:rPr>
        <w:t>本项目无其他需说明的问题。</w:t>
      </w:r>
    </w:p>
    <w:p>
      <w:pPr>
        <w:pStyle w:val="13"/>
        <w:spacing w:after="0" w:line="560" w:lineRule="exact"/>
        <w:ind w:left="0" w:leftChars="0" w:firstLine="640"/>
        <w:rPr>
          <w:rFonts w:hint="eastAsia" w:ascii="Times New Roman" w:hAnsi="Times New Roman" w:eastAsia="仿宋_GB2312" w:cs="Times New Roman"/>
          <w:sz w:val="32"/>
          <w:szCs w:val="32"/>
          <w:highlight w:val="none"/>
          <w:lang w:eastAsia="zh-CN"/>
        </w:rPr>
      </w:pPr>
    </w:p>
    <w:p>
      <w:pPr>
        <w:pStyle w:val="13"/>
        <w:spacing w:after="0" w:line="560" w:lineRule="exact"/>
        <w:ind w:left="0" w:leftChars="0" w:firstLine="640"/>
        <w:rPr>
          <w:rFonts w:hint="eastAsia" w:ascii="Times New Roman" w:hAnsi="Times New Roman" w:eastAsia="仿宋_GB2312" w:cs="Times New Roman"/>
          <w:sz w:val="32"/>
          <w:szCs w:val="32"/>
          <w:highlight w:val="none"/>
          <w:lang w:eastAsia="zh-CN"/>
        </w:rPr>
      </w:pPr>
    </w:p>
    <w:p>
      <w:pPr>
        <w:pStyle w:val="13"/>
        <w:spacing w:after="0" w:line="560" w:lineRule="exact"/>
        <w:ind w:left="0" w:leftChars="0" w:firstLine="640"/>
        <w:rPr>
          <w:rFonts w:hint="eastAsia" w:ascii="Times New Roman" w:hAnsi="Times New Roman" w:eastAsia="仿宋_GB2312" w:cs="Times New Roman"/>
          <w:sz w:val="32"/>
          <w:szCs w:val="32"/>
          <w:highlight w:val="none"/>
          <w:lang w:eastAsia="zh-CN"/>
        </w:rPr>
      </w:pPr>
    </w:p>
    <w:p>
      <w:pPr>
        <w:pStyle w:val="13"/>
        <w:spacing w:after="0" w:line="560" w:lineRule="exact"/>
        <w:ind w:left="0" w:leftChars="0" w:firstLine="642" w:firstLineChars="200"/>
        <w:rPr>
          <w:rFonts w:hint="eastAsia" w:ascii="Times New Roman" w:hAnsi="Times New Roman" w:eastAsia="仿宋_GB2312" w:cs="Times New Roman"/>
          <w:b/>
          <w:bCs/>
          <w:color w:val="FF0000"/>
          <w:sz w:val="32"/>
          <w:szCs w:val="32"/>
          <w:highlight w:val="none"/>
          <w:lang w:eastAsia="zh-CN"/>
        </w:rPr>
      </w:pPr>
    </w:p>
    <w:p>
      <w:pPr>
        <w:pStyle w:val="13"/>
        <w:spacing w:after="0" w:line="560" w:lineRule="exact"/>
        <w:ind w:left="0" w:leftChars="0" w:firstLine="0" w:firstLineChars="0"/>
        <w:rPr>
          <w:rFonts w:hint="default" w:ascii="Times New Roman" w:hAnsi="Times New Roman" w:eastAsia="仿宋_GB2312" w:cs="Times New Roman"/>
          <w:sz w:val="32"/>
          <w:szCs w:val="32"/>
          <w:highlight w:val="none"/>
        </w:rPr>
      </w:pPr>
    </w:p>
    <w:p>
      <w:pPr>
        <w:spacing w:line="600" w:lineRule="exact"/>
        <w:rPr>
          <w:rFonts w:hint="eastAsia" w:ascii="Times New Roman" w:hAnsi="Times New Roman" w:eastAsia="黑体" w:cs="Times New Roman"/>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1</w:t>
      </w:r>
    </w:p>
    <w:p>
      <w:pPr>
        <w:pStyle w:val="19"/>
        <w:ind w:firstLine="562"/>
        <w:jc w:val="center"/>
        <w:rPr>
          <w:rFonts w:hint="eastAsia" w:ascii="仿宋_GB2312" w:hAnsi="仿宋_GB2312" w:eastAsia="仿宋_GB2312" w:cs="仿宋_GB2312"/>
          <w:sz w:val="28"/>
          <w:szCs w:val="40"/>
          <w:highlight w:val="none"/>
        </w:rPr>
      </w:pPr>
      <w:bookmarkStart w:id="1" w:name="_Toc30064_WPSOffice_Level1"/>
      <w:bookmarkStart w:id="2" w:name="_Toc26499_WPSOffice_Level2"/>
      <w:r>
        <w:rPr>
          <w:rFonts w:hint="eastAsia" w:ascii="仿宋_GB2312" w:hAnsi="仿宋_GB2312" w:eastAsia="仿宋_GB2312" w:cs="仿宋_GB2312"/>
          <w:b/>
          <w:bCs/>
          <w:sz w:val="28"/>
          <w:szCs w:val="40"/>
          <w:highlight w:val="none"/>
        </w:rPr>
        <w:t>无线电</w:t>
      </w:r>
      <w:r>
        <w:rPr>
          <w:rFonts w:hint="eastAsia" w:ascii="仿宋_GB2312" w:hAnsi="仿宋_GB2312" w:eastAsia="仿宋_GB2312" w:cs="仿宋_GB2312"/>
          <w:b/>
          <w:bCs/>
          <w:sz w:val="28"/>
          <w:szCs w:val="40"/>
          <w:highlight w:val="none"/>
          <w:lang w:val="en-US" w:eastAsia="zh-CN"/>
        </w:rPr>
        <w:t>法治科普教育实践基地设计实施</w:t>
      </w:r>
      <w:r>
        <w:rPr>
          <w:rFonts w:hint="eastAsia" w:ascii="仿宋_GB2312" w:hAnsi="仿宋_GB2312" w:eastAsia="仿宋_GB2312" w:cs="仿宋_GB2312"/>
          <w:b/>
          <w:bCs/>
          <w:sz w:val="28"/>
          <w:szCs w:val="40"/>
          <w:highlight w:val="none"/>
        </w:rPr>
        <w:t>项目绩效评价指标体系及综合评分表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4"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72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521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pPr>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b/>
          <w:bCs/>
          <w:i w:val="0"/>
          <w:iCs w:val="0"/>
          <w:color w:val="000000"/>
          <w:kern w:val="0"/>
          <w:sz w:val="32"/>
          <w:szCs w:val="32"/>
          <w:highlight w:val="none"/>
          <w:u w:val="none"/>
          <w:lang w:val="en-US" w:eastAsia="zh-CN" w:bidi="ar"/>
        </w:rPr>
      </w:pPr>
      <w:r>
        <w:rPr>
          <w:rFonts w:hint="eastAsia" w:ascii="黑体" w:hAnsi="黑体" w:eastAsia="黑体" w:cs="黑体"/>
          <w:b/>
          <w:bCs/>
          <w:i w:val="0"/>
          <w:iCs w:val="0"/>
          <w:color w:val="000000"/>
          <w:kern w:val="0"/>
          <w:sz w:val="32"/>
          <w:szCs w:val="32"/>
          <w:highlight w:val="none"/>
          <w:u w:val="none"/>
          <w:lang w:val="en-US" w:eastAsia="zh-CN" w:bidi="ar"/>
        </w:rPr>
        <w:t>附件2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highlight w:val="none"/>
          <w:u w:val="none"/>
          <w:lang w:val="en-US" w:eastAsia="zh-CN" w:bidi="ar"/>
        </w:rPr>
      </w:pPr>
      <w:r>
        <w:rPr>
          <w:rFonts w:hint="eastAsia" w:ascii="仿宋_GB2312" w:hAnsi="仿宋_GB2312" w:eastAsia="仿宋_GB2312" w:cs="仿宋_GB2312"/>
          <w:b/>
          <w:bCs/>
          <w:i w:val="0"/>
          <w:iCs w:val="0"/>
          <w:color w:val="000000"/>
          <w:kern w:val="0"/>
          <w:sz w:val="28"/>
          <w:szCs w:val="28"/>
          <w:highlight w:val="none"/>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highlight w:val="none"/>
          <w:u w:val="none"/>
          <w:lang w:val="en-US" w:eastAsia="zh-CN" w:bidi="ar"/>
        </w:rPr>
      </w:pPr>
      <w:r>
        <w:rPr>
          <w:rFonts w:hint="default" w:ascii="Times New Roman" w:hAnsi="Times New Roman" w:eastAsia="仿宋_GB2312" w:cs="Times New Roman"/>
          <w:b/>
          <w:bCs/>
          <w:i w:val="0"/>
          <w:iCs w:val="0"/>
          <w:color w:val="000000"/>
          <w:kern w:val="0"/>
          <w:sz w:val="22"/>
          <w:szCs w:val="22"/>
          <w:highlight w:val="none"/>
          <w:u w:val="none"/>
          <w:lang w:val="en-US" w:eastAsia="zh-CN" w:bidi="ar"/>
        </w:rPr>
        <w:t>（ 2024年度）</w:t>
      </w:r>
    </w:p>
    <w:tbl>
      <w:tblPr>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589"/>
        <w:gridCol w:w="589"/>
        <w:gridCol w:w="590"/>
        <w:gridCol w:w="1326"/>
        <w:gridCol w:w="941"/>
        <w:gridCol w:w="941"/>
        <w:gridCol w:w="944"/>
        <w:gridCol w:w="941"/>
        <w:gridCol w:w="941"/>
        <w:gridCol w:w="941"/>
        <w:gridCol w:w="941"/>
        <w:gridCol w:w="1131"/>
        <w:gridCol w:w="1006"/>
        <w:gridCol w:w="23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bookmarkStart w:id="3" w:name="_GoBack"/>
            <w:r>
              <w:rPr>
                <w:rFonts w:hint="eastAsia" w:ascii="宋体" w:hAnsi="宋体" w:eastAsia="宋体" w:cs="宋体"/>
                <w:b/>
                <w:i w:val="0"/>
                <w:color w:val="000000"/>
                <w:kern w:val="0"/>
                <w:sz w:val="18"/>
                <w:szCs w:val="18"/>
                <w:u w:val="none"/>
                <w:bdr w:val="none" w:color="auto" w:sz="0" w:space="0"/>
                <w:lang w:val="en-US" w:eastAsia="zh-CN"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昌吉州无线电管理局无线电法治科普教育实践基地设计实施项目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新疆维吾尔自治区工业和信息化厅</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实施单位</w:t>
            </w:r>
          </w:p>
        </w:tc>
        <w:tc>
          <w:tcPr>
            <w:tcW w:w="2245"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昌吉回族自治州无线电管理局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项目资金</w:t>
            </w:r>
            <w:r>
              <w:rPr>
                <w:rFonts w:hint="eastAsia" w:ascii="宋体" w:hAnsi="宋体" w:eastAsia="宋体" w:cs="宋体"/>
                <w:b/>
                <w:i w:val="0"/>
                <w:color w:val="000000"/>
                <w:kern w:val="0"/>
                <w:sz w:val="18"/>
                <w:szCs w:val="18"/>
                <w:u w:val="none"/>
                <w:bdr w:val="none" w:color="auto" w:sz="0" w:space="0"/>
                <w:lang w:val="en-US" w:eastAsia="zh-CN" w:bidi="ar"/>
              </w:rPr>
              <w:br w:type="textWrapping"/>
            </w:r>
            <w:r>
              <w:rPr>
                <w:rFonts w:hint="eastAsia" w:ascii="宋体" w:hAnsi="宋体" w:eastAsia="宋体" w:cs="宋体"/>
                <w:b/>
                <w:i w:val="0"/>
                <w:color w:val="000000"/>
                <w:kern w:val="0"/>
                <w:sz w:val="18"/>
                <w:szCs w:val="18"/>
                <w:u w:val="none"/>
                <w:bdr w:val="none" w:color="auto" w:sz="0" w:space="0"/>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执行率</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4.80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4.80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4.80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100.00%</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4.80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4.80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4.80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预期目标</w:t>
            </w:r>
          </w:p>
        </w:tc>
        <w:tc>
          <w:tcPr>
            <w:tcW w:w="2910" w:type="pct"/>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1881"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盘活并利用昌吉州无线电管理局现有业务楼一层200多平米闲置资源，对闲置办公资源进行整体设计并制作宣传版面、背景墙、部署展柜等。贯彻落实自治区“八五普法”规划和“谁执法谁普法”的总要求，履行无线电行政执法普法主体责任，对广大市民群众和违反无线电管理规定、法治意识不强的群众进行警示教育和普法宣传，为“以案释法”“以案普法”的实施打造阵地，填补昌吉州无线电管理法治科普教育实践阵地的空白。</w:t>
            </w:r>
          </w:p>
        </w:tc>
        <w:tc>
          <w:tcPr>
            <w:tcW w:w="2910" w:type="pct"/>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完成盘活并利用昌吉州无线电管理局现有业务楼一层200多平米闲置资源，对闲置办公资源进行整体设计并制作宣传版面、背景墙、部署展柜等。贯彻落实自治区“八五普法”规划和“谁执法谁普法”的总要求，达到履行无线电行政执法普法主体责任，对广大市民群众和违反无线电管理规定、法治意识不强的群众进行警示教育和普法宣传，为“以案释法”“以案普法”的实施打造阵地，填补昌吉州无线电管理法治科普教育实践阵地的空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佐证资料</w:t>
            </w:r>
          </w:p>
        </w:tc>
        <w:tc>
          <w:tcPr>
            <w:tcW w:w="826"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82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背景墙设计制作</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&gt;=2个</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=2个</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灯箱制作</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&gt;=5个</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=5个</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展柜</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&gt;=10个</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=10个</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项目服务质量</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&gt;=98%</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=98%</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项目计划完工时间</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=2024年12月前</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=2024年12月前</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灯箱采购成本费用</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&lt;=0.60万元</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=6万元</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展柜采购成本费用</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&lt;=2.25万元</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=2.25万元</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背景墙采购费用</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&lt;=0.60万元</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=0.6万元</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水晶字采购成本费用</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&lt;=0.35万元</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=0.35万元</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宣传板采购成本费用</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&lt;=1万元</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=1万元</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生态环境成本指标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提升无线电违法违规人员法治观念意识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长期有效</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 xml:space="preserve"> 长期有效</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按评判等级赋分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生态效益指标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92" w:type="pct"/>
            <w:gridSpan w:val="4"/>
            <w:tcBorders>
              <w:top w:val="single" w:color="000000" w:sz="4" w:space="0"/>
              <w:left w:val="single" w:color="000000" w:sz="4" w:space="0"/>
              <w:bottom w:val="single" w:color="000000" w:sz="4" w:space="0"/>
              <w:right w:val="nil"/>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nil"/>
              <w:bottom w:val="single" w:color="000000" w:sz="4" w:space="0"/>
              <w:right w:val="single" w:color="000000" w:sz="4" w:space="0"/>
            </w:tcBorders>
            <w:shd w:val="clear"/>
            <w:vAlign w:val="center"/>
          </w:tcPr>
          <w:p>
            <w:pPr>
              <w:rPr>
                <w:rFonts w:hint="eastAsia" w:ascii="宋体" w:hAnsi="宋体" w:eastAsia="宋体" w:cs="宋体"/>
                <w:b/>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100.00分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r>
      <w:bookmarkEnd w:id="3"/>
    </w:tbl>
    <w:p>
      <w:pPr>
        <w:rPr>
          <w:rFonts w:hint="default" w:ascii="Times New Roman" w:hAnsi="Times New Roman" w:cs="Times New Roman"/>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swiss"/>
    <w:pitch w:val="default"/>
    <w:sig w:usb0="00000000" w:usb1="00000000" w:usb2="00000000" w:usb3="00000000" w:csb0="2000019F" w:csb1="00000000"/>
  </w:font>
  <w:font w:name="仿宋_GB2312">
    <w:altName w:val="方正仿宋_GBK"/>
    <w:panose1 w:val="02010609030101010101"/>
    <w:charset w:val="86"/>
    <w:family w:val="modern"/>
    <w:pitch w:val="default"/>
    <w:sig w:usb0="00000000" w:usb1="00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楷体_GB2312">
    <w:altName w:val="方正楷体_GBK"/>
    <w:panose1 w:val="02010609030101010101"/>
    <w:charset w:val="86"/>
    <w:family w:val="auto"/>
    <w:pitch w:val="default"/>
    <w:sig w:usb0="00000000" w:usb1="00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Liberation Serif">
    <w:panose1 w:val="02020603050405020304"/>
    <w:charset w:val="00"/>
    <w:family w:val="auto"/>
    <w:pitch w:val="default"/>
    <w:sig w:usb0="A00002AF" w:usb1="500078FB" w:usb2="00000000" w:usb3="00000000" w:csb0="6000009F" w:csb1="DFD70000"/>
  </w:font>
  <w:font w:name="方正楷体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8A7DAAA"/>
    <w:multiLevelType w:val="singleLevel"/>
    <w:tmpl w:val="68A7DAAA"/>
    <w:lvl w:ilvl="0" w:tentative="0">
      <w:start w:val="2"/>
      <w:numFmt w:val="decimal"/>
      <w:lvlText w:val="%1."/>
      <w:lvlJc w:val="left"/>
      <w:pPr>
        <w:tabs>
          <w:tab w:val="left" w:pos="312"/>
        </w:tabs>
      </w:p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240E8E"/>
    <w:rsid w:val="006F7242"/>
    <w:rsid w:val="007B168A"/>
    <w:rsid w:val="008B2CFE"/>
    <w:rsid w:val="00F26FF6"/>
    <w:rsid w:val="01610122"/>
    <w:rsid w:val="02510197"/>
    <w:rsid w:val="03B00323"/>
    <w:rsid w:val="03EC461B"/>
    <w:rsid w:val="04C80E5B"/>
    <w:rsid w:val="07397B77"/>
    <w:rsid w:val="09137528"/>
    <w:rsid w:val="0A612370"/>
    <w:rsid w:val="0AD007F3"/>
    <w:rsid w:val="0BC90FF6"/>
    <w:rsid w:val="0E3C619F"/>
    <w:rsid w:val="10AD73A4"/>
    <w:rsid w:val="11170296"/>
    <w:rsid w:val="126B73D0"/>
    <w:rsid w:val="13471461"/>
    <w:rsid w:val="13B90F01"/>
    <w:rsid w:val="155E4C4D"/>
    <w:rsid w:val="15D12D73"/>
    <w:rsid w:val="17462648"/>
    <w:rsid w:val="181066D2"/>
    <w:rsid w:val="1B765D44"/>
    <w:rsid w:val="1C635604"/>
    <w:rsid w:val="1C671E73"/>
    <w:rsid w:val="1D1125A5"/>
    <w:rsid w:val="1D322C47"/>
    <w:rsid w:val="233F2FA6"/>
    <w:rsid w:val="23616034"/>
    <w:rsid w:val="23D4607E"/>
    <w:rsid w:val="24480FA2"/>
    <w:rsid w:val="25075A1F"/>
    <w:rsid w:val="25227A45"/>
    <w:rsid w:val="26AC3A6A"/>
    <w:rsid w:val="26B009D9"/>
    <w:rsid w:val="281178FD"/>
    <w:rsid w:val="286A5FC2"/>
    <w:rsid w:val="2B9D7E25"/>
    <w:rsid w:val="2C7C7A3B"/>
    <w:rsid w:val="2DD145CB"/>
    <w:rsid w:val="2EFC0D68"/>
    <w:rsid w:val="2F364819"/>
    <w:rsid w:val="2FD63906"/>
    <w:rsid w:val="354A3A42"/>
    <w:rsid w:val="369B0EBF"/>
    <w:rsid w:val="37215DAE"/>
    <w:rsid w:val="38017F07"/>
    <w:rsid w:val="38CA40DD"/>
    <w:rsid w:val="394C58C0"/>
    <w:rsid w:val="395F2B56"/>
    <w:rsid w:val="3B6114AE"/>
    <w:rsid w:val="3BBA0580"/>
    <w:rsid w:val="3BECE841"/>
    <w:rsid w:val="3C5C0BEE"/>
    <w:rsid w:val="3CCF38A2"/>
    <w:rsid w:val="3CDE204C"/>
    <w:rsid w:val="3D363C36"/>
    <w:rsid w:val="3D67059C"/>
    <w:rsid w:val="3D7B6722"/>
    <w:rsid w:val="3DB75F56"/>
    <w:rsid w:val="3E9C3F6D"/>
    <w:rsid w:val="3FF7797D"/>
    <w:rsid w:val="4154312A"/>
    <w:rsid w:val="46690BD8"/>
    <w:rsid w:val="49F70BF1"/>
    <w:rsid w:val="4B4340EE"/>
    <w:rsid w:val="4BF06537"/>
    <w:rsid w:val="503D507A"/>
    <w:rsid w:val="51FA74D0"/>
    <w:rsid w:val="52AA4A52"/>
    <w:rsid w:val="52E30BBB"/>
    <w:rsid w:val="556F65E4"/>
    <w:rsid w:val="557E8F09"/>
    <w:rsid w:val="59943D66"/>
    <w:rsid w:val="59E051FD"/>
    <w:rsid w:val="59E6355E"/>
    <w:rsid w:val="5B821531"/>
    <w:rsid w:val="5B9366B2"/>
    <w:rsid w:val="5BB96123"/>
    <w:rsid w:val="5BFF6039"/>
    <w:rsid w:val="5CFA0708"/>
    <w:rsid w:val="5D76A616"/>
    <w:rsid w:val="5D7F20B9"/>
    <w:rsid w:val="5DAC7D0E"/>
    <w:rsid w:val="5F98B5AF"/>
    <w:rsid w:val="5FFE8511"/>
    <w:rsid w:val="5FFEACE2"/>
    <w:rsid w:val="609D5BF6"/>
    <w:rsid w:val="61073070"/>
    <w:rsid w:val="61B9080E"/>
    <w:rsid w:val="61DF3FED"/>
    <w:rsid w:val="642B176B"/>
    <w:rsid w:val="643EE26D"/>
    <w:rsid w:val="64A96520"/>
    <w:rsid w:val="656019A0"/>
    <w:rsid w:val="65F242EE"/>
    <w:rsid w:val="666D7E19"/>
    <w:rsid w:val="68376930"/>
    <w:rsid w:val="68EC7E2F"/>
    <w:rsid w:val="68F91E38"/>
    <w:rsid w:val="69086BFE"/>
    <w:rsid w:val="69767E03"/>
    <w:rsid w:val="699B67E3"/>
    <w:rsid w:val="6B3158B9"/>
    <w:rsid w:val="6BA02A3F"/>
    <w:rsid w:val="6BE65320"/>
    <w:rsid w:val="6C1E5A53"/>
    <w:rsid w:val="6DD20F3C"/>
    <w:rsid w:val="6F5C41AC"/>
    <w:rsid w:val="6FAF6C78"/>
    <w:rsid w:val="716167CC"/>
    <w:rsid w:val="718A7AD1"/>
    <w:rsid w:val="72A44BC2"/>
    <w:rsid w:val="72C36D7A"/>
    <w:rsid w:val="7317C656"/>
    <w:rsid w:val="734ED73F"/>
    <w:rsid w:val="73B542BC"/>
    <w:rsid w:val="73C82B32"/>
    <w:rsid w:val="73D60FE8"/>
    <w:rsid w:val="73F94DAE"/>
    <w:rsid w:val="74220495"/>
    <w:rsid w:val="747D1B6F"/>
    <w:rsid w:val="749E5641"/>
    <w:rsid w:val="76271066"/>
    <w:rsid w:val="776FF713"/>
    <w:rsid w:val="77FD8BE9"/>
    <w:rsid w:val="78000AED"/>
    <w:rsid w:val="79A9BD3F"/>
    <w:rsid w:val="7B776F12"/>
    <w:rsid w:val="7BFFFDD0"/>
    <w:rsid w:val="7C336E5F"/>
    <w:rsid w:val="7C8D4919"/>
    <w:rsid w:val="7D517AB2"/>
    <w:rsid w:val="7D7A5F86"/>
    <w:rsid w:val="7E4B683A"/>
    <w:rsid w:val="7E5E656D"/>
    <w:rsid w:val="7E8F2BCB"/>
    <w:rsid w:val="7E9A2C18"/>
    <w:rsid w:val="7F37BB4E"/>
    <w:rsid w:val="7FDACE01"/>
    <w:rsid w:val="7FEF918E"/>
    <w:rsid w:val="7FF4FB6F"/>
    <w:rsid w:val="7FF7FF27"/>
    <w:rsid w:val="7FFDF714"/>
    <w:rsid w:val="AF3FCD8C"/>
    <w:rsid w:val="B9FA2A43"/>
    <w:rsid w:val="BF7BA1E4"/>
    <w:rsid w:val="BFDF04FA"/>
    <w:rsid w:val="BFE227EF"/>
    <w:rsid w:val="CF2A1ABD"/>
    <w:rsid w:val="DA7D3CD9"/>
    <w:rsid w:val="DBDC0ADA"/>
    <w:rsid w:val="DEDE2B06"/>
    <w:rsid w:val="E7773746"/>
    <w:rsid w:val="EBFA31C2"/>
    <w:rsid w:val="EEF65307"/>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annotation text"/>
    <w:basedOn w:val="1"/>
    <w:link w:val="22"/>
    <w:qFormat/>
    <w:uiPriority w:val="0"/>
    <w:pPr>
      <w:jc w:val="left"/>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4"/>
    <w:next w:val="4"/>
    <w:link w:val="23"/>
    <w:qFormat/>
    <w:uiPriority w:val="0"/>
    <w:rPr>
      <w:b/>
      <w:bCs/>
    </w:rPr>
  </w:style>
  <w:style w:type="paragraph" w:styleId="12">
    <w:name w:val="Body Text First Indent"/>
    <w:basedOn w:val="2"/>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 w:type="paragraph" w:customStyle="1" w:styleId="24">
    <w:name w:val="List Paragraph"/>
    <w:basedOn w:val="1"/>
    <w:qFormat/>
    <w:uiPriority w:val="0"/>
    <w:pPr>
      <w:ind w:firstLine="420" w:firstLineChars="200"/>
    </w:pPr>
  </w:style>
  <w:style w:type="character" w:customStyle="1" w:styleId="25">
    <w:name w:val="font11"/>
    <w:basedOn w:val="15"/>
    <w:qFormat/>
    <w:uiPriority w:val="0"/>
    <w:rPr>
      <w:rFonts w:hint="default" w:ascii="Calibri" w:hAnsi="Calibri" w:cs="Calibri"/>
      <w:color w:val="000000"/>
      <w:sz w:val="20"/>
      <w:szCs w:val="20"/>
      <w:u w:val="none"/>
    </w:rPr>
  </w:style>
  <w:style w:type="character" w:customStyle="1" w:styleId="26">
    <w:name w:val="font01"/>
    <w:basedOn w:val="15"/>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84</Words>
  <Characters>104</Characters>
  <Lines>58</Lines>
  <Paragraphs>16</Paragraphs>
  <TotalTime>9</TotalTime>
  <ScaleCrop>false</ScaleCrop>
  <LinksUpToDate>false</LinksUpToDate>
  <CharactersWithSpaces>104</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2023-03-09T21:13:00Z</dcterms:created>
  <dc:creator>审核人</dc:creator>
  <cp:lastModifiedBy>fusiyao</cp:lastModifiedBy>
  <dcterms:modified xsi:type="dcterms:W3CDTF">2025-08-27T16:57:00Z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EC99773F21B349659AE205148812517A_13</vt:lpwstr>
  </property>
  <property fmtid="{D5CDD505-2E9C-101B-9397-08002B2CF9AE}" pid="4" name="KSOTemplateDocerSaveRecord">
    <vt:lpwstr>eyJoZGlkIjoiY2UxYTY5Njg0NWU1NDU5MmE3NzhjZDNiMDAyZDZjNWUiLCJ1c2VySWQiOiIxMTEwNzY4OCJ9</vt:lpwstr>
  </property>
</Properties>
</file>