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3DF14">
      <w:pPr>
        <w:widowControl/>
        <w:spacing w:before="0" w:beforeLines="0" w:beforeAutospacing="0" w:after="0" w:afterLines="0" w:afterAutospacing="0" w:line="240" w:lineRule="auto"/>
        <w:jc w:val="left"/>
        <w:rPr>
          <w:rFonts w:ascii="宋体" w:eastAsia="宋体"/>
          <w:sz w:val="32"/>
          <w:szCs w:val="32"/>
        </w:rPr>
      </w:pPr>
    </w:p>
    <w:p w14:paraId="7D9FA50B">
      <w:pPr>
        <w:widowControl/>
        <w:spacing w:before="0" w:beforeLines="0" w:beforeAutospacing="0" w:after="0" w:afterLines="0" w:afterAutospacing="0" w:line="240" w:lineRule="auto"/>
        <w:jc w:val="left"/>
        <w:rPr>
          <w:rFonts w:ascii="宋体" w:eastAsia="宋体"/>
          <w:sz w:val="44"/>
          <w:szCs w:val="44"/>
        </w:rPr>
      </w:pPr>
    </w:p>
    <w:p w14:paraId="422A973D">
      <w:pPr>
        <w:widowControl/>
        <w:spacing w:before="0" w:beforeLines="0" w:beforeAutospacing="0" w:after="0" w:afterLines="0" w:afterAutospacing="0" w:line="240" w:lineRule="auto"/>
        <w:jc w:val="left"/>
        <w:rPr>
          <w:rFonts w:ascii="宋体" w:eastAsia="宋体"/>
          <w:sz w:val="44"/>
          <w:szCs w:val="44"/>
        </w:rPr>
      </w:pPr>
    </w:p>
    <w:p w14:paraId="2E618BF1">
      <w:pPr>
        <w:widowControl/>
        <w:spacing w:before="0" w:beforeLines="0" w:beforeAutospacing="0" w:after="0" w:afterLines="0" w:afterAutospacing="0" w:line="240" w:lineRule="auto"/>
        <w:jc w:val="left"/>
        <w:rPr>
          <w:rFonts w:ascii="宋体" w:eastAsia="宋体"/>
          <w:sz w:val="44"/>
          <w:szCs w:val="44"/>
        </w:rPr>
      </w:pPr>
    </w:p>
    <w:p w14:paraId="5697A181">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阿勒泰地区无线电管理中心</w:t>
      </w:r>
    </w:p>
    <w:p w14:paraId="7645ACFB">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14:paraId="057CDA7F">
      <w:pPr>
        <w:widowControl/>
      </w:pPr>
      <w:r>
        <w:rPr>
          <w:b w:val="0"/>
          <w:sz w:val="0"/>
          <w:szCs w:val="0"/>
        </w:rPr>
        <w:br w:type="page"/>
      </w:r>
    </w:p>
    <w:p w14:paraId="2039969F">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14:paraId="00E2486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sz w:val="32"/>
          <w:szCs w:val="32"/>
        </w:rPr>
        <w:t>第一部分单位概况</w:t>
      </w:r>
    </w:p>
    <w:p w14:paraId="05CE465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一、主要职能</w:t>
      </w:r>
    </w:p>
    <w:p w14:paraId="0F627EE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14:paraId="7FB8D289">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sz w:val="32"/>
          <w:szCs w:val="32"/>
        </w:rPr>
        <w:t>第二部分部门决算情况说明</w:t>
      </w:r>
    </w:p>
    <w:p w14:paraId="58F9C82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14:paraId="7C92779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14:paraId="528D9BB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14:paraId="36EB955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14:paraId="21E20A4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14:paraId="2AB32D4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14:paraId="4D7F3D0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14:paraId="019A83BE">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14:paraId="0B23D5C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14:paraId="16A07B8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14:paraId="2700D3B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1580BA6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14:paraId="6777E390">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14:paraId="766EDF8B">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14:paraId="7CD4E68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（二）政府采购情况</w:t>
      </w:r>
    </w:p>
    <w:p w14:paraId="1795083D">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14:paraId="19FA472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14:paraId="68A3EE5A">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14:paraId="39F21F1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sz w:val="32"/>
          <w:szCs w:val="32"/>
        </w:rPr>
        <w:t>第三部分专业名词解释</w:t>
      </w:r>
    </w:p>
    <w:p w14:paraId="1759F66F">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sz w:val="32"/>
          <w:szCs w:val="32"/>
        </w:rPr>
        <w:t>第四部分部门决算报表（见附表）</w:t>
      </w:r>
    </w:p>
    <w:p w14:paraId="3D0020B7">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14:paraId="772FDB4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二、《收入决算表》</w:t>
      </w:r>
    </w:p>
    <w:p w14:paraId="5155E3D1">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三、《支出决算表》</w:t>
      </w:r>
    </w:p>
    <w:p w14:paraId="184FC715">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14:paraId="6B6EA323">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14:paraId="4E943B6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14:paraId="11C3852C">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14:paraId="04BC6C22">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14:paraId="173C5548">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520" w:lineRule="exact"/>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14:paraId="54EB475D">
      <w:pPr>
        <w:widowControl/>
      </w:pPr>
      <w:r>
        <w:rPr>
          <w:b w:val="0"/>
          <w:sz w:val="0"/>
          <w:szCs w:val="0"/>
        </w:rPr>
        <w:br w:type="page"/>
      </w:r>
    </w:p>
    <w:p w14:paraId="2B72F508">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outlineLvl w:val="0"/>
        <w:rPr>
          <w:rFonts w:ascii="黑体" w:eastAsia="黑体"/>
          <w:sz w:val="32"/>
          <w:szCs w:val="32"/>
        </w:rPr>
      </w:pPr>
      <w:r>
        <w:rPr>
          <w:rFonts w:ascii="黑体" w:eastAsia="黑体"/>
          <w:b w:val="0"/>
          <w:sz w:val="32"/>
          <w:szCs w:val="32"/>
        </w:rPr>
        <w:t>第一部分单位概况</w:t>
      </w:r>
    </w:p>
    <w:p w14:paraId="1B95479A">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outlineLvl w:val="1"/>
        <w:rPr>
          <w:rFonts w:ascii="黑体" w:eastAsia="黑体"/>
          <w:sz w:val="32"/>
          <w:szCs w:val="32"/>
        </w:rPr>
      </w:pPr>
      <w:r>
        <w:rPr>
          <w:rFonts w:ascii="黑体" w:eastAsia="黑体"/>
          <w:b w:val="0"/>
          <w:sz w:val="32"/>
          <w:szCs w:val="32"/>
        </w:rPr>
        <w:t>一、主要职能</w:t>
      </w:r>
    </w:p>
    <w:p w14:paraId="090D96C4">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rPr>
          <w:rFonts w:ascii="仿宋_GB2312" w:eastAsia="仿宋_GB2312"/>
          <w:sz w:val="32"/>
          <w:szCs w:val="32"/>
        </w:rPr>
      </w:pPr>
      <w:r>
        <w:rPr>
          <w:rFonts w:hint="eastAsia" w:ascii="仿宋_GB2312" w:eastAsia="仿宋_GB2312"/>
          <w:color w:val="auto"/>
          <w:sz w:val="32"/>
          <w:szCs w:val="32"/>
          <w:highlight w:val="none"/>
          <w:lang w:val="en-US" w:eastAsia="zh-CN"/>
        </w:rPr>
        <w:t>根据《中华人民共和国无线电管理条例》《关于调整全区无线电管理机构编制事宜的批复》（新机编办〔2011〕39 号）、《关于印发&lt;新疆维吾尔自治区经济和信息化委员会（新疆维吾尔自治区国防科学技术工业办公室）所属事业单位分类改革方案&gt;的通知》（新事改办〔2014〕11号）</w:t>
      </w:r>
      <w:r>
        <w:rPr>
          <w:rFonts w:hint="eastAsia" w:ascii="仿宋_GB2312" w:hAnsi="仿宋" w:eastAsia="仿宋_GB2312" w:cs="宋体"/>
          <w:color w:val="000000" w:themeColor="text1"/>
          <w:sz w:val="32"/>
          <w:szCs w:val="32"/>
          <w:highlight w:val="none"/>
          <w:lang w:val="en-US" w:eastAsia="zh-CN" w:bidi="ar"/>
          <w14:textFill>
            <w14:solidFill>
              <w14:schemeClr w14:val="tx1"/>
            </w14:solidFill>
          </w14:textFill>
        </w:rPr>
        <w:t>《自治区党委编委关于印发&lt;新疆维吾尔自治区工业和信息化厅所属事业单位改革方案&gt;的通知》（新党编委[2024]127号）</w:t>
      </w:r>
      <w:r>
        <w:rPr>
          <w:rFonts w:hint="eastAsia" w:ascii="仿宋_GB2312" w:eastAsia="仿宋_GB2312"/>
          <w:color w:val="auto"/>
          <w:sz w:val="32"/>
          <w:szCs w:val="32"/>
          <w:highlight w:val="none"/>
          <w:lang w:val="en-US" w:eastAsia="zh-CN"/>
        </w:rPr>
        <w:t xml:space="preserve">，新疆阿勒泰地区无线电管理中心是新疆维吾尔自治区工业和信息化厅派驻新疆阿勒泰地区负责无线电管理工作的公益一类事业单位，其主要职责任务是：负责本行政区域除军事系统外的无线电管理工作。贯彻落实国家和自治区无线电管理的法规、规章、政策；根据审批权限实施无线电频率使用许可，审查无线电台（站）的建设布局和台址，核发无线电台执照及无线电台识别码（含呼号）；负责本行政区域无线电监测和干扰查处；协调处理本行政区域无线电管理相关事宜。负责本行政区域无线电管理的行政执法检查，按照有关规定对无线电台(站)的设置、使用和无线电发射设备的研制、生产、进口、销售实施监督检查，征收无线电频率占用费，依法组织实施无线电管制。 </w:t>
      </w:r>
    </w:p>
    <w:p w14:paraId="7F74C640">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outlineLvl w:val="1"/>
        <w:rPr>
          <w:rFonts w:ascii="黑体" w:eastAsia="黑体"/>
          <w:sz w:val="32"/>
          <w:szCs w:val="32"/>
        </w:rPr>
      </w:pPr>
      <w:r>
        <w:rPr>
          <w:rFonts w:ascii="黑体" w:eastAsia="黑体"/>
          <w:b w:val="0"/>
          <w:sz w:val="32"/>
          <w:szCs w:val="32"/>
        </w:rPr>
        <w:t>二、机构设置及人员情况</w:t>
      </w:r>
    </w:p>
    <w:p w14:paraId="7E36D271">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阿勒泰地区无线电管理中心2024年度，实有人数7人，其中：在职人员6人，较上年无变化；离休人员0人，较上年无变化；退休人员1人，较上年无变化；</w:t>
      </w:r>
    </w:p>
    <w:p w14:paraId="71FC7C43">
      <w:pPr>
        <w:keepNext w:val="0"/>
        <w:keepLines w:val="0"/>
        <w:pageBreakBefore w:val="0"/>
        <w:widowControl/>
        <w:kinsoku/>
        <w:wordWrap/>
        <w:overflowPunct/>
        <w:topLinePunct w:val="0"/>
        <w:autoSpaceDE/>
        <w:autoSpaceDN/>
        <w:bidi w:val="0"/>
        <w:adjustRightInd/>
        <w:snapToGrid/>
        <w:spacing w:after="0" w:line="520" w:lineRule="exact"/>
        <w:ind w:firstLine="640" w:firstLineChars="200"/>
        <w:jc w:val="both"/>
        <w:textAlignment w:val="auto"/>
        <w:rPr>
          <w:rFonts w:hint="eastAsia" w:ascii="仿宋_GB2312" w:eastAsia="仿宋_GB2312"/>
          <w:color w:val="auto"/>
          <w:sz w:val="32"/>
          <w:szCs w:val="32"/>
          <w:highlight w:val="none"/>
        </w:rPr>
      </w:pPr>
      <w:r>
        <w:rPr>
          <w:rFonts w:ascii="仿宋_GB2312" w:eastAsia="仿宋_GB2312"/>
          <w:b w:val="0"/>
          <w:sz w:val="32"/>
          <w:szCs w:val="32"/>
        </w:rPr>
        <w:t>阿勒泰地区无线电管理中心无下属预算单位，下设</w:t>
      </w:r>
      <w:r>
        <w:rPr>
          <w:rFonts w:hint="eastAsia" w:ascii="仿宋_GB2312" w:eastAsia="仿宋_GB2312"/>
          <w:b w:val="0"/>
          <w:sz w:val="32"/>
          <w:szCs w:val="32"/>
          <w:lang w:val="en-US" w:eastAsia="zh-CN"/>
        </w:rPr>
        <w:t>3</w:t>
      </w:r>
      <w:r>
        <w:rPr>
          <w:rFonts w:ascii="仿宋_GB2312" w:eastAsia="仿宋_GB2312"/>
          <w:b w:val="0"/>
          <w:sz w:val="32"/>
          <w:szCs w:val="32"/>
        </w:rPr>
        <w:t>个</w:t>
      </w:r>
      <w:r>
        <w:rPr>
          <w:rFonts w:hint="eastAsia" w:ascii="仿宋_GB2312" w:eastAsia="仿宋_GB2312"/>
          <w:b w:val="0"/>
          <w:sz w:val="32"/>
          <w:szCs w:val="32"/>
          <w:lang w:eastAsia="zh-CN"/>
        </w:rPr>
        <w:t>科室</w:t>
      </w:r>
      <w:r>
        <w:rPr>
          <w:rFonts w:ascii="仿宋_GB2312" w:eastAsia="仿宋_GB2312"/>
          <w:b w:val="0"/>
          <w:sz w:val="32"/>
          <w:szCs w:val="32"/>
        </w:rPr>
        <w:t>，分别是：</w:t>
      </w:r>
      <w:r>
        <w:rPr>
          <w:rFonts w:hint="eastAsia" w:ascii="仿宋_GB2312" w:eastAsia="仿宋_GB2312"/>
          <w:color w:val="auto"/>
          <w:sz w:val="32"/>
          <w:szCs w:val="32"/>
          <w:highlight w:val="none"/>
        </w:rPr>
        <w:t>综合科、业务科、监测站。</w:t>
      </w:r>
    </w:p>
    <w:p w14:paraId="3D8CBCDB">
      <w:pPr>
        <w:keepNext w:val="0"/>
        <w:keepLines w:val="0"/>
        <w:pageBreakBefore w:val="0"/>
        <w:widowControl/>
        <w:kinsoku/>
        <w:wordWrap/>
        <w:overflowPunct/>
        <w:topLinePunct w:val="0"/>
        <w:autoSpaceDE/>
        <w:autoSpaceDN/>
        <w:bidi w:val="0"/>
        <w:adjustRightInd/>
        <w:snapToGrid/>
        <w:spacing w:after="0" w:line="520" w:lineRule="exact"/>
        <w:ind w:firstLine="640" w:firstLineChars="200"/>
        <w:jc w:val="both"/>
        <w:textAlignment w:val="auto"/>
        <w:rPr>
          <w:rFonts w:ascii="黑体" w:eastAsia="黑体"/>
          <w:sz w:val="32"/>
          <w:szCs w:val="32"/>
        </w:rPr>
      </w:pPr>
      <w:r>
        <w:rPr>
          <w:rFonts w:ascii="黑体" w:eastAsia="黑体"/>
          <w:b w:val="0"/>
          <w:sz w:val="32"/>
          <w:szCs w:val="32"/>
        </w:rPr>
        <w:t>第二部分部门决算情况说明</w:t>
      </w:r>
    </w:p>
    <w:p w14:paraId="5B6548CE">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outlineLvl w:val="1"/>
        <w:rPr>
          <w:rFonts w:ascii="黑体" w:eastAsia="黑体"/>
          <w:sz w:val="32"/>
          <w:szCs w:val="32"/>
        </w:rPr>
      </w:pPr>
      <w:r>
        <w:rPr>
          <w:rFonts w:ascii="黑体" w:eastAsia="黑体"/>
          <w:b w:val="0"/>
          <w:sz w:val="32"/>
          <w:szCs w:val="32"/>
        </w:rPr>
        <w:t>一、收入支出决算总体情况说明</w:t>
      </w:r>
    </w:p>
    <w:p w14:paraId="585AD7D9">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2024年度收入总计220.42万元，其中：本年收入合计220.33万元，使用非财政拨款结余（含专用结余）0.00万元，年初结转和结余0.10万元。</w:t>
      </w:r>
    </w:p>
    <w:p w14:paraId="0CFF9DA3">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2024年度支出总计220.42万元，其中：本年支出合计220.29万元，结余分配0.00万元，年末结转和结余0.13万元。</w:t>
      </w:r>
    </w:p>
    <w:p w14:paraId="2B563F77">
      <w:pPr>
        <w:keepNext w:val="0"/>
        <w:keepLines w:val="0"/>
        <w:pageBreakBefore w:val="0"/>
        <w:widowControl/>
        <w:kinsoku/>
        <w:wordWrap/>
        <w:overflowPunct/>
        <w:topLinePunct w:val="0"/>
        <w:autoSpaceDE/>
        <w:autoSpaceDN/>
        <w:bidi w:val="0"/>
        <w:adjustRightInd/>
        <w:snapToGrid/>
        <w:spacing w:line="520" w:lineRule="exact"/>
        <w:ind w:firstLine="643" w:firstLineChars="200"/>
        <w:jc w:val="both"/>
        <w:textAlignment w:val="auto"/>
        <w:outlineLvl w:val="1"/>
        <w:rPr>
          <w:rFonts w:hint="default" w:ascii="仿宋_GB2312" w:eastAsia="仿宋_GB2312"/>
          <w:sz w:val="32"/>
          <w:szCs w:val="32"/>
          <w:lang w:val="en-US"/>
        </w:rPr>
      </w:pPr>
      <w:r>
        <w:rPr>
          <w:rFonts w:hint="eastAsia" w:ascii="仿宋_GB2312" w:eastAsia="仿宋_GB2312"/>
          <w:b/>
          <w:bCs/>
          <w:color w:val="auto"/>
          <w:spacing w:val="0"/>
          <w:sz w:val="32"/>
          <w:szCs w:val="32"/>
          <w:highlight w:val="none"/>
          <w:lang w:val="en-US" w:eastAsia="zh-CN"/>
        </w:rPr>
        <w:t>收入支出总体与上年相比</w:t>
      </w:r>
      <w:r>
        <w:rPr>
          <w:rFonts w:ascii="仿宋_GB2312" w:eastAsia="仿宋_GB2312"/>
          <w:b w:val="0"/>
          <w:sz w:val="32"/>
          <w:szCs w:val="32"/>
        </w:rPr>
        <w:t>，增加32.18万元，增长17.10%，</w:t>
      </w:r>
      <w:r>
        <w:rPr>
          <w:rFonts w:ascii="仿宋_GB2312" w:eastAsia="仿宋_GB2312"/>
          <w:b w:val="0"/>
          <w:color w:val="auto"/>
          <w:sz w:val="32"/>
          <w:szCs w:val="32"/>
        </w:rPr>
        <w:t>主要原因是</w:t>
      </w:r>
      <w:r>
        <w:rPr>
          <w:rFonts w:ascii="仿宋_GB2312" w:eastAsia="仿宋_GB2312"/>
          <w:b w:val="0"/>
          <w:sz w:val="32"/>
          <w:szCs w:val="32"/>
        </w:rPr>
        <w:t>：</w:t>
      </w:r>
      <w:r>
        <w:rPr>
          <w:rFonts w:hint="eastAsia" w:ascii="仿宋_GB2312" w:eastAsia="仿宋_GB2312"/>
          <w:color w:val="auto"/>
          <w:spacing w:val="0"/>
          <w:sz w:val="32"/>
          <w:szCs w:val="32"/>
          <w:highlight w:val="none"/>
          <w:lang w:val="en-US" w:eastAsia="zh-CN"/>
        </w:rPr>
        <w:t>一是一般公共预算财政拨款基本支出收入较上年增加9.17万元，主要是在职人员调资，工资福利支出等相应增加。二是</w:t>
      </w:r>
      <w:r>
        <w:rPr>
          <w:rFonts w:hint="eastAsia" w:ascii="仿宋_GB2312" w:hAnsi="仿宋_GB2312" w:eastAsia="仿宋_GB2312" w:cs="仿宋_GB2312"/>
          <w:b w:val="0"/>
          <w:bCs w:val="0"/>
          <w:color w:val="auto"/>
          <w:spacing w:val="4"/>
          <w:sz w:val="32"/>
          <w:szCs w:val="32"/>
          <w:lang w:val="en-US" w:eastAsia="zh-CN"/>
        </w:rPr>
        <w:t>一般</w:t>
      </w:r>
      <w:r>
        <w:rPr>
          <w:rFonts w:hint="eastAsia" w:ascii="仿宋_GB2312" w:hAnsi="仿宋_GB2312" w:eastAsia="仿宋_GB2312" w:cs="仿宋_GB2312"/>
          <w:color w:val="auto"/>
          <w:spacing w:val="4"/>
          <w:sz w:val="32"/>
          <w:szCs w:val="32"/>
          <w:lang w:val="en-US" w:eastAsia="zh-CN"/>
        </w:rPr>
        <w:t>公共预算财政拨款项目支出较</w:t>
      </w:r>
      <w:r>
        <w:rPr>
          <w:rFonts w:hint="eastAsia" w:ascii="仿宋_GB2312" w:eastAsia="仿宋_GB2312"/>
          <w:color w:val="auto"/>
          <w:spacing w:val="0"/>
          <w:sz w:val="32"/>
          <w:szCs w:val="32"/>
          <w:highlight w:val="none"/>
          <w:lang w:val="en-US" w:eastAsia="zh-CN"/>
        </w:rPr>
        <w:t>上年增加16.40万元，主要是“中央无线电管理经费”项目中租赁费、物业费有所增加。三是其他收入较上年增加6.58万元，主要是增加事业单位固定资产出租赁收入6.58万元。四是年初结转结余增加0.04万元，主要是银行利息收入资金未纳入2024年部门预算，无预算不支出。</w:t>
      </w:r>
    </w:p>
    <w:p w14:paraId="0A9C4026">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outlineLvl w:val="1"/>
        <w:rPr>
          <w:rFonts w:ascii="黑体" w:eastAsia="黑体"/>
          <w:sz w:val="32"/>
          <w:szCs w:val="32"/>
        </w:rPr>
      </w:pPr>
      <w:r>
        <w:rPr>
          <w:rFonts w:ascii="黑体" w:eastAsia="黑体"/>
          <w:b w:val="0"/>
          <w:sz w:val="32"/>
          <w:szCs w:val="32"/>
        </w:rPr>
        <w:t>二、收入决算情况说明</w:t>
      </w:r>
    </w:p>
    <w:p w14:paraId="66ACDE04">
      <w:pPr>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本年收入220.33万元，其中：财政拨款收入213.71万元,占97.00%；上级补助收入0.00万元,占0.00%；事业收入0.00万元，占0.00%；经营收入0.00万元,占0.00%；附属单位上缴收入0.00万元，占0.00%；其他收入6.62万元，占3.00%。</w:t>
      </w:r>
    </w:p>
    <w:p w14:paraId="1BA92203">
      <w:pPr>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outlineLvl w:val="1"/>
        <w:rPr>
          <w:rFonts w:ascii="黑体" w:eastAsia="黑体"/>
          <w:sz w:val="32"/>
          <w:szCs w:val="32"/>
        </w:rPr>
      </w:pPr>
      <w:r>
        <w:rPr>
          <w:rFonts w:ascii="黑体" w:eastAsia="黑体"/>
          <w:b w:val="0"/>
          <w:sz w:val="32"/>
          <w:szCs w:val="32"/>
        </w:rPr>
        <w:t>三、支出决算情况说明</w:t>
      </w:r>
    </w:p>
    <w:p w14:paraId="2F3863EF">
      <w:pPr>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本年支出220.29万元，其中：基本支出135.63万元，占61.57%；项目支出84.66万元，占38.43%；上缴上级支出0.00万元，占0.00%；经营支出0.00万元，占0.00%；对附属单位补助支出0.00万元，占0.00%。</w:t>
      </w:r>
    </w:p>
    <w:p w14:paraId="1D1515F7">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outlineLvl w:val="1"/>
        <w:rPr>
          <w:rFonts w:ascii="黑体" w:eastAsia="黑体"/>
          <w:sz w:val="32"/>
          <w:szCs w:val="32"/>
        </w:rPr>
      </w:pPr>
      <w:r>
        <w:rPr>
          <w:rFonts w:ascii="黑体" w:eastAsia="黑体"/>
          <w:b w:val="0"/>
          <w:sz w:val="32"/>
          <w:szCs w:val="32"/>
        </w:rPr>
        <w:t>四、财政拨款收入支出决算总体情况说明</w:t>
      </w:r>
    </w:p>
    <w:p w14:paraId="53A839DF">
      <w:pPr>
        <w:keepNext w:val="0"/>
        <w:keepLines w:val="0"/>
        <w:pageBreakBefore w:val="0"/>
        <w:widowControl/>
        <w:numPr>
          <w:ilvl w:val="0"/>
          <w:numId w:val="0"/>
        </w:numPr>
        <w:kinsoku/>
        <w:wordWrap/>
        <w:overflowPunct/>
        <w:topLinePunct w:val="0"/>
        <w:autoSpaceDE/>
        <w:autoSpaceDN/>
        <w:bidi w:val="0"/>
        <w:adjustRightInd/>
        <w:snapToGrid w:val="0"/>
        <w:spacing w:line="520" w:lineRule="exact"/>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2024年度财政拨款收入总计213.71万元，其中：年初财政拨款结转和结余0.00万元，本年财政拨款收入213.71万元。财政拨款支出总计213.71万元，其中：年末财政拨款结转和结余0.00万元，本年财政拨款支出213.71万元。</w:t>
      </w:r>
    </w:p>
    <w:p w14:paraId="4E846E70">
      <w:pPr>
        <w:keepNext w:val="0"/>
        <w:keepLines w:val="0"/>
        <w:pageBreakBefore w:val="0"/>
        <w:widowControl/>
        <w:numPr>
          <w:ilvl w:val="0"/>
          <w:numId w:val="0"/>
        </w:numPr>
        <w:kinsoku/>
        <w:wordWrap/>
        <w:overflowPunct/>
        <w:topLinePunct w:val="0"/>
        <w:autoSpaceDE/>
        <w:autoSpaceDN/>
        <w:bidi w:val="0"/>
        <w:adjustRightInd/>
        <w:snapToGrid w:val="0"/>
        <w:spacing w:line="520" w:lineRule="exact"/>
        <w:ind w:firstLine="643" w:firstLineChars="200"/>
        <w:jc w:val="both"/>
        <w:textAlignment w:val="auto"/>
        <w:rPr>
          <w:rFonts w:hint="eastAsia" w:ascii="仿宋_GB2312" w:eastAsia="仿宋_GB2312"/>
          <w:color w:val="auto"/>
          <w:spacing w:val="0"/>
          <w:sz w:val="32"/>
          <w:szCs w:val="32"/>
          <w:highlight w:val="none"/>
          <w:lang w:val="en-US" w:eastAsia="zh-CN"/>
        </w:rPr>
      </w:pPr>
      <w:r>
        <w:rPr>
          <w:rFonts w:ascii="仿宋_GB2312" w:eastAsia="仿宋_GB2312"/>
          <w:b/>
          <w:bCs/>
          <w:sz w:val="32"/>
          <w:szCs w:val="32"/>
        </w:rPr>
        <w:t>财政拨款收入支出总体与上年相比</w:t>
      </w:r>
      <w:r>
        <w:rPr>
          <w:rFonts w:ascii="仿宋_GB2312" w:eastAsia="仿宋_GB2312"/>
          <w:b w:val="0"/>
          <w:sz w:val="32"/>
          <w:szCs w:val="32"/>
        </w:rPr>
        <w:t>，增加25.57万元，增长13.59%，主要原因是：</w:t>
      </w:r>
      <w:r>
        <w:rPr>
          <w:rFonts w:hint="eastAsia" w:ascii="仿宋_GB2312" w:eastAsia="仿宋_GB2312"/>
          <w:color w:val="auto"/>
          <w:spacing w:val="0"/>
          <w:sz w:val="32"/>
          <w:szCs w:val="32"/>
          <w:highlight w:val="none"/>
          <w:lang w:val="en-US" w:eastAsia="zh-CN"/>
        </w:rPr>
        <w:t>一是一般公共预算财政拨款基本支出收入较上年增加9.17万元，主要是在职人员调资，工资福利支出等相应增加。二是</w:t>
      </w:r>
      <w:r>
        <w:rPr>
          <w:rFonts w:hint="eastAsia" w:ascii="仿宋_GB2312" w:hAnsi="仿宋_GB2312" w:eastAsia="仿宋_GB2312" w:cs="仿宋_GB2312"/>
          <w:b w:val="0"/>
          <w:bCs w:val="0"/>
          <w:color w:val="auto"/>
          <w:spacing w:val="4"/>
          <w:sz w:val="32"/>
          <w:szCs w:val="32"/>
          <w:lang w:val="en-US" w:eastAsia="zh-CN"/>
        </w:rPr>
        <w:t>一般</w:t>
      </w:r>
      <w:r>
        <w:rPr>
          <w:rFonts w:hint="eastAsia" w:ascii="仿宋_GB2312" w:hAnsi="仿宋_GB2312" w:eastAsia="仿宋_GB2312" w:cs="仿宋_GB2312"/>
          <w:color w:val="auto"/>
          <w:spacing w:val="4"/>
          <w:sz w:val="32"/>
          <w:szCs w:val="32"/>
          <w:lang w:val="en-US" w:eastAsia="zh-CN"/>
        </w:rPr>
        <w:t>公共预算财政拨款项目支出较</w:t>
      </w:r>
      <w:r>
        <w:rPr>
          <w:rFonts w:hint="eastAsia" w:ascii="仿宋_GB2312" w:eastAsia="仿宋_GB2312"/>
          <w:color w:val="auto"/>
          <w:spacing w:val="0"/>
          <w:sz w:val="32"/>
          <w:szCs w:val="32"/>
          <w:highlight w:val="none"/>
          <w:lang w:val="en-US" w:eastAsia="zh-CN"/>
        </w:rPr>
        <w:t>上年增加16.40万元，主要是“中央无线电管理经费”项目中租赁费、物业费有所增加。</w:t>
      </w:r>
    </w:p>
    <w:p w14:paraId="3BD947E7">
      <w:pPr>
        <w:keepNext w:val="0"/>
        <w:keepLines w:val="0"/>
        <w:pageBreakBefore w:val="0"/>
        <w:widowControl/>
        <w:kinsoku/>
        <w:wordWrap/>
        <w:overflowPunct/>
        <w:topLinePunct w:val="0"/>
        <w:autoSpaceDE/>
        <w:autoSpaceDN/>
        <w:bidi w:val="0"/>
        <w:adjustRightInd/>
        <w:snapToGrid/>
        <w:spacing w:line="520" w:lineRule="exact"/>
        <w:ind w:firstLine="643" w:firstLineChars="200"/>
        <w:jc w:val="both"/>
        <w:textAlignment w:val="auto"/>
        <w:rPr>
          <w:rFonts w:ascii="仿宋_GB2312" w:eastAsia="仿宋_GB2312"/>
          <w:sz w:val="32"/>
          <w:szCs w:val="32"/>
        </w:rPr>
      </w:pP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en-US" w:eastAsia="zh-CN"/>
        </w:rPr>
        <w:t>232.80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en-US" w:eastAsia="zh-CN"/>
        </w:rPr>
        <w:t>213.71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en-US" w:eastAsia="zh-CN"/>
        </w:rPr>
        <w:t>8.20</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color w:val="auto"/>
          <w:sz w:val="32"/>
          <w:szCs w:val="32"/>
          <w:highlight w:val="none"/>
          <w:lang w:val="en-US" w:eastAsia="zh-CN"/>
        </w:rPr>
        <w:t>在年度预算执行中，根据自治区财政厅下达文件追加及调减预算，</w:t>
      </w:r>
      <w:r>
        <w:rPr>
          <w:rFonts w:hint="eastAsia" w:ascii="仿宋_GB2312" w:eastAsia="仿宋_GB2312"/>
          <w:b/>
          <w:bCs/>
          <w:color w:val="auto"/>
          <w:spacing w:val="0"/>
          <w:sz w:val="32"/>
          <w:szCs w:val="32"/>
          <w:highlight w:val="none"/>
          <w:lang w:val="en-US" w:eastAsia="zh-CN"/>
        </w:rPr>
        <w:t>一是</w:t>
      </w:r>
      <w:r>
        <w:rPr>
          <w:rFonts w:hint="eastAsia" w:ascii="仿宋_GB2312" w:eastAsia="仿宋_GB2312"/>
          <w:color w:val="auto"/>
          <w:spacing w:val="0"/>
          <w:sz w:val="32"/>
          <w:szCs w:val="32"/>
          <w:highlight w:val="none"/>
          <w:lang w:val="en-US" w:eastAsia="zh-CN"/>
        </w:rPr>
        <w:t>基本支出中，追加自治区人员类项目经费8.82万元、调减自治区人员类项目经费10.16万元。</w:t>
      </w:r>
      <w:r>
        <w:rPr>
          <w:rFonts w:hint="eastAsia" w:ascii="仿宋_GB2312" w:eastAsia="仿宋_GB2312"/>
          <w:b/>
          <w:bCs/>
          <w:color w:val="auto"/>
          <w:spacing w:val="0"/>
          <w:sz w:val="32"/>
          <w:szCs w:val="32"/>
          <w:highlight w:val="none"/>
          <w:lang w:val="en-US" w:eastAsia="zh-CN"/>
        </w:rPr>
        <w:t>二是</w:t>
      </w:r>
      <w:r>
        <w:rPr>
          <w:rFonts w:hint="eastAsia" w:ascii="仿宋_GB2312" w:eastAsia="仿宋_GB2312"/>
          <w:color w:val="auto"/>
          <w:spacing w:val="0"/>
          <w:sz w:val="32"/>
          <w:szCs w:val="32"/>
          <w:highlight w:val="none"/>
          <w:lang w:val="en-US" w:eastAsia="zh-CN"/>
        </w:rPr>
        <w:t>项目支出中，调减中央无线电管理经费17.75万元。</w:t>
      </w:r>
    </w:p>
    <w:p w14:paraId="0A0D84C2">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outlineLvl w:val="1"/>
        <w:rPr>
          <w:rFonts w:ascii="黑体" w:eastAsia="黑体"/>
          <w:sz w:val="32"/>
          <w:szCs w:val="32"/>
        </w:rPr>
      </w:pPr>
      <w:r>
        <w:rPr>
          <w:rFonts w:ascii="黑体" w:eastAsia="黑体"/>
          <w:b w:val="0"/>
          <w:sz w:val="32"/>
          <w:szCs w:val="32"/>
        </w:rPr>
        <w:t>五、一般公共预算财政拨款支出决算情况说明</w:t>
      </w:r>
    </w:p>
    <w:p w14:paraId="0891372F">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outlineLvl w:val="2"/>
        <w:rPr>
          <w:rFonts w:ascii="黑体" w:eastAsia="黑体"/>
          <w:b w:val="0"/>
          <w:bCs/>
          <w:sz w:val="32"/>
          <w:szCs w:val="32"/>
        </w:rPr>
      </w:pPr>
      <w:r>
        <w:rPr>
          <w:rFonts w:ascii="黑体" w:eastAsia="黑体"/>
          <w:b w:val="0"/>
          <w:bCs/>
          <w:sz w:val="32"/>
          <w:szCs w:val="32"/>
        </w:rPr>
        <w:t>（一）一般公共预算财政拨款支出决算总体情况</w:t>
      </w:r>
    </w:p>
    <w:p w14:paraId="21FFD5C7">
      <w:pPr>
        <w:keepNext w:val="0"/>
        <w:keepLines w:val="0"/>
        <w:pageBreakBefore w:val="0"/>
        <w:widowControl/>
        <w:numPr>
          <w:ilvl w:val="0"/>
          <w:numId w:val="0"/>
        </w:numPr>
        <w:kinsoku/>
        <w:wordWrap/>
        <w:overflowPunct/>
        <w:topLinePunct w:val="0"/>
        <w:autoSpaceDE/>
        <w:autoSpaceDN/>
        <w:bidi w:val="0"/>
        <w:adjustRightInd/>
        <w:snapToGrid w:val="0"/>
        <w:spacing w:after="0" w:line="520" w:lineRule="exact"/>
        <w:ind w:firstLine="640" w:firstLineChars="200"/>
        <w:jc w:val="both"/>
        <w:textAlignment w:val="auto"/>
        <w:rPr>
          <w:rFonts w:hint="eastAsia" w:ascii="仿宋_GB2312" w:eastAsia="仿宋_GB2312"/>
          <w:color w:val="auto"/>
          <w:spacing w:val="0"/>
          <w:sz w:val="32"/>
          <w:szCs w:val="32"/>
          <w:highlight w:val="none"/>
          <w:lang w:val="en-US" w:eastAsia="zh-CN"/>
        </w:rPr>
      </w:pPr>
      <w:r>
        <w:rPr>
          <w:rFonts w:ascii="仿宋_GB2312" w:eastAsia="仿宋_GB2312"/>
          <w:b w:val="0"/>
          <w:sz w:val="32"/>
          <w:szCs w:val="32"/>
        </w:rPr>
        <w:t>2024年度一般公共预算财政拨款支出213.71万元，占本年支出合计的97.01%。</w:t>
      </w:r>
      <w:r>
        <w:rPr>
          <w:rFonts w:ascii="仿宋_GB2312" w:eastAsia="仿宋_GB2312"/>
          <w:b/>
          <w:bCs/>
          <w:sz w:val="32"/>
          <w:szCs w:val="32"/>
        </w:rPr>
        <w:t>与上年相比</w:t>
      </w:r>
      <w:r>
        <w:rPr>
          <w:rFonts w:ascii="仿宋_GB2312" w:eastAsia="仿宋_GB2312"/>
          <w:b w:val="0"/>
          <w:sz w:val="32"/>
          <w:szCs w:val="32"/>
        </w:rPr>
        <w:t>，增加25.57万元，增长13.59%，主要原因是：</w:t>
      </w:r>
      <w:r>
        <w:rPr>
          <w:rFonts w:hint="eastAsia" w:ascii="仿宋_GB2312" w:eastAsia="仿宋_GB2312"/>
          <w:color w:val="auto"/>
          <w:spacing w:val="0"/>
          <w:sz w:val="32"/>
          <w:szCs w:val="32"/>
          <w:highlight w:val="none"/>
          <w:lang w:val="en-US" w:eastAsia="zh-CN"/>
        </w:rPr>
        <w:t>一是一般公共预算财政拨款基本支出收入较上年增加9.17万元，主要是在职人员调资，工资福利支出等相应增加。二是</w:t>
      </w:r>
      <w:r>
        <w:rPr>
          <w:rFonts w:hint="eastAsia" w:ascii="仿宋_GB2312" w:hAnsi="仿宋_GB2312" w:eastAsia="仿宋_GB2312" w:cs="仿宋_GB2312"/>
          <w:b w:val="0"/>
          <w:bCs w:val="0"/>
          <w:color w:val="auto"/>
          <w:spacing w:val="4"/>
          <w:sz w:val="32"/>
          <w:szCs w:val="32"/>
          <w:lang w:val="en-US" w:eastAsia="zh-CN"/>
        </w:rPr>
        <w:t>一般</w:t>
      </w:r>
      <w:r>
        <w:rPr>
          <w:rFonts w:hint="eastAsia" w:ascii="仿宋_GB2312" w:hAnsi="仿宋_GB2312" w:eastAsia="仿宋_GB2312" w:cs="仿宋_GB2312"/>
          <w:color w:val="auto"/>
          <w:spacing w:val="4"/>
          <w:sz w:val="32"/>
          <w:szCs w:val="32"/>
          <w:lang w:val="en-US" w:eastAsia="zh-CN"/>
        </w:rPr>
        <w:t>公共预算财政拨款项目支出较</w:t>
      </w:r>
      <w:r>
        <w:rPr>
          <w:rFonts w:hint="eastAsia" w:ascii="仿宋_GB2312" w:eastAsia="仿宋_GB2312"/>
          <w:color w:val="auto"/>
          <w:spacing w:val="0"/>
          <w:sz w:val="32"/>
          <w:szCs w:val="32"/>
          <w:highlight w:val="none"/>
          <w:lang w:val="en-US" w:eastAsia="zh-CN"/>
        </w:rPr>
        <w:t>上年增加16.40万元，主要是“中央无线电管理经费”项目中租赁费、物业费有所增加。</w:t>
      </w:r>
    </w:p>
    <w:p w14:paraId="7DFC1AB0">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与年初预算相比</w:t>
      </w:r>
      <w:r>
        <w:rPr>
          <w:rFonts w:ascii="仿宋_GB2312" w:eastAsia="仿宋_GB2312"/>
          <w:b w:val="0"/>
          <w:sz w:val="32"/>
          <w:szCs w:val="32"/>
        </w:rPr>
        <w:t>，</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en-US" w:eastAsia="zh-CN"/>
        </w:rPr>
        <w:t>232.80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en-US" w:eastAsia="zh-CN"/>
        </w:rPr>
        <w:t>213.71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en-US" w:eastAsia="zh-CN"/>
        </w:rPr>
        <w:t>8.20</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color w:val="auto"/>
          <w:sz w:val="32"/>
          <w:szCs w:val="32"/>
          <w:highlight w:val="none"/>
          <w:lang w:val="en-US" w:eastAsia="zh-CN"/>
        </w:rPr>
        <w:t>在年度预算执行中，根据自治区财政厅下达文件追加及调减预算，</w:t>
      </w:r>
      <w:r>
        <w:rPr>
          <w:rFonts w:hint="eastAsia" w:ascii="仿宋_GB2312" w:eastAsia="仿宋_GB2312"/>
          <w:b/>
          <w:bCs/>
          <w:color w:val="auto"/>
          <w:spacing w:val="0"/>
          <w:sz w:val="32"/>
          <w:szCs w:val="32"/>
          <w:highlight w:val="none"/>
          <w:lang w:val="en-US" w:eastAsia="zh-CN"/>
        </w:rPr>
        <w:t>一是</w:t>
      </w:r>
      <w:r>
        <w:rPr>
          <w:rFonts w:hint="eastAsia" w:ascii="仿宋_GB2312" w:eastAsia="仿宋_GB2312"/>
          <w:color w:val="auto"/>
          <w:spacing w:val="0"/>
          <w:sz w:val="32"/>
          <w:szCs w:val="32"/>
          <w:highlight w:val="none"/>
          <w:lang w:val="en-US" w:eastAsia="zh-CN"/>
        </w:rPr>
        <w:t>基本支出中，追加自治区人员类项目经费8.82万元、调减自治区人员类项目经费10.16万元。</w:t>
      </w:r>
      <w:r>
        <w:rPr>
          <w:rFonts w:hint="eastAsia" w:ascii="仿宋_GB2312" w:eastAsia="仿宋_GB2312"/>
          <w:b/>
          <w:bCs/>
          <w:color w:val="auto"/>
          <w:spacing w:val="0"/>
          <w:sz w:val="32"/>
          <w:szCs w:val="32"/>
          <w:highlight w:val="none"/>
          <w:lang w:val="en-US" w:eastAsia="zh-CN"/>
        </w:rPr>
        <w:t>二是</w:t>
      </w:r>
      <w:r>
        <w:rPr>
          <w:rFonts w:hint="eastAsia" w:ascii="仿宋_GB2312" w:eastAsia="仿宋_GB2312"/>
          <w:color w:val="auto"/>
          <w:spacing w:val="0"/>
          <w:sz w:val="32"/>
          <w:szCs w:val="32"/>
          <w:highlight w:val="none"/>
          <w:lang w:val="en-US" w:eastAsia="zh-CN"/>
        </w:rPr>
        <w:t>项目支出中，调减中央无线电管理经费17.75万元。</w:t>
      </w:r>
    </w:p>
    <w:p w14:paraId="5BFCBDD8">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3" w:firstLineChars="200"/>
        <w:jc w:val="both"/>
        <w:textAlignment w:val="auto"/>
        <w:outlineLvl w:val="2"/>
        <w:rPr>
          <w:rFonts w:ascii="黑体" w:eastAsia="黑体"/>
          <w:sz w:val="32"/>
          <w:szCs w:val="32"/>
        </w:rPr>
      </w:pPr>
      <w:r>
        <w:rPr>
          <w:rFonts w:ascii="黑体" w:eastAsia="黑体"/>
          <w:b/>
          <w:sz w:val="32"/>
          <w:szCs w:val="32"/>
        </w:rPr>
        <w:t>（二）一般公共预算财政拨款支出决算结构情况</w:t>
      </w:r>
    </w:p>
    <w:p w14:paraId="666E348E">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社会保障和就业支出（类）13.46万元，占6.30%。</w:t>
      </w:r>
    </w:p>
    <w:p w14:paraId="3F9D2534">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卫生健康支出（类）6.75万元，占3.16%。</w:t>
      </w:r>
    </w:p>
    <w:p w14:paraId="37C84EEF">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资源勘探工业信息等支出（类）184.58万元，占86.37%。</w:t>
      </w:r>
    </w:p>
    <w:p w14:paraId="11C1199E">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住房保障支出（类）8.92万元，占4.17%。</w:t>
      </w:r>
    </w:p>
    <w:p w14:paraId="3A5BCA89">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3" w:firstLineChars="200"/>
        <w:jc w:val="both"/>
        <w:textAlignment w:val="auto"/>
        <w:outlineLvl w:val="2"/>
        <w:rPr>
          <w:rFonts w:ascii="黑体" w:eastAsia="黑体"/>
          <w:sz w:val="32"/>
          <w:szCs w:val="32"/>
        </w:rPr>
      </w:pPr>
      <w:r>
        <w:rPr>
          <w:rFonts w:ascii="黑体" w:eastAsia="黑体"/>
          <w:b/>
          <w:sz w:val="32"/>
          <w:szCs w:val="32"/>
        </w:rPr>
        <w:t>（三）一般公共预算财政拨款支出决算具体情况</w:t>
      </w:r>
    </w:p>
    <w:p w14:paraId="55BAE73C">
      <w:pPr>
        <w:keepNext w:val="0"/>
        <w:keepLines w:val="0"/>
        <w:pageBreakBefore w:val="0"/>
        <w:widowControl/>
        <w:numPr>
          <w:ilvl w:val="0"/>
          <w:numId w:val="1"/>
        </w:numPr>
        <w:kinsoku/>
        <w:wordWrap/>
        <w:overflowPunct/>
        <w:topLinePunct w:val="0"/>
        <w:autoSpaceDE/>
        <w:autoSpaceDN/>
        <w:bidi w:val="0"/>
        <w:adjustRightInd/>
        <w:spacing w:before="0" w:beforeAutospacing="0" w:after="0" w:afterAutospacing="0" w:line="520" w:lineRule="exact"/>
        <w:ind w:firstLine="640" w:firstLineChars="200"/>
        <w:jc w:val="both"/>
        <w:textAlignment w:val="auto"/>
        <w:rPr>
          <w:rFonts w:ascii="仿宋_GB2312" w:eastAsia="仿宋_GB2312"/>
          <w:color w:val="auto"/>
          <w:sz w:val="32"/>
          <w:szCs w:val="32"/>
        </w:rPr>
      </w:pPr>
      <w:r>
        <w:rPr>
          <w:rFonts w:ascii="仿宋_GB2312" w:eastAsia="仿宋_GB2312"/>
          <w:b w:val="0"/>
          <w:sz w:val="32"/>
          <w:szCs w:val="32"/>
        </w:rPr>
        <w:t>社会保障和就业支出（类）行政事业单位养老支出（款）事业单位离退休（项）：支出决算数为2.11万元，比上年决算增加0.11万元，增长5.50%，</w:t>
      </w:r>
      <w:r>
        <w:rPr>
          <w:rFonts w:ascii="仿宋_GB2312" w:eastAsia="仿宋_GB2312"/>
          <w:b w:val="0"/>
          <w:color w:val="auto"/>
          <w:sz w:val="32"/>
          <w:szCs w:val="32"/>
        </w:rPr>
        <w:t>主要原因是：</w:t>
      </w:r>
      <w:r>
        <w:rPr>
          <w:rFonts w:hint="eastAsia" w:ascii="仿宋_GB2312" w:eastAsia="仿宋_GB2312"/>
          <w:color w:val="auto"/>
          <w:spacing w:val="0"/>
          <w:sz w:val="32"/>
          <w:szCs w:val="32"/>
          <w:highlight w:val="none"/>
          <w:lang w:val="en-US" w:eastAsia="zh-CN"/>
        </w:rPr>
        <w:t>事业单位离退休人员待遇调增。</w:t>
      </w:r>
    </w:p>
    <w:p w14:paraId="20452D5C">
      <w:pPr>
        <w:keepNext w:val="0"/>
        <w:keepLines w:val="0"/>
        <w:pageBreakBefore w:val="0"/>
        <w:widowControl/>
        <w:numPr>
          <w:ilvl w:val="0"/>
          <w:numId w:val="1"/>
        </w:numPr>
        <w:kinsoku/>
        <w:wordWrap/>
        <w:overflowPunct/>
        <w:topLinePunct w:val="0"/>
        <w:autoSpaceDE/>
        <w:autoSpaceDN/>
        <w:bidi w:val="0"/>
        <w:adjustRightInd/>
        <w:spacing w:before="0" w:beforeAutospacing="0" w:after="0" w:afterAutospacing="0" w:line="52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社会保障和就业支出（类）行政事业单位养老支出（款）机关事业单位基本养老保险缴费支出（项）：支出决算数为11.35万元，比上年决算增加0.88万元，增长8.40%，主要原因是：</w:t>
      </w:r>
      <w:r>
        <w:rPr>
          <w:rFonts w:hint="eastAsia" w:ascii="仿宋_GB2312" w:eastAsia="仿宋_GB2312"/>
          <w:color w:val="auto"/>
          <w:spacing w:val="0"/>
          <w:sz w:val="32"/>
          <w:szCs w:val="32"/>
          <w:highlight w:val="none"/>
          <w:lang w:val="en-US" w:eastAsia="zh-CN"/>
        </w:rPr>
        <w:t>在职人员调资，相应养老保险缴费基数提高。</w:t>
      </w:r>
    </w:p>
    <w:p w14:paraId="018BE266">
      <w:pPr>
        <w:keepNext w:val="0"/>
        <w:keepLines w:val="0"/>
        <w:pageBreakBefore w:val="0"/>
        <w:widowControl/>
        <w:numPr>
          <w:ilvl w:val="0"/>
          <w:numId w:val="1"/>
        </w:numPr>
        <w:kinsoku/>
        <w:wordWrap/>
        <w:overflowPunct/>
        <w:topLinePunct w:val="0"/>
        <w:autoSpaceDE/>
        <w:autoSpaceDN/>
        <w:bidi w:val="0"/>
        <w:adjustRightInd/>
        <w:spacing w:before="0" w:beforeAutospacing="0" w:after="0" w:afterAutospacing="0" w:line="520" w:lineRule="exact"/>
        <w:ind w:firstLine="640" w:firstLineChars="200"/>
        <w:jc w:val="both"/>
        <w:textAlignment w:val="auto"/>
        <w:rPr>
          <w:rFonts w:ascii="仿宋_GB2312" w:eastAsia="仿宋_GB2312"/>
          <w:sz w:val="32"/>
          <w:szCs w:val="32"/>
        </w:rPr>
      </w:pPr>
      <w:r>
        <w:rPr>
          <w:rFonts w:ascii="仿宋_GB2312" w:eastAsia="仿宋_GB2312"/>
          <w:b w:val="0"/>
          <w:color w:val="auto"/>
          <w:sz w:val="32"/>
          <w:szCs w:val="32"/>
        </w:rPr>
        <w:t>卫生健康支出（类）行政事业单位医疗（款）事业单位医疗（项）：支出决算数为5.53万元，比上年决算增加0.06万元，增长1.10%，主要原因是：</w:t>
      </w:r>
      <w:r>
        <w:rPr>
          <w:rFonts w:hint="eastAsia" w:ascii="仿宋_GB2312" w:eastAsia="仿宋_GB2312"/>
          <w:color w:val="auto"/>
          <w:spacing w:val="0"/>
          <w:sz w:val="32"/>
          <w:szCs w:val="32"/>
          <w:highlight w:val="none"/>
          <w:lang w:val="en-US" w:eastAsia="zh-CN"/>
        </w:rPr>
        <w:t>在职人员调资，相应基本医疗保险缴费基数提高。</w:t>
      </w:r>
    </w:p>
    <w:p w14:paraId="04DA2BE7">
      <w:pPr>
        <w:keepNext w:val="0"/>
        <w:keepLines w:val="0"/>
        <w:pageBreakBefore w:val="0"/>
        <w:widowControl/>
        <w:numPr>
          <w:ilvl w:val="0"/>
          <w:numId w:val="1"/>
        </w:numPr>
        <w:kinsoku/>
        <w:wordWrap/>
        <w:overflowPunct/>
        <w:topLinePunct w:val="0"/>
        <w:autoSpaceDE/>
        <w:autoSpaceDN/>
        <w:bidi w:val="0"/>
        <w:adjustRightInd/>
        <w:spacing w:before="0" w:beforeAutospacing="0" w:after="0" w:afterAutospacing="0" w:line="520" w:lineRule="exact"/>
        <w:ind w:firstLine="640" w:firstLineChars="200"/>
        <w:jc w:val="both"/>
        <w:textAlignment w:val="auto"/>
        <w:rPr>
          <w:rFonts w:ascii="仿宋_GB2312" w:eastAsia="仿宋_GB2312"/>
          <w:color w:val="auto"/>
          <w:sz w:val="32"/>
          <w:szCs w:val="32"/>
        </w:rPr>
      </w:pPr>
      <w:r>
        <w:rPr>
          <w:rFonts w:ascii="仿宋_GB2312" w:eastAsia="仿宋_GB2312"/>
          <w:b w:val="0"/>
          <w:sz w:val="32"/>
          <w:szCs w:val="32"/>
        </w:rPr>
        <w:t>卫生健康支出（类）行政事业单位医疗（款）公务员医疗补助（项）：支出决算数为1.22万元，比上年决算减少1.25万元，下降50.61%，</w:t>
      </w:r>
      <w:r>
        <w:rPr>
          <w:rFonts w:ascii="仿宋_GB2312" w:eastAsia="仿宋_GB2312"/>
          <w:b w:val="0"/>
          <w:color w:val="auto"/>
          <w:sz w:val="32"/>
          <w:szCs w:val="32"/>
        </w:rPr>
        <w:t>主要原因是：</w:t>
      </w:r>
      <w:r>
        <w:rPr>
          <w:rFonts w:hint="eastAsia" w:ascii="仿宋_GB2312" w:eastAsia="仿宋_GB2312"/>
          <w:color w:val="auto"/>
          <w:spacing w:val="0"/>
          <w:sz w:val="32"/>
          <w:szCs w:val="32"/>
          <w:highlight w:val="none"/>
          <w:lang w:val="en-US" w:eastAsia="zh-CN"/>
        </w:rPr>
        <w:t>2024年公务员医疗补助费比例降低。</w:t>
      </w:r>
    </w:p>
    <w:p w14:paraId="2D673858">
      <w:pPr>
        <w:keepNext w:val="0"/>
        <w:keepLines w:val="0"/>
        <w:pageBreakBefore w:val="0"/>
        <w:widowControl/>
        <w:numPr>
          <w:ilvl w:val="0"/>
          <w:numId w:val="1"/>
        </w:numPr>
        <w:kinsoku/>
        <w:wordWrap/>
        <w:overflowPunct/>
        <w:topLinePunct w:val="0"/>
        <w:autoSpaceDE/>
        <w:autoSpaceDN/>
        <w:bidi w:val="0"/>
        <w:adjustRightInd/>
        <w:spacing w:before="0" w:beforeAutospacing="0" w:after="0" w:afterAutospacing="0" w:line="52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资源勘探工业信息等支出（类）工业和信息产业监管（款）无线电及信息通信监管（项）：支出决算数为184.58万元，比上年决算增加24.72万元，增长15.46%，主要原因是：</w:t>
      </w:r>
      <w:r>
        <w:rPr>
          <w:rFonts w:hint="eastAsia" w:ascii="仿宋_GB2312" w:eastAsia="仿宋_GB2312"/>
          <w:color w:val="auto"/>
          <w:spacing w:val="0"/>
          <w:sz w:val="32"/>
          <w:szCs w:val="32"/>
          <w:highlight w:val="none"/>
          <w:lang w:val="en-US" w:eastAsia="zh-CN"/>
        </w:rPr>
        <w:t>2024年在职人员调资，工资福利支出和中央无线电管理经费增加。</w:t>
      </w:r>
    </w:p>
    <w:p w14:paraId="0DAF7BFC">
      <w:pPr>
        <w:keepNext w:val="0"/>
        <w:keepLines w:val="0"/>
        <w:pageBreakBefore w:val="0"/>
        <w:widowControl/>
        <w:numPr>
          <w:ilvl w:val="0"/>
          <w:numId w:val="1"/>
        </w:numPr>
        <w:kinsoku/>
        <w:wordWrap/>
        <w:overflowPunct/>
        <w:topLinePunct w:val="0"/>
        <w:autoSpaceDE/>
        <w:autoSpaceDN/>
        <w:bidi w:val="0"/>
        <w:adjustRightInd/>
        <w:spacing w:before="0" w:beforeAutospacing="0" w:after="0" w:afterAutospacing="0" w:line="520" w:lineRule="exact"/>
        <w:ind w:firstLine="640" w:firstLineChars="200"/>
        <w:jc w:val="both"/>
        <w:textAlignment w:val="auto"/>
        <w:rPr>
          <w:rFonts w:ascii="仿宋_GB2312" w:eastAsia="仿宋_GB2312"/>
          <w:sz w:val="32"/>
          <w:szCs w:val="32"/>
        </w:rPr>
      </w:pPr>
      <w:r>
        <w:rPr>
          <w:rFonts w:ascii="仿宋_GB2312" w:eastAsia="仿宋_GB2312"/>
          <w:b w:val="0"/>
          <w:color w:val="auto"/>
          <w:sz w:val="32"/>
          <w:szCs w:val="32"/>
        </w:rPr>
        <w:t>住房保障支出（类）住房改革支出（款）住房公积金（项）：支出决算数为8.92万元，比上年决算增加1.05万元，增长13.34%，主要原因是：</w:t>
      </w:r>
      <w:r>
        <w:rPr>
          <w:rFonts w:hint="eastAsia" w:ascii="仿宋_GB2312" w:eastAsia="仿宋_GB2312"/>
          <w:color w:val="auto"/>
          <w:spacing w:val="0"/>
          <w:sz w:val="32"/>
          <w:szCs w:val="32"/>
          <w:highlight w:val="none"/>
          <w:lang w:val="en-US" w:eastAsia="zh-CN"/>
        </w:rPr>
        <w:t>住房公积金基数提高。</w:t>
      </w:r>
    </w:p>
    <w:p w14:paraId="6BFF886D">
      <w:pPr>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14:paraId="6815A67A">
      <w:pPr>
        <w:keepNext w:val="0"/>
        <w:keepLines w:val="0"/>
        <w:pageBreakBefore w:val="0"/>
        <w:widowControl w:val="0"/>
        <w:kinsoku/>
        <w:wordWrap/>
        <w:overflowPunct/>
        <w:topLinePunct w:val="0"/>
        <w:autoSpaceDE/>
        <w:autoSpaceDN/>
        <w:bidi w:val="0"/>
        <w:adjustRightInd/>
        <w:snapToGrid/>
        <w:spacing w:before="0" w:beforeAutospacing="0" w:after="0" w:afterAutospacing="0" w:line="52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135.63万元，其中：人员经费115.33万元，包括：基本工资、津贴补贴、奖金、绩效工资、机关事业单位基本养老保险缴费、职工基本医疗保险缴费、公务员医疗补助缴费、其他社会保障缴费、住房公积金、其他工资福利支出和退休费。</w:t>
      </w:r>
    </w:p>
    <w:p w14:paraId="402D37FC">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公用经费20.30万元，包括：办公费、印刷费、电费、邮电费、差旅费、工会经费、福利费和公务用车运行维护费。</w:t>
      </w:r>
    </w:p>
    <w:p w14:paraId="7B12BCE7">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14:paraId="7B2583B0">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5B93C961">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14:paraId="6728D49C">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294887CA">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outlineLvl w:val="1"/>
        <w:rPr>
          <w:rFonts w:ascii="黑体" w:eastAsia="黑体"/>
          <w:sz w:val="32"/>
          <w:szCs w:val="32"/>
        </w:rPr>
      </w:pPr>
      <w:r>
        <w:rPr>
          <w:rFonts w:ascii="黑体" w:eastAsia="黑体"/>
          <w:b w:val="0"/>
          <w:sz w:val="32"/>
          <w:szCs w:val="32"/>
        </w:rPr>
        <w:t>九、财政拨款“三公”经费支出决算情况说明</w:t>
      </w:r>
    </w:p>
    <w:p w14:paraId="23AD7DB7">
      <w:pPr>
        <w:keepNext w:val="0"/>
        <w:keepLines w:val="0"/>
        <w:pageBreakBefore w:val="0"/>
        <w:widowControl/>
        <w:kinsoku/>
        <w:wordWrap/>
        <w:overflowPunct/>
        <w:topLinePunct w:val="0"/>
        <w:autoSpaceDE/>
        <w:autoSpaceDN/>
        <w:bidi w:val="0"/>
        <w:adjustRightInd/>
        <w:snapToGrid/>
        <w:spacing w:line="52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2024年度财政拨款“三公”经费支出3.56万元</w:t>
      </w:r>
      <w:r>
        <w:rPr>
          <w:rFonts w:ascii="仿宋_GB2312" w:eastAsia="仿宋_GB2312"/>
          <w:b w:val="0"/>
          <w:sz w:val="32"/>
          <w:szCs w:val="32"/>
        </w:rPr>
        <w:t>，比上年减少0.01万元，下降0.28%，主要原因是：</w:t>
      </w:r>
      <w:r>
        <w:rPr>
          <w:rFonts w:hint="eastAsia" w:ascii="仿宋_GB2312" w:eastAsia="仿宋_GB2312"/>
          <w:color w:val="auto"/>
          <w:sz w:val="32"/>
          <w:szCs w:val="32"/>
          <w:highlight w:val="none"/>
          <w:lang w:val="zh-CN" w:eastAsia="zh-CN"/>
        </w:rPr>
        <w:t>严格执行中央八项规定及实施细则，做到“三公”经费只减不增，无预算不支出</w:t>
      </w:r>
      <w:r>
        <w:rPr>
          <w:rFonts w:ascii="仿宋_GB2312" w:eastAsia="仿宋_GB2312"/>
          <w:b w:val="0"/>
          <w:sz w:val="32"/>
          <w:szCs w:val="32"/>
        </w:rPr>
        <w:t>。其中：因公出国（境）费支出0.00万元,占0.00%，与上年相比无变化，主要原因是：</w:t>
      </w:r>
      <w:r>
        <w:rPr>
          <w:rFonts w:hint="eastAsia" w:ascii="仿宋_GB2312" w:eastAsia="仿宋_GB2312"/>
          <w:color w:val="auto"/>
          <w:sz w:val="32"/>
          <w:szCs w:val="32"/>
          <w:highlight w:val="none"/>
          <w:lang w:val="zh-CN" w:eastAsia="zh-CN"/>
        </w:rPr>
        <w:t>我单位无因公出国（境）费</w:t>
      </w:r>
      <w:r>
        <w:rPr>
          <w:rFonts w:ascii="仿宋_GB2312" w:eastAsia="仿宋_GB2312"/>
          <w:b w:val="0"/>
          <w:sz w:val="32"/>
          <w:szCs w:val="32"/>
        </w:rPr>
        <w:t>；公务用车购置及运行维护费支出3.56万元，占100.00%，比上年减少0.01万元，下降0.28%，主要原因是：</w:t>
      </w:r>
      <w:r>
        <w:rPr>
          <w:rFonts w:hint="eastAsia" w:ascii="仿宋_GB2312" w:eastAsia="仿宋_GB2312"/>
          <w:color w:val="auto"/>
          <w:sz w:val="32"/>
          <w:szCs w:val="32"/>
          <w:highlight w:val="none"/>
          <w:lang w:val="zh-CN" w:eastAsia="zh-CN"/>
        </w:rPr>
        <w:t>严格执行公务用车管理制度，合理</w:t>
      </w:r>
      <w:r>
        <w:rPr>
          <w:rFonts w:hint="eastAsia" w:ascii="仿宋_GB2312" w:eastAsia="仿宋_GB2312"/>
          <w:color w:val="auto"/>
          <w:sz w:val="32"/>
          <w:szCs w:val="32"/>
          <w:highlight w:val="none"/>
          <w:lang w:val="en-US" w:eastAsia="zh-CN"/>
        </w:rPr>
        <w:t>控制</w:t>
      </w:r>
      <w:r>
        <w:rPr>
          <w:rFonts w:hint="eastAsia" w:ascii="仿宋_GB2312" w:eastAsia="仿宋_GB2312"/>
          <w:color w:val="auto"/>
          <w:sz w:val="32"/>
          <w:szCs w:val="32"/>
          <w:highlight w:val="none"/>
          <w:lang w:val="zh-CN" w:eastAsia="zh-CN"/>
        </w:rPr>
        <w:t>公务用车运行费用</w:t>
      </w:r>
      <w:r>
        <w:rPr>
          <w:rFonts w:ascii="仿宋_GB2312" w:eastAsia="仿宋_GB2312"/>
          <w:b w:val="0"/>
          <w:sz w:val="32"/>
          <w:szCs w:val="32"/>
        </w:rPr>
        <w:t>；公务接待费支出0.00万元，占0.00%，与上年相比无变化</w:t>
      </w:r>
      <w:r>
        <w:rPr>
          <w:rFonts w:ascii="仿宋_GB2312" w:eastAsia="仿宋_GB2312"/>
          <w:b w:val="0"/>
          <w:color w:val="auto"/>
          <w:sz w:val="32"/>
          <w:szCs w:val="32"/>
        </w:rPr>
        <w:t>，主要原因是：</w:t>
      </w:r>
      <w:r>
        <w:rPr>
          <w:rFonts w:hint="eastAsia" w:ascii="仿宋_GB2312" w:eastAsia="仿宋_GB2312"/>
          <w:color w:val="auto"/>
          <w:sz w:val="32"/>
          <w:szCs w:val="32"/>
          <w:highlight w:val="none"/>
          <w:lang w:val="zh-CN" w:eastAsia="zh-CN"/>
        </w:rPr>
        <w:t>我单位无公务接待费。</w:t>
      </w:r>
    </w:p>
    <w:p w14:paraId="3E73A17B">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具体情况如下</w:t>
      </w:r>
      <w:r>
        <w:rPr>
          <w:rFonts w:ascii="仿宋_GB2312" w:eastAsia="仿宋_GB2312"/>
          <w:b w:val="0"/>
          <w:sz w:val="32"/>
          <w:szCs w:val="32"/>
        </w:rPr>
        <w:t>：</w:t>
      </w:r>
    </w:p>
    <w:p w14:paraId="4EAABAED">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因公出国（境）费支出0.00万元，单位全年安排的因公出国（境）团组0个，因公出国（境）0人次。</w:t>
      </w:r>
    </w:p>
    <w:p w14:paraId="2FB2F779">
      <w:pPr>
        <w:keepNext w:val="0"/>
        <w:keepLines w:val="0"/>
        <w:pageBreakBefore w:val="0"/>
        <w:widowControl/>
        <w:kinsoku/>
        <w:wordWrap/>
        <w:overflowPunct/>
        <w:topLinePunct w:val="0"/>
        <w:autoSpaceDE/>
        <w:autoSpaceDN/>
        <w:bidi w:val="0"/>
        <w:adjustRightInd/>
        <w:snapToGrid/>
        <w:spacing w:line="520" w:lineRule="exact"/>
        <w:ind w:firstLine="640" w:firstLineChars="200"/>
        <w:jc w:val="both"/>
        <w:textAlignment w:val="auto"/>
        <w:rPr>
          <w:rFonts w:hint="eastAsia" w:ascii="仿宋_GB2312" w:eastAsia="仿宋_GB2312"/>
          <w:color w:val="auto"/>
          <w:sz w:val="32"/>
          <w:szCs w:val="32"/>
          <w:highlight w:val="none"/>
          <w:lang w:val="en-US" w:eastAsia="zh-CN"/>
        </w:rPr>
      </w:pPr>
      <w:r>
        <w:rPr>
          <w:rFonts w:ascii="仿宋_GB2312" w:eastAsia="仿宋_GB2312"/>
          <w:b w:val="0"/>
          <w:sz w:val="32"/>
          <w:szCs w:val="32"/>
        </w:rPr>
        <w:t>公务用车购置及运行维护费3.56万元，其中：公务用车购置费0.00万元，公务用车运行维护费3.56万元。公务用车运行维护费开支内容包括</w:t>
      </w:r>
      <w:r>
        <w:rPr>
          <w:rFonts w:hint="eastAsia" w:ascii="仿宋_GB2312" w:eastAsia="仿宋_GB2312"/>
          <w:b w:val="0"/>
          <w:sz w:val="32"/>
          <w:szCs w:val="32"/>
        </w:rPr>
        <w:t>车辆保险、停车过路费、车辆加油、车辆维修等费用</w:t>
      </w:r>
      <w:r>
        <w:rPr>
          <w:rFonts w:ascii="仿宋_GB2312" w:eastAsia="仿宋_GB2312"/>
          <w:b w:val="0"/>
          <w:sz w:val="32"/>
          <w:szCs w:val="32"/>
        </w:rPr>
        <w:t>。公务用车购置数0辆，公务用车保有量5辆。国有资产占用情况中固定资产车辆5辆，</w:t>
      </w:r>
      <w:r>
        <w:rPr>
          <w:rFonts w:hint="eastAsia" w:ascii="仿宋_GB2312" w:eastAsia="仿宋_GB2312"/>
          <w:color w:val="auto"/>
          <w:sz w:val="32"/>
          <w:szCs w:val="32"/>
          <w:highlight w:val="none"/>
          <w:lang w:val="en-US" w:eastAsia="zh-CN"/>
        </w:rPr>
        <w:t>与公务用车保有量无差异。</w:t>
      </w:r>
    </w:p>
    <w:p w14:paraId="5817120A">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公务接待费0.00万元，单位全年安排的国内公务接待0批次，0人次。</w:t>
      </w:r>
    </w:p>
    <w:p w14:paraId="43B0B37A">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与全年预算相比</w:t>
      </w:r>
      <w:r>
        <w:rPr>
          <w:rFonts w:ascii="仿宋_GB2312" w:eastAsia="仿宋_GB2312"/>
          <w:b w:val="0"/>
          <w:sz w:val="32"/>
          <w:szCs w:val="32"/>
        </w:rPr>
        <w:t>，财政拨款“三公”经费支出全年预算数3.56万元，决算数3.56万元，预决算差异率0.00%，主要原因是：</w:t>
      </w:r>
      <w:r>
        <w:rPr>
          <w:rFonts w:hint="eastAsia" w:ascii="仿宋_GB2312" w:eastAsia="仿宋_GB2312"/>
          <w:color w:val="auto"/>
          <w:sz w:val="32"/>
          <w:szCs w:val="32"/>
          <w:highlight w:val="none"/>
          <w:lang w:val="zh-CN" w:eastAsia="zh-CN"/>
        </w:rPr>
        <w:t>严格执行中央八项规定及实施细则，做到“三公” 经费只减不增，无预算不支出</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color w:val="auto"/>
          <w:sz w:val="32"/>
          <w:szCs w:val="32"/>
          <w:highlight w:val="none"/>
          <w:lang w:val="zh-CN" w:eastAsia="zh-CN"/>
        </w:rPr>
        <w:t>我单位无因公出国（境）费</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color w:val="auto"/>
          <w:sz w:val="32"/>
          <w:szCs w:val="32"/>
          <w:highlight w:val="none"/>
          <w:lang w:val="zh-CN" w:eastAsia="zh-CN"/>
        </w:rPr>
        <w:t>厉行节约严格控制经费，预决算保持一致</w:t>
      </w:r>
      <w:r>
        <w:rPr>
          <w:rFonts w:ascii="仿宋_GB2312" w:eastAsia="仿宋_GB2312"/>
          <w:b w:val="0"/>
          <w:sz w:val="32"/>
          <w:szCs w:val="32"/>
        </w:rPr>
        <w:t>；公务用车运行维护费全年预算数3.56万元，决算数3.56万元，预决算差异率0.00%，主要原因是：</w:t>
      </w:r>
      <w:r>
        <w:rPr>
          <w:rFonts w:hint="eastAsia" w:ascii="仿宋_GB2312" w:eastAsia="仿宋_GB2312"/>
          <w:color w:val="auto"/>
          <w:sz w:val="32"/>
          <w:szCs w:val="32"/>
          <w:highlight w:val="none"/>
          <w:lang w:val="zh-CN" w:eastAsia="zh-CN"/>
        </w:rPr>
        <w:t>严格执行中央八项规定及实施细则，做到“三公”经费只减不增，无预算不支出</w:t>
      </w:r>
      <w:r>
        <w:rPr>
          <w:rFonts w:ascii="仿宋_GB2312" w:eastAsia="仿宋_GB2312"/>
          <w:b w:val="0"/>
          <w:sz w:val="32"/>
          <w:szCs w:val="32"/>
        </w:rPr>
        <w:t>；公务接待费全年预算数0.00万元，决算数0.00万元，预决算差异率0.00%，</w:t>
      </w:r>
      <w:r>
        <w:rPr>
          <w:rFonts w:ascii="仿宋_GB2312" w:eastAsia="仿宋_GB2312"/>
          <w:b w:val="0"/>
          <w:color w:val="auto"/>
          <w:sz w:val="32"/>
          <w:szCs w:val="32"/>
        </w:rPr>
        <w:t>主要原因是：</w:t>
      </w:r>
      <w:r>
        <w:rPr>
          <w:rFonts w:hint="eastAsia" w:ascii="仿宋_GB2312" w:eastAsia="仿宋_GB2312"/>
          <w:color w:val="auto"/>
          <w:sz w:val="32"/>
          <w:szCs w:val="32"/>
          <w:highlight w:val="none"/>
          <w:lang w:val="zh-CN" w:eastAsia="zh-CN"/>
        </w:rPr>
        <w:t>我单位无公务接待费</w:t>
      </w:r>
      <w:r>
        <w:rPr>
          <w:rFonts w:ascii="仿宋_GB2312" w:eastAsia="仿宋_GB2312"/>
          <w:b w:val="0"/>
          <w:sz w:val="32"/>
          <w:szCs w:val="32"/>
        </w:rPr>
        <w:t>。</w:t>
      </w:r>
    </w:p>
    <w:p w14:paraId="3C02C525">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outlineLvl w:val="1"/>
        <w:rPr>
          <w:rFonts w:ascii="黑体" w:eastAsia="黑体"/>
          <w:sz w:val="32"/>
          <w:szCs w:val="32"/>
        </w:rPr>
      </w:pPr>
      <w:r>
        <w:rPr>
          <w:rFonts w:ascii="黑体" w:eastAsia="黑体"/>
          <w:b w:val="0"/>
          <w:sz w:val="32"/>
          <w:szCs w:val="32"/>
        </w:rPr>
        <w:t>十、其他重要事项的情况说明</w:t>
      </w:r>
    </w:p>
    <w:p w14:paraId="48C6EAF3">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3" w:firstLineChars="200"/>
        <w:jc w:val="both"/>
        <w:textAlignment w:val="auto"/>
        <w:outlineLvl w:val="2"/>
        <w:rPr>
          <w:rFonts w:ascii="黑体" w:eastAsia="黑体"/>
          <w:sz w:val="32"/>
          <w:szCs w:val="32"/>
          <w:highlight w:val="none"/>
        </w:rPr>
      </w:pPr>
      <w:r>
        <w:rPr>
          <w:rFonts w:ascii="黑体" w:eastAsia="黑体"/>
          <w:b/>
          <w:sz w:val="32"/>
          <w:szCs w:val="32"/>
          <w:highlight w:val="none"/>
        </w:rPr>
        <w:t>（一）机关运行经费及公用经费支</w:t>
      </w:r>
      <w:bookmarkStart w:id="0" w:name="_GoBack"/>
      <w:bookmarkEnd w:id="0"/>
      <w:r>
        <w:rPr>
          <w:rFonts w:ascii="黑体" w:eastAsia="黑体"/>
          <w:b/>
          <w:sz w:val="32"/>
          <w:szCs w:val="32"/>
          <w:highlight w:val="none"/>
        </w:rPr>
        <w:t>出情况</w:t>
      </w:r>
    </w:p>
    <w:p w14:paraId="01AB00D7">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rPr>
          <w:rFonts w:hint="default" w:ascii="仿宋_GB2312" w:eastAsia="仿宋_GB2312"/>
          <w:sz w:val="32"/>
          <w:szCs w:val="32"/>
          <w:highlight w:val="none"/>
          <w:lang w:val="en-US"/>
        </w:rPr>
      </w:pPr>
      <w:r>
        <w:rPr>
          <w:rFonts w:ascii="仿宋_GB2312" w:eastAsia="仿宋_GB2312"/>
          <w:b w:val="0"/>
          <w:sz w:val="32"/>
          <w:szCs w:val="32"/>
          <w:highlight w:val="none"/>
        </w:rPr>
        <w:t>2024年度阿勒泰地区无线电管理中心单位（事业单位）公用经费支出20.30万元，比上年增加2.87万元，增长16.47%，</w:t>
      </w:r>
      <w:r>
        <w:rPr>
          <w:rFonts w:ascii="仿宋_GB2312" w:eastAsia="仿宋_GB2312"/>
          <w:b w:val="0"/>
          <w:color w:val="auto"/>
          <w:sz w:val="32"/>
          <w:szCs w:val="32"/>
          <w:highlight w:val="none"/>
        </w:rPr>
        <w:t>主要原因是：</w:t>
      </w:r>
      <w:r>
        <w:rPr>
          <w:rFonts w:hint="eastAsia" w:ascii="仿宋_GB2312" w:eastAsia="仿宋_GB2312"/>
          <w:b w:val="0"/>
          <w:color w:val="auto"/>
          <w:sz w:val="32"/>
          <w:szCs w:val="32"/>
          <w:highlight w:val="none"/>
          <w:lang w:val="en-US" w:eastAsia="zh-CN"/>
        </w:rPr>
        <w:t>2024年出差频次增加，导致公用经费支出中差旅费支出增加。</w:t>
      </w:r>
    </w:p>
    <w:p w14:paraId="62195F80">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3" w:firstLineChars="200"/>
        <w:jc w:val="both"/>
        <w:textAlignment w:val="auto"/>
        <w:outlineLvl w:val="2"/>
        <w:rPr>
          <w:rFonts w:ascii="黑体" w:eastAsia="黑体"/>
          <w:sz w:val="32"/>
          <w:szCs w:val="32"/>
        </w:rPr>
      </w:pPr>
      <w:r>
        <w:rPr>
          <w:rFonts w:ascii="黑体" w:eastAsia="黑体"/>
          <w:b/>
          <w:sz w:val="32"/>
          <w:szCs w:val="32"/>
        </w:rPr>
        <w:t>（二）政府采购情况</w:t>
      </w:r>
    </w:p>
    <w:p w14:paraId="7527ACCB">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2024年度政府采购支出总额62.40万元，其中：政府采购货物支出0.68万元、政府采购工程支出6.58万元、政府采购服务支出55.14万元。</w:t>
      </w:r>
    </w:p>
    <w:p w14:paraId="130C5A95">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授予中小企业合同金额19.95万元，占政府采购支出总额的31.97%，其中：授予小微企业合同金额16.35万元，占政府采购支出总额的26.20%。</w:t>
      </w:r>
    </w:p>
    <w:p w14:paraId="45EAB5F3">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3" w:firstLineChars="200"/>
        <w:jc w:val="both"/>
        <w:textAlignment w:val="auto"/>
        <w:outlineLvl w:val="2"/>
        <w:rPr>
          <w:rFonts w:ascii="黑体" w:eastAsia="黑体"/>
          <w:sz w:val="32"/>
          <w:szCs w:val="32"/>
        </w:rPr>
      </w:pPr>
      <w:r>
        <w:rPr>
          <w:rFonts w:ascii="黑体" w:eastAsia="黑体"/>
          <w:b/>
          <w:sz w:val="32"/>
          <w:szCs w:val="32"/>
        </w:rPr>
        <w:t>（三）国有资产占用情况说明</w:t>
      </w:r>
    </w:p>
    <w:p w14:paraId="60D34325">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3,337.14平方米，价值1,245.29万元。车辆5辆，价值245.52万元，其中：副部（省）级及以上领导用车0辆、主要负责人用车0辆、机要通信用车0辆、应急保障用车0辆、执法执勤用车0辆、特种专业技术用车5辆、离退休干部服务用车0辆、其他用车0辆，其他用车主要是：</w:t>
      </w:r>
      <w:r>
        <w:rPr>
          <w:rFonts w:hint="eastAsia" w:ascii="Times New Roman" w:hAnsi="Times New Roman" w:eastAsia="仿宋_GB2312" w:cs="Times New Roman"/>
          <w:color w:val="auto"/>
          <w:sz w:val="32"/>
          <w:szCs w:val="32"/>
          <w:highlight w:val="none"/>
          <w:lang w:val="zh-CN" w:eastAsia="zh-CN"/>
        </w:rPr>
        <w:t>我单位无其他用车；</w:t>
      </w:r>
      <w:r>
        <w:rPr>
          <w:rFonts w:ascii="仿宋_GB2312" w:eastAsia="仿宋_GB2312"/>
          <w:b w:val="0"/>
          <w:sz w:val="32"/>
          <w:szCs w:val="32"/>
        </w:rPr>
        <w:t>单价100万元（含）以上设备（不含车辆）10台（套）。</w:t>
      </w:r>
    </w:p>
    <w:p w14:paraId="5512CD5F">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outlineLvl w:val="1"/>
        <w:rPr>
          <w:rFonts w:ascii="黑体" w:eastAsia="黑体"/>
          <w:sz w:val="32"/>
          <w:szCs w:val="32"/>
        </w:rPr>
      </w:pPr>
      <w:r>
        <w:rPr>
          <w:rFonts w:ascii="黑体" w:eastAsia="黑体"/>
          <w:b w:val="0"/>
          <w:sz w:val="32"/>
          <w:szCs w:val="32"/>
        </w:rPr>
        <w:t>十一、预算绩效的情况说明</w:t>
      </w:r>
    </w:p>
    <w:p w14:paraId="6DF2B2DF">
      <w:pPr>
        <w:keepNext w:val="0"/>
        <w:keepLines w:val="0"/>
        <w:pageBreakBefore w:val="0"/>
        <w:widowControl/>
        <w:numPr>
          <w:ilvl w:val="0"/>
          <w:numId w:val="0"/>
        </w:numPr>
        <w:shd w:val="clear"/>
        <w:kinsoku/>
        <w:wordWrap/>
        <w:overflowPunct/>
        <w:topLinePunct w:val="0"/>
        <w:autoSpaceDE/>
        <w:autoSpaceDN/>
        <w:bidi w:val="0"/>
        <w:adjustRightInd/>
        <w:spacing w:line="520" w:lineRule="exact"/>
        <w:ind w:firstLine="640" w:firstLineChars="200"/>
        <w:jc w:val="both"/>
        <w:textAlignment w:val="auto"/>
        <w:outlineLvl w:val="0"/>
        <w:rPr>
          <w:rFonts w:ascii="仿宋_GB2312" w:eastAsia="仿宋_GB2312"/>
          <w:color w:val="auto"/>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eastAsia="zh-CN"/>
        </w:rPr>
        <w:t>年度</w:t>
      </w:r>
      <w:r>
        <w:rPr>
          <w:rFonts w:hint="eastAsia" w:ascii="仿宋_GB2312" w:hAnsi="仿宋_GB2312" w:eastAsia="仿宋_GB2312" w:cs="仿宋_GB2312"/>
          <w:color w:val="auto"/>
          <w:kern w:val="0"/>
          <w:sz w:val="32"/>
          <w:szCs w:val="32"/>
          <w:highlight w:val="none"/>
        </w:rPr>
        <w:t>预算绩效</w:t>
      </w:r>
      <w:r>
        <w:rPr>
          <w:rFonts w:hint="eastAsia" w:ascii="仿宋_GB2312" w:hAnsi="仿宋_GB2312" w:eastAsia="仿宋_GB2312" w:cs="仿宋_GB2312"/>
          <w:color w:val="auto"/>
          <w:kern w:val="0"/>
          <w:sz w:val="32"/>
          <w:szCs w:val="32"/>
          <w:highlight w:val="none"/>
          <w:lang w:eastAsia="zh-CN"/>
        </w:rPr>
        <w:t>管理整体支出绩效自评表</w:t>
      </w:r>
      <w:r>
        <w:rPr>
          <w:rFonts w:hint="eastAsia" w:ascii="仿宋_GB2312" w:hAnsi="仿宋_GB2312" w:eastAsia="仿宋_GB2312" w:cs="仿宋_GB2312"/>
          <w:color w:val="auto"/>
          <w:kern w:val="0"/>
          <w:sz w:val="32"/>
          <w:szCs w:val="32"/>
          <w:highlight w:val="none"/>
          <w:lang w:val="en-US" w:eastAsia="zh-CN"/>
        </w:rPr>
        <w:t>0个，全年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pacing w:val="0"/>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1个，全年预算数6.58</w:t>
      </w:r>
      <w:r>
        <w:rPr>
          <w:rFonts w:hint="eastAsia" w:ascii="仿宋_GB2312" w:eastAsia="仿宋_GB2312"/>
          <w:color w:val="auto"/>
          <w:sz w:val="32"/>
          <w:szCs w:val="32"/>
          <w:highlight w:val="none"/>
          <w:lang w:val="en" w:eastAsia="zh-CN"/>
        </w:rPr>
        <w:t>万元，</w:t>
      </w:r>
      <w:r>
        <w:rPr>
          <w:rFonts w:ascii="仿宋_GB2312" w:eastAsia="仿宋_GB2312"/>
          <w:b w:val="0"/>
          <w:color w:val="auto"/>
          <w:sz w:val="32"/>
          <w:szCs w:val="32"/>
        </w:rPr>
        <w:t>全年执行数</w:t>
      </w:r>
      <w:r>
        <w:rPr>
          <w:rFonts w:hint="eastAsia" w:ascii="仿宋_GB2312" w:eastAsia="仿宋_GB2312"/>
          <w:b w:val="0"/>
          <w:color w:val="auto"/>
          <w:sz w:val="32"/>
          <w:szCs w:val="32"/>
          <w:lang w:val="en-US" w:eastAsia="zh-CN"/>
        </w:rPr>
        <w:t>6.58</w:t>
      </w:r>
      <w:r>
        <w:rPr>
          <w:rFonts w:ascii="仿宋_GB2312" w:eastAsia="仿宋_GB2312"/>
          <w:b w:val="0"/>
          <w:color w:val="auto"/>
          <w:sz w:val="32"/>
          <w:szCs w:val="32"/>
        </w:rPr>
        <w:t>万元。预算绩效管理取得的成效：</w:t>
      </w:r>
      <w:r>
        <w:rPr>
          <w:rFonts w:hint="eastAsia" w:ascii="仿宋_GB2312" w:eastAsia="仿宋_GB2312"/>
          <w:b w:val="0"/>
          <w:color w:val="auto"/>
          <w:sz w:val="32"/>
          <w:szCs w:val="32"/>
          <w:lang w:eastAsia="zh-CN"/>
        </w:rPr>
        <w:t>一是</w:t>
      </w:r>
      <w:r>
        <w:rPr>
          <w:rFonts w:hint="default" w:ascii="Times New Roman" w:hAnsi="Times New Roman" w:eastAsia="仿宋_GB2312" w:cs="Times New Roman"/>
          <w:color w:val="auto"/>
          <w:sz w:val="32"/>
          <w:szCs w:val="32"/>
          <w:highlight w:val="none"/>
        </w:rPr>
        <w:t>从项目目标的达成情况来看，阿勒泰地区无线电管理</w:t>
      </w:r>
      <w:r>
        <w:rPr>
          <w:rFonts w:hint="eastAsia" w:ascii="Times New Roman" w:hAnsi="Times New Roman" w:eastAsia="仿宋_GB2312" w:cs="Times New Roman"/>
          <w:color w:val="auto"/>
          <w:sz w:val="32"/>
          <w:szCs w:val="32"/>
          <w:highlight w:val="none"/>
          <w:lang w:eastAsia="zh-CN"/>
        </w:rPr>
        <w:t>中心业务楼</w:t>
      </w:r>
      <w:r>
        <w:rPr>
          <w:rFonts w:hint="default" w:ascii="Times New Roman" w:hAnsi="Times New Roman" w:eastAsia="仿宋_GB2312" w:cs="Times New Roman"/>
          <w:color w:val="auto"/>
          <w:sz w:val="32"/>
          <w:szCs w:val="32"/>
          <w:highlight w:val="none"/>
        </w:rPr>
        <w:t>散水建设达到了预期的标准与要求。</w:t>
      </w:r>
      <w:r>
        <w:rPr>
          <w:rFonts w:hint="eastAsia" w:ascii="Times New Roman" w:hAnsi="Times New Roman" w:eastAsia="仿宋_GB2312" w:cs="Times New Roman"/>
          <w:color w:val="auto"/>
          <w:sz w:val="32"/>
          <w:szCs w:val="32"/>
          <w:highlight w:val="none"/>
          <w:lang w:eastAsia="zh-CN"/>
        </w:rPr>
        <w:t>二是</w:t>
      </w:r>
      <w:r>
        <w:rPr>
          <w:rFonts w:hint="default" w:ascii="Times New Roman" w:hAnsi="Times New Roman" w:eastAsia="仿宋_GB2312" w:cs="Times New Roman"/>
          <w:color w:val="auto"/>
          <w:sz w:val="32"/>
          <w:szCs w:val="32"/>
          <w:highlight w:val="none"/>
        </w:rPr>
        <w:t>在项目管理方面，阿勒泰地区无线电管理</w:t>
      </w:r>
      <w:r>
        <w:rPr>
          <w:rFonts w:hint="eastAsia" w:ascii="Times New Roman" w:hAnsi="Times New Roman" w:eastAsia="仿宋_GB2312" w:cs="Times New Roman"/>
          <w:color w:val="auto"/>
          <w:sz w:val="32"/>
          <w:szCs w:val="32"/>
          <w:highlight w:val="none"/>
          <w:lang w:eastAsia="zh-CN"/>
        </w:rPr>
        <w:t>中心业务楼</w:t>
      </w:r>
      <w:r>
        <w:rPr>
          <w:rFonts w:hint="default" w:ascii="Times New Roman" w:hAnsi="Times New Roman" w:eastAsia="仿宋_GB2312" w:cs="Times New Roman"/>
          <w:color w:val="auto"/>
          <w:sz w:val="32"/>
          <w:szCs w:val="32"/>
          <w:highlight w:val="none"/>
        </w:rPr>
        <w:t>散水建设通过有效的规划、组织与协调，项目得以顺利实施，并在预算与时间上保持了良好的控制。</w:t>
      </w:r>
      <w:r>
        <w:rPr>
          <w:rFonts w:hint="eastAsia" w:ascii="Times New Roman" w:hAnsi="Times New Roman" w:eastAsia="仿宋_GB2312" w:cs="Times New Roman"/>
          <w:color w:val="auto"/>
          <w:sz w:val="32"/>
          <w:szCs w:val="32"/>
          <w:highlight w:val="none"/>
          <w:lang w:eastAsia="zh-CN"/>
        </w:rPr>
        <w:t>三是</w:t>
      </w:r>
      <w:r>
        <w:rPr>
          <w:rFonts w:hint="default" w:ascii="Times New Roman" w:hAnsi="Times New Roman" w:eastAsia="仿宋_GB2312" w:cs="Times New Roman"/>
          <w:color w:val="auto"/>
          <w:sz w:val="32"/>
          <w:szCs w:val="32"/>
          <w:highlight w:val="none"/>
        </w:rPr>
        <w:t>从项目效益的角度来看，本项目不仅实现了</w:t>
      </w:r>
      <w:r>
        <w:rPr>
          <w:rFonts w:hint="eastAsia" w:ascii="Times New Roman" w:hAnsi="Times New Roman" w:eastAsia="仿宋_GB2312" w:cs="Times New Roman"/>
          <w:color w:val="auto"/>
          <w:sz w:val="32"/>
          <w:szCs w:val="32"/>
          <w:highlight w:val="none"/>
          <w:lang w:val="en-US" w:eastAsia="zh-CN"/>
        </w:rPr>
        <w:t>保护墙基不受雨水侵蚀，保证房屋的巩固耐久，而且改善办公环境</w:t>
      </w:r>
      <w:r>
        <w:rPr>
          <w:rFonts w:hint="default" w:ascii="Times New Roman" w:hAnsi="Times New Roman" w:eastAsia="仿宋_GB2312" w:cs="Times New Roman"/>
          <w:color w:val="auto"/>
          <w:sz w:val="32"/>
          <w:szCs w:val="32"/>
          <w:highlight w:val="none"/>
        </w:rPr>
        <w:t>。综上所述，阿勒泰地区无线电管理</w:t>
      </w:r>
      <w:r>
        <w:rPr>
          <w:rFonts w:hint="eastAsia" w:ascii="Times New Roman" w:hAnsi="Times New Roman" w:eastAsia="仿宋_GB2312" w:cs="Times New Roman"/>
          <w:color w:val="auto"/>
          <w:sz w:val="32"/>
          <w:szCs w:val="32"/>
          <w:highlight w:val="none"/>
          <w:lang w:eastAsia="zh-CN"/>
        </w:rPr>
        <w:t>中心业务楼</w:t>
      </w:r>
      <w:r>
        <w:rPr>
          <w:rFonts w:hint="default" w:ascii="Times New Roman" w:hAnsi="Times New Roman" w:eastAsia="仿宋_GB2312" w:cs="Times New Roman"/>
          <w:color w:val="auto"/>
          <w:sz w:val="32"/>
          <w:szCs w:val="32"/>
          <w:highlight w:val="none"/>
        </w:rPr>
        <w:t>散水建设在绩效评价中表现出色，达到了项目的预期目标，并在多个方面取得了显著的成效</w:t>
      </w:r>
      <w:r>
        <w:rPr>
          <w:rFonts w:ascii="仿宋_GB2312" w:eastAsia="仿宋_GB2312"/>
          <w:b w:val="0"/>
          <w:color w:val="auto"/>
          <w:sz w:val="32"/>
          <w:szCs w:val="32"/>
        </w:rPr>
        <w:t>。发现的问题及原因：</w:t>
      </w:r>
      <w:r>
        <w:rPr>
          <w:rFonts w:hint="eastAsia" w:eastAsia="仿宋_GB2312" w:cs="Times New Roman"/>
          <w:color w:val="auto"/>
          <w:sz w:val="32"/>
          <w:szCs w:val="32"/>
          <w:highlight w:val="none"/>
          <w:lang w:val="en-US" w:eastAsia="zh-CN"/>
        </w:rPr>
        <w:t>一是项目成员对于项目管理方面专业知识的系统性学习有待加强，对预算立项的整体内容需要进一步细化；二是</w:t>
      </w:r>
      <w:r>
        <w:rPr>
          <w:rFonts w:hint="eastAsia" w:ascii="Times New Roman" w:hAnsi="Times New Roman" w:eastAsia="仿宋_GB2312" w:cs="Times New Roman"/>
          <w:color w:val="auto"/>
          <w:sz w:val="32"/>
          <w:szCs w:val="32"/>
          <w:highlight w:val="none"/>
          <w:lang w:val="en-US" w:eastAsia="zh-CN"/>
        </w:rPr>
        <w:t>工</w:t>
      </w:r>
      <w:r>
        <w:rPr>
          <w:rFonts w:hint="eastAsia" w:eastAsia="仿宋_GB2312" w:cs="Times New Roman"/>
          <w:color w:val="auto"/>
          <w:sz w:val="32"/>
          <w:szCs w:val="32"/>
          <w:highlight w:val="none"/>
          <w:lang w:val="en-US" w:eastAsia="zh-CN"/>
        </w:rPr>
        <w:t>作人员</w:t>
      </w:r>
      <w:r>
        <w:rPr>
          <w:rFonts w:hint="default" w:ascii="Times New Roman" w:hAnsi="Times New Roman" w:eastAsia="仿宋_GB2312" w:cs="Times New Roman"/>
          <w:color w:val="auto"/>
          <w:sz w:val="32"/>
          <w:szCs w:val="32"/>
          <w:highlight w:val="none"/>
          <w:lang w:val="en-US" w:eastAsia="zh-CN"/>
        </w:rPr>
        <w:t>在绩效自评过程中，由于部分人员缺乏相关绩效管理专业知识，自评价工作还存在自我审定的局限性，影响评价质量</w:t>
      </w:r>
      <w:r>
        <w:rPr>
          <w:rFonts w:hint="eastAsia" w:ascii="Times New Roman" w:hAnsi="Times New Roman" w:eastAsia="仿宋_GB2312" w:cs="Times New Roman"/>
          <w:color w:val="auto"/>
          <w:sz w:val="32"/>
          <w:szCs w:val="32"/>
          <w:highlight w:val="none"/>
          <w:lang w:val="en-US" w:eastAsia="zh-CN"/>
        </w:rPr>
        <w:t>；三是</w:t>
      </w:r>
      <w:r>
        <w:rPr>
          <w:rFonts w:hint="default" w:ascii="Times New Roman" w:hAnsi="Times New Roman" w:eastAsia="仿宋_GB2312" w:cs="Times New Roman"/>
          <w:color w:val="auto"/>
          <w:sz w:val="32"/>
          <w:szCs w:val="32"/>
          <w:highlight w:val="none"/>
          <w:lang w:val="en-US" w:eastAsia="zh-CN"/>
        </w:rPr>
        <w:t>因轮岗、调动</w:t>
      </w:r>
      <w:r>
        <w:rPr>
          <w:rFonts w:hint="eastAsia" w:ascii="Times New Roman" w:hAnsi="Times New Roman" w:eastAsia="仿宋_GB2312" w:cs="Times New Roman"/>
          <w:color w:val="auto"/>
          <w:sz w:val="32"/>
          <w:szCs w:val="32"/>
          <w:highlight w:val="none"/>
          <w:lang w:val="en-US" w:eastAsia="zh-CN"/>
        </w:rPr>
        <w:t>等</w:t>
      </w:r>
      <w:r>
        <w:rPr>
          <w:rFonts w:hint="default" w:ascii="Times New Roman" w:hAnsi="Times New Roman" w:eastAsia="仿宋_GB2312" w:cs="Times New Roman"/>
          <w:color w:val="auto"/>
          <w:sz w:val="32"/>
          <w:szCs w:val="32"/>
          <w:highlight w:val="none"/>
          <w:lang w:val="en-US" w:eastAsia="zh-CN"/>
        </w:rPr>
        <w:t>因素使我单位绩效工作人员流动频繁，</w:t>
      </w:r>
      <w:r>
        <w:rPr>
          <w:rFonts w:hint="eastAsia" w:ascii="Times New Roman" w:hAnsi="Times New Roman" w:eastAsia="仿宋_GB2312" w:cs="Times New Roman"/>
          <w:color w:val="auto"/>
          <w:sz w:val="32"/>
          <w:szCs w:val="32"/>
          <w:highlight w:val="none"/>
          <w:lang w:val="en-US" w:eastAsia="zh-CN"/>
        </w:rPr>
        <w:t>造成</w:t>
      </w:r>
      <w:r>
        <w:rPr>
          <w:rFonts w:hint="default" w:ascii="Times New Roman" w:hAnsi="Times New Roman" w:eastAsia="仿宋_GB2312" w:cs="Times New Roman"/>
          <w:color w:val="auto"/>
          <w:sz w:val="32"/>
          <w:szCs w:val="32"/>
          <w:highlight w:val="none"/>
          <w:lang w:val="en-US" w:eastAsia="zh-CN"/>
        </w:rPr>
        <w:t>工作衔接不到位的情况。</w:t>
      </w:r>
      <w:r>
        <w:rPr>
          <w:rFonts w:ascii="仿宋_GB2312" w:eastAsia="仿宋_GB2312"/>
          <w:b w:val="0"/>
          <w:color w:val="auto"/>
          <w:sz w:val="32"/>
          <w:szCs w:val="32"/>
        </w:rPr>
        <w:t>下一步改进措施：</w:t>
      </w:r>
      <w:r>
        <w:rPr>
          <w:rFonts w:hint="eastAsia" w:ascii="Times New Roman" w:hAnsi="Times New Roman" w:eastAsia="仿宋_GB2312" w:cs="Times New Roman"/>
          <w:color w:val="auto"/>
          <w:sz w:val="32"/>
          <w:szCs w:val="32"/>
          <w:highlight w:val="none"/>
          <w:lang w:val="en-US" w:eastAsia="zh-CN"/>
        </w:rPr>
        <w:t>一是</w:t>
      </w:r>
      <w:r>
        <w:rPr>
          <w:rFonts w:hint="default" w:ascii="Times New Roman" w:hAnsi="Times New Roman" w:eastAsia="仿宋_GB2312" w:cs="Times New Roman"/>
          <w:color w:val="auto"/>
          <w:sz w:val="32"/>
          <w:szCs w:val="32"/>
          <w:highlight w:val="none"/>
          <w:lang w:val="en-US" w:eastAsia="zh-CN"/>
        </w:rPr>
        <w:t>积极</w:t>
      </w:r>
      <w:r>
        <w:rPr>
          <w:rFonts w:hint="eastAsia" w:ascii="Times New Roman" w:hAnsi="Times New Roman" w:eastAsia="仿宋_GB2312" w:cs="Times New Roman"/>
          <w:color w:val="auto"/>
          <w:sz w:val="32"/>
          <w:szCs w:val="32"/>
          <w:highlight w:val="none"/>
          <w:lang w:val="en-US" w:eastAsia="zh-CN"/>
        </w:rPr>
        <w:t>参加</w:t>
      </w:r>
      <w:r>
        <w:rPr>
          <w:rFonts w:hint="default" w:ascii="Times New Roman" w:hAnsi="Times New Roman" w:eastAsia="仿宋_GB2312" w:cs="Times New Roman"/>
          <w:color w:val="auto"/>
          <w:sz w:val="32"/>
          <w:szCs w:val="32"/>
          <w:highlight w:val="none"/>
          <w:lang w:val="en-US" w:eastAsia="zh-CN"/>
        </w:rPr>
        <w:t>有关绩效管理工作方面的培训，进一步夯实业务基础，提高我单位绩效人员水平</w:t>
      </w:r>
      <w:r>
        <w:rPr>
          <w:rFonts w:hint="eastAsia" w:ascii="Times New Roman" w:hAnsi="Times New Roman" w:eastAsia="仿宋_GB2312" w:cs="Times New Roman"/>
          <w:color w:val="auto"/>
          <w:sz w:val="32"/>
          <w:szCs w:val="32"/>
          <w:highlight w:val="none"/>
          <w:lang w:val="en-US" w:eastAsia="zh-CN"/>
        </w:rPr>
        <w:t>；二是</w:t>
      </w:r>
      <w:r>
        <w:rPr>
          <w:rFonts w:hint="default" w:ascii="Times New Roman" w:hAnsi="Times New Roman" w:eastAsia="仿宋_GB2312" w:cs="Times New Roman"/>
          <w:color w:val="auto"/>
          <w:sz w:val="32"/>
          <w:szCs w:val="32"/>
          <w:highlight w:val="none"/>
          <w:lang w:val="en-US" w:eastAsia="zh-CN"/>
        </w:rPr>
        <w:t>专门设定对绩效工作人员定职、定岗、定责等相关制度措施，进一步提升我单位绩效管理工作业务水平，扎实做好绩效管理工作</w:t>
      </w:r>
      <w:r>
        <w:rPr>
          <w:rFonts w:hint="eastAsia" w:ascii="Times New Roman" w:hAnsi="Times New Roman" w:eastAsia="仿宋_GB2312" w:cs="Times New Roman"/>
          <w:color w:val="auto"/>
          <w:sz w:val="32"/>
          <w:szCs w:val="32"/>
          <w:highlight w:val="none"/>
          <w:lang w:val="en-US" w:eastAsia="zh-CN"/>
        </w:rPr>
        <w:t>；三是</w:t>
      </w:r>
      <w:r>
        <w:rPr>
          <w:rFonts w:hint="default" w:ascii="Times New Roman" w:hAnsi="Times New Roman" w:eastAsia="仿宋_GB2312" w:cs="Times New Roman"/>
          <w:color w:val="auto"/>
          <w:sz w:val="32"/>
          <w:szCs w:val="32"/>
          <w:highlight w:val="none"/>
          <w:lang w:val="en-US" w:eastAsia="zh-CN"/>
        </w:rPr>
        <w:t>进一步规范项目建设的程序。项目前期做好可行性研究报告，更加细化实施方案，严格执行资金管理办法和财政资金管理制度，严格按照项目实施方案、招投标管理办法等稳步推进工作，根据自己项目的特点进行总结</w:t>
      </w:r>
      <w:r>
        <w:rPr>
          <w:rFonts w:hint="eastAsia" w:ascii="Times New Roman" w:hAnsi="Times New Roman" w:eastAsia="仿宋_GB2312" w:cs="Times New Roman"/>
          <w:color w:val="auto"/>
          <w:sz w:val="32"/>
          <w:szCs w:val="32"/>
          <w:highlight w:val="none"/>
          <w:lang w:val="en-US" w:eastAsia="zh-CN"/>
        </w:rPr>
        <w:t>；四是</w:t>
      </w:r>
      <w:r>
        <w:rPr>
          <w:rFonts w:hint="default" w:ascii="Times New Roman" w:hAnsi="Times New Roman" w:eastAsia="仿宋_GB2312" w:cs="Times New Roman"/>
          <w:color w:val="auto"/>
          <w:sz w:val="32"/>
          <w:szCs w:val="32"/>
          <w:highlight w:val="none"/>
          <w:lang w:val="en-US" w:eastAsia="zh-CN"/>
        </w:rPr>
        <w:t>进一步完善项目评价过程中有关数据和资料的收集、整理、审核及分析。项目启动时同步做好档案的归纳与整理，及时整理、收集、汇总，健全档案资料。项目后续管理有待进一步加强和跟踪</w:t>
      </w:r>
      <w:r>
        <w:rPr>
          <w:rFonts w:hint="eastAsia" w:ascii="Times New Roman" w:hAnsi="Times New Roman" w:eastAsia="仿宋_GB2312" w:cs="Times New Roman"/>
          <w:color w:val="auto"/>
          <w:sz w:val="32"/>
          <w:szCs w:val="32"/>
          <w:highlight w:val="none"/>
          <w:lang w:val="en-US" w:eastAsia="zh-CN"/>
        </w:rPr>
        <w:t>。五是</w:t>
      </w:r>
      <w:r>
        <w:rPr>
          <w:rFonts w:hint="default" w:ascii="Times New Roman" w:hAnsi="Times New Roman" w:eastAsia="仿宋_GB2312" w:cs="Times New Roman"/>
          <w:color w:val="auto"/>
          <w:sz w:val="32"/>
          <w:szCs w:val="32"/>
          <w:highlight w:val="none"/>
          <w:lang w:val="en-US" w:eastAsia="zh-CN"/>
        </w:rPr>
        <w:t>进一步加强对绩效管理工作的组织领导，提高对预算绩效管理工作重要性的认识，总结经验查找问题，抓紧研究制定更全面更完善的绩效评价管理办法。</w:t>
      </w:r>
      <w:r>
        <w:rPr>
          <w:rFonts w:ascii="仿宋_GB2312" w:eastAsia="仿宋_GB2312"/>
          <w:b w:val="0"/>
          <w:color w:val="auto"/>
          <w:sz w:val="32"/>
          <w:szCs w:val="32"/>
        </w:rPr>
        <w:t>具体附项目支出绩效自评表和部门评价报告。</w:t>
      </w:r>
    </w:p>
    <w:p w14:paraId="31B73163">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outlineLvl w:val="1"/>
        <w:rPr>
          <w:rFonts w:ascii="黑体" w:eastAsia="黑体"/>
          <w:color w:val="auto"/>
          <w:sz w:val="32"/>
          <w:szCs w:val="32"/>
        </w:rPr>
      </w:pPr>
      <w:r>
        <w:rPr>
          <w:rFonts w:ascii="黑体" w:eastAsia="黑体"/>
          <w:b w:val="0"/>
          <w:color w:val="auto"/>
          <w:sz w:val="32"/>
          <w:szCs w:val="32"/>
        </w:rPr>
        <w:t>十二、其他需说明的事项</w:t>
      </w:r>
    </w:p>
    <w:p w14:paraId="7815C926">
      <w:pPr>
        <w:keepNext w:val="0"/>
        <w:keepLines w:val="0"/>
        <w:pageBreakBefore w:val="0"/>
        <w:widowControl/>
        <w:kinsoku/>
        <w:wordWrap/>
        <w:overflowPunct/>
        <w:topLinePunct w:val="0"/>
        <w:autoSpaceDE/>
        <w:autoSpaceDN/>
        <w:bidi w:val="0"/>
        <w:adjustRightInd/>
        <w:spacing w:before="0" w:beforeAutospacing="0" w:after="0" w:afterAutospacing="0" w:line="520" w:lineRule="exact"/>
        <w:ind w:firstLine="640" w:firstLineChars="200"/>
        <w:jc w:val="both"/>
        <w:textAlignment w:val="auto"/>
        <w:rPr>
          <w:rFonts w:ascii="仿宋_GB2312" w:eastAsia="仿宋_GB2312"/>
          <w:color w:val="auto"/>
          <w:sz w:val="32"/>
          <w:szCs w:val="32"/>
        </w:rPr>
      </w:pPr>
      <w:r>
        <w:rPr>
          <w:rFonts w:ascii="仿宋_GB2312" w:eastAsia="仿宋_GB2312"/>
          <w:b w:val="0"/>
          <w:color w:val="auto"/>
          <w:sz w:val="32"/>
          <w:szCs w:val="32"/>
        </w:rPr>
        <w:t>本单位无其他需说明事项。</w:t>
      </w:r>
    </w:p>
    <w:p w14:paraId="789E7F49">
      <w:pPr>
        <w:widowControl/>
        <w:spacing w:before="0" w:beforeLines="0" w:beforeAutospacing="0" w:after="0" w:afterLines="0" w:afterAutospacing="0" w:line="240" w:lineRule="auto"/>
        <w:ind w:firstLine="640" w:firstLineChars="200"/>
        <w:jc w:val="left"/>
        <w:rPr>
          <w:rFonts w:ascii="仿宋_GB2312" w:eastAsia="仿宋_GB2312"/>
          <w:color w:val="auto"/>
          <w:sz w:val="32"/>
          <w:szCs w:val="32"/>
        </w:rPr>
      </w:pPr>
    </w:p>
    <w:p w14:paraId="3FBEAE7C">
      <w:pPr>
        <w:widowControl/>
      </w:pPr>
      <w:r>
        <w:rPr>
          <w:b w:val="0"/>
          <w:sz w:val="0"/>
          <w:szCs w:val="0"/>
        </w:rPr>
        <w:br w:type="page"/>
      </w:r>
    </w:p>
    <w:p w14:paraId="222A2586">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14:paraId="16110C1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682F8D6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3EF221B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1556472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06B236E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637BDC4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14:paraId="1740CA9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76A75A1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65FECD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1B22271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0116E45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5128A43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3977B76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365B5C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3A79692C">
      <w:pPr>
        <w:widowControl/>
      </w:pPr>
      <w:r>
        <w:rPr>
          <w:b w:val="0"/>
          <w:sz w:val="0"/>
          <w:szCs w:val="0"/>
        </w:rPr>
        <w:br w:type="page"/>
      </w:r>
    </w:p>
    <w:p w14:paraId="6AC2E313">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14:paraId="5037E1C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1B863CB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298F199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4B91EF0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27928F52">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66EB30F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3BFE8B2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39AAD4D7">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674849D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33D00"/>
    <w:rsid w:val="01317F69"/>
    <w:rsid w:val="019F18FD"/>
    <w:rsid w:val="02A42ACD"/>
    <w:rsid w:val="03741E14"/>
    <w:rsid w:val="04583A5F"/>
    <w:rsid w:val="045B52FD"/>
    <w:rsid w:val="046F64B5"/>
    <w:rsid w:val="05557F9E"/>
    <w:rsid w:val="05AA0B19"/>
    <w:rsid w:val="05C0008F"/>
    <w:rsid w:val="05F575BE"/>
    <w:rsid w:val="06135E8F"/>
    <w:rsid w:val="06E3363B"/>
    <w:rsid w:val="072639A0"/>
    <w:rsid w:val="07B147D3"/>
    <w:rsid w:val="088E3EF3"/>
    <w:rsid w:val="08FD5FAF"/>
    <w:rsid w:val="0B5A650F"/>
    <w:rsid w:val="0BE81B6C"/>
    <w:rsid w:val="0C4548C9"/>
    <w:rsid w:val="0D0429D6"/>
    <w:rsid w:val="0D335069"/>
    <w:rsid w:val="0D70006B"/>
    <w:rsid w:val="0DB5782C"/>
    <w:rsid w:val="0ECE329B"/>
    <w:rsid w:val="0ED5003F"/>
    <w:rsid w:val="10482BD9"/>
    <w:rsid w:val="10C967E4"/>
    <w:rsid w:val="11392E77"/>
    <w:rsid w:val="117A5014"/>
    <w:rsid w:val="118047C0"/>
    <w:rsid w:val="11FD79F3"/>
    <w:rsid w:val="123E54D2"/>
    <w:rsid w:val="125735A8"/>
    <w:rsid w:val="13A81B69"/>
    <w:rsid w:val="14A90AA9"/>
    <w:rsid w:val="15394E3B"/>
    <w:rsid w:val="16361726"/>
    <w:rsid w:val="17141CB3"/>
    <w:rsid w:val="172F196D"/>
    <w:rsid w:val="192B4E46"/>
    <w:rsid w:val="1CA70C88"/>
    <w:rsid w:val="1D167BBB"/>
    <w:rsid w:val="1D1F4CC2"/>
    <w:rsid w:val="1DB55626"/>
    <w:rsid w:val="1E844CEA"/>
    <w:rsid w:val="1F5D4D28"/>
    <w:rsid w:val="1F72557D"/>
    <w:rsid w:val="1FF71F26"/>
    <w:rsid w:val="204A40E1"/>
    <w:rsid w:val="207672EF"/>
    <w:rsid w:val="20EE157B"/>
    <w:rsid w:val="2109347C"/>
    <w:rsid w:val="211508B6"/>
    <w:rsid w:val="21F751DA"/>
    <w:rsid w:val="220D7C54"/>
    <w:rsid w:val="224D0523"/>
    <w:rsid w:val="22785847"/>
    <w:rsid w:val="22C73E32"/>
    <w:rsid w:val="234158F3"/>
    <w:rsid w:val="239D2DE4"/>
    <w:rsid w:val="23BE1B0F"/>
    <w:rsid w:val="24BB237C"/>
    <w:rsid w:val="253D662D"/>
    <w:rsid w:val="255715D3"/>
    <w:rsid w:val="257D4C7B"/>
    <w:rsid w:val="25EC3BAF"/>
    <w:rsid w:val="25F413E1"/>
    <w:rsid w:val="265875BA"/>
    <w:rsid w:val="268564DD"/>
    <w:rsid w:val="27632E99"/>
    <w:rsid w:val="27B626C7"/>
    <w:rsid w:val="27C97A47"/>
    <w:rsid w:val="27E94FC7"/>
    <w:rsid w:val="2AAF4D53"/>
    <w:rsid w:val="2B283BFC"/>
    <w:rsid w:val="2B620F43"/>
    <w:rsid w:val="2BBA01D0"/>
    <w:rsid w:val="2BEA0B91"/>
    <w:rsid w:val="2DB31B82"/>
    <w:rsid w:val="2DF81343"/>
    <w:rsid w:val="2EDE49DD"/>
    <w:rsid w:val="2EF04710"/>
    <w:rsid w:val="2EFC42BF"/>
    <w:rsid w:val="2F357158"/>
    <w:rsid w:val="2FAE5A55"/>
    <w:rsid w:val="2FED6D03"/>
    <w:rsid w:val="30316D8E"/>
    <w:rsid w:val="32584AA6"/>
    <w:rsid w:val="330B38C7"/>
    <w:rsid w:val="357C00B2"/>
    <w:rsid w:val="3721397C"/>
    <w:rsid w:val="378E4AC6"/>
    <w:rsid w:val="379A3C68"/>
    <w:rsid w:val="37C87FD8"/>
    <w:rsid w:val="383323DC"/>
    <w:rsid w:val="38806B05"/>
    <w:rsid w:val="38F25679"/>
    <w:rsid w:val="38FB4FF0"/>
    <w:rsid w:val="3A086DB2"/>
    <w:rsid w:val="3A3C2EFF"/>
    <w:rsid w:val="3A816B64"/>
    <w:rsid w:val="3B2F4A17"/>
    <w:rsid w:val="3B56386B"/>
    <w:rsid w:val="3B697D24"/>
    <w:rsid w:val="3B842468"/>
    <w:rsid w:val="3C17152E"/>
    <w:rsid w:val="3CB90A0D"/>
    <w:rsid w:val="3DA52B6A"/>
    <w:rsid w:val="3E6C1E03"/>
    <w:rsid w:val="3F982986"/>
    <w:rsid w:val="42B820B6"/>
    <w:rsid w:val="43A833B4"/>
    <w:rsid w:val="442C1620"/>
    <w:rsid w:val="45124F88"/>
    <w:rsid w:val="458B6AE9"/>
    <w:rsid w:val="46110EB4"/>
    <w:rsid w:val="467B0319"/>
    <w:rsid w:val="469D13FC"/>
    <w:rsid w:val="48027536"/>
    <w:rsid w:val="4934660C"/>
    <w:rsid w:val="4B5F07FC"/>
    <w:rsid w:val="4BAD5A0B"/>
    <w:rsid w:val="4C5F7496"/>
    <w:rsid w:val="4D671BE9"/>
    <w:rsid w:val="4DF23BA9"/>
    <w:rsid w:val="4FF0236A"/>
    <w:rsid w:val="50033E4B"/>
    <w:rsid w:val="51340035"/>
    <w:rsid w:val="515626A1"/>
    <w:rsid w:val="51986815"/>
    <w:rsid w:val="51EE67A6"/>
    <w:rsid w:val="51F577C4"/>
    <w:rsid w:val="530106B2"/>
    <w:rsid w:val="53AE40CE"/>
    <w:rsid w:val="54624EB9"/>
    <w:rsid w:val="546B1FBF"/>
    <w:rsid w:val="547A0454"/>
    <w:rsid w:val="571B5F1F"/>
    <w:rsid w:val="573214BA"/>
    <w:rsid w:val="584871A4"/>
    <w:rsid w:val="58FB60FF"/>
    <w:rsid w:val="58FC2190"/>
    <w:rsid w:val="59066C26"/>
    <w:rsid w:val="59680BBD"/>
    <w:rsid w:val="5AB00DB4"/>
    <w:rsid w:val="5C02145B"/>
    <w:rsid w:val="5C0A6562"/>
    <w:rsid w:val="5C1A7F01"/>
    <w:rsid w:val="5CCE57E1"/>
    <w:rsid w:val="5D973E25"/>
    <w:rsid w:val="5D9F0C51"/>
    <w:rsid w:val="600B28A8"/>
    <w:rsid w:val="605B3830"/>
    <w:rsid w:val="60EB4C98"/>
    <w:rsid w:val="612D346D"/>
    <w:rsid w:val="61677FB2"/>
    <w:rsid w:val="61772BEE"/>
    <w:rsid w:val="61C10DC1"/>
    <w:rsid w:val="622151FD"/>
    <w:rsid w:val="623F6839"/>
    <w:rsid w:val="62433521"/>
    <w:rsid w:val="62C27B96"/>
    <w:rsid w:val="63852368"/>
    <w:rsid w:val="66886A01"/>
    <w:rsid w:val="67827904"/>
    <w:rsid w:val="68424A89"/>
    <w:rsid w:val="68906664"/>
    <w:rsid w:val="68BE52F1"/>
    <w:rsid w:val="69E71F70"/>
    <w:rsid w:val="6B715718"/>
    <w:rsid w:val="6BD01177"/>
    <w:rsid w:val="6C202F44"/>
    <w:rsid w:val="6C6770B8"/>
    <w:rsid w:val="6C940356"/>
    <w:rsid w:val="6D7B72BF"/>
    <w:rsid w:val="70B616E7"/>
    <w:rsid w:val="72E0372C"/>
    <w:rsid w:val="73812B19"/>
    <w:rsid w:val="73B93D0D"/>
    <w:rsid w:val="747131CA"/>
    <w:rsid w:val="769D3E02"/>
    <w:rsid w:val="76B17511"/>
    <w:rsid w:val="778A1F2E"/>
    <w:rsid w:val="78F16688"/>
    <w:rsid w:val="79625133"/>
    <w:rsid w:val="79E54CC5"/>
    <w:rsid w:val="7A677CDA"/>
    <w:rsid w:val="7B3757DD"/>
    <w:rsid w:val="7BFF2E69"/>
    <w:rsid w:val="7D9905BF"/>
    <w:rsid w:val="7E843AFA"/>
    <w:rsid w:val="7FC921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Body Text"/>
    <w:basedOn w:val="1"/>
    <w:next w:val="1"/>
    <w:qFormat/>
    <w:uiPriority w:val="0"/>
    <w:pPr>
      <w:widowControl/>
      <w:spacing w:before="100" w:beforeAutospacing="1" w:after="100" w:afterAutospacing="1"/>
      <w:jc w:val="left"/>
    </w:pPr>
    <w:rPr>
      <w:rFonts w:ascii="宋体" w:hAnsi="宋体" w:cs="宋体"/>
      <w:kern w:val="0"/>
      <w:sz w:val="24"/>
    </w:rPr>
  </w:style>
  <w:style w:type="paragraph" w:styleId="9">
    <w:name w:val="header"/>
    <w:basedOn w:val="1"/>
    <w:link w:val="18"/>
    <w:unhideWhenUsed/>
    <w:qFormat/>
    <w:uiPriority w:val="99"/>
    <w:pPr>
      <w:tabs>
        <w:tab w:val="center" w:pos="4680"/>
        <w:tab w:val="right" w:pos="9360"/>
      </w:tabs>
    </w:pPr>
  </w:style>
  <w:style w:type="paragraph" w:styleId="10">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4">
    <w:name w:val="Table Grid"/>
    <w:basedOn w:val="13"/>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6">
    <w:name w:val="Emphasis"/>
    <w:basedOn w:val="15"/>
    <w:qFormat/>
    <w:uiPriority w:val="20"/>
    <w:rPr>
      <w:i/>
      <w:i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Header Char"/>
    <w:basedOn w:val="15"/>
    <w:link w:val="9"/>
    <w:qFormat/>
    <w:uiPriority w:val="99"/>
  </w:style>
  <w:style w:type="character" w:customStyle="1" w:styleId="19">
    <w:name w:val="Heading 1 Char"/>
    <w:basedOn w:val="15"/>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20">
    <w:name w:val="Heading 2 Char"/>
    <w:basedOn w:val="15"/>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21">
    <w:name w:val="Heading 3 Char"/>
    <w:basedOn w:val="15"/>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2">
    <w:name w:val="Heading 4 Char"/>
    <w:basedOn w:val="15"/>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3">
    <w:name w:val="Subtitle Char"/>
    <w:basedOn w:val="15"/>
    <w:link w:val="1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4">
    <w:name w:val="Title Char"/>
    <w:basedOn w:val="15"/>
    <w:link w:val="12"/>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16</Pages>
  <Words>6400</Words>
  <Characters>7028</Characters>
  <TotalTime>25</TotalTime>
  <ScaleCrop>false</ScaleCrop>
  <LinksUpToDate>false</LinksUpToDate>
  <CharactersWithSpaces>7031</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2025-08-18T11:35:00Z</dcterms:created>
  <dc:creator>Administrator</dc:creator>
  <cp:lastModifiedBy>久溺深海</cp:lastModifiedBy>
  <dcterms:modified xsi:type="dcterms:W3CDTF">2025-08-26T11:18:36Z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FFA791F0922C4709A1DF51968F7A4A63_13</vt:lpwstr>
  </property>
  <property fmtid="{D5CDD505-2E9C-101B-9397-08002B2CF9AE}" pid="4" name="KSOTemplateDocerSaveRecord">
    <vt:lpwstr>eyJoZGlkIjoiNmZkMjYyYzAxYjhmOGVmYjRhNDdiNWU4MjMwYTAyNjgiLCJ1c2VySWQiOiIyNTIzNDE3MTMifQ==</vt:lpwstr>
  </property>
</Properties>
</file>