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B4B09">
      <w:pPr>
        <w:spacing w:line="540" w:lineRule="exact"/>
        <w:jc w:val="center"/>
        <w:rPr>
          <w:rFonts w:hint="default" w:ascii="Times New Roman" w:hAnsi="Times New Roman" w:eastAsia="华文中宋" w:cs="Times New Roman"/>
          <w:b/>
          <w:kern w:val="0"/>
          <w:sz w:val="52"/>
          <w:szCs w:val="52"/>
        </w:rPr>
      </w:pPr>
    </w:p>
    <w:p w14:paraId="61420F6F">
      <w:pPr>
        <w:spacing w:line="540" w:lineRule="exact"/>
        <w:rPr>
          <w:rFonts w:hint="default" w:ascii="Times New Roman" w:hAnsi="Times New Roman" w:eastAsia="华文中宋" w:cs="Times New Roman"/>
          <w:b/>
          <w:kern w:val="0"/>
          <w:sz w:val="52"/>
          <w:szCs w:val="52"/>
        </w:rPr>
      </w:pPr>
    </w:p>
    <w:p w14:paraId="55BA5241">
      <w:pPr>
        <w:spacing w:line="540" w:lineRule="exact"/>
        <w:jc w:val="center"/>
        <w:rPr>
          <w:rFonts w:hint="default" w:ascii="Times New Roman" w:hAnsi="Times New Roman" w:eastAsia="华文中宋" w:cs="Times New Roman"/>
          <w:b/>
          <w:kern w:val="0"/>
          <w:sz w:val="52"/>
          <w:szCs w:val="52"/>
        </w:rPr>
      </w:pPr>
    </w:p>
    <w:p w14:paraId="31C871FD">
      <w:pPr>
        <w:spacing w:line="540" w:lineRule="exact"/>
        <w:jc w:val="center"/>
        <w:rPr>
          <w:rFonts w:hint="default" w:ascii="Times New Roman" w:hAnsi="Times New Roman" w:eastAsia="华文中宋" w:cs="Times New Roman"/>
          <w:b/>
          <w:kern w:val="0"/>
          <w:sz w:val="52"/>
          <w:szCs w:val="52"/>
        </w:rPr>
      </w:pPr>
    </w:p>
    <w:p w14:paraId="32AC0F20">
      <w:pPr>
        <w:spacing w:line="540" w:lineRule="exact"/>
        <w:jc w:val="center"/>
        <w:rPr>
          <w:rFonts w:hint="eastAsia" w:eastAsia="方正小标宋_GBK" w:cs="Times New Roman"/>
          <w:kern w:val="0"/>
          <w:sz w:val="48"/>
          <w:szCs w:val="48"/>
          <w:lang w:val="en-US" w:eastAsia="zh-CN"/>
        </w:rPr>
      </w:pPr>
      <w:r>
        <w:rPr>
          <w:rFonts w:hint="eastAsia" w:eastAsia="方正小标宋_GBK" w:cs="Times New Roman"/>
          <w:kern w:val="0"/>
          <w:sz w:val="48"/>
          <w:szCs w:val="48"/>
          <w:lang w:val="en-US" w:eastAsia="zh-CN"/>
        </w:rPr>
        <w:t>阿勒泰地区无线电管理局中心</w:t>
      </w:r>
    </w:p>
    <w:p w14:paraId="42D6F490">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14:paraId="6DF623EC">
      <w:pPr>
        <w:spacing w:line="540" w:lineRule="exact"/>
        <w:jc w:val="center"/>
        <w:rPr>
          <w:rFonts w:hint="default" w:ascii="Times New Roman" w:hAnsi="Times New Roman" w:eastAsia="华文中宋" w:cs="Times New Roman"/>
          <w:b/>
          <w:kern w:val="0"/>
          <w:sz w:val="52"/>
          <w:szCs w:val="52"/>
        </w:rPr>
      </w:pPr>
    </w:p>
    <w:p w14:paraId="77B6C2D1">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B1A7845">
      <w:pPr>
        <w:spacing w:line="540" w:lineRule="exact"/>
        <w:jc w:val="center"/>
        <w:rPr>
          <w:rFonts w:hint="default" w:ascii="Times New Roman" w:hAnsi="Times New Roman" w:eastAsia="仿宋_GB2312" w:cs="Times New Roman"/>
          <w:kern w:val="0"/>
          <w:sz w:val="30"/>
          <w:szCs w:val="30"/>
        </w:rPr>
      </w:pPr>
    </w:p>
    <w:p w14:paraId="271BF1B8">
      <w:pPr>
        <w:spacing w:line="540" w:lineRule="exact"/>
        <w:jc w:val="center"/>
        <w:rPr>
          <w:rFonts w:hint="default" w:ascii="Times New Roman" w:hAnsi="Times New Roman" w:eastAsia="仿宋_GB2312" w:cs="Times New Roman"/>
          <w:kern w:val="0"/>
          <w:sz w:val="30"/>
          <w:szCs w:val="30"/>
        </w:rPr>
      </w:pPr>
    </w:p>
    <w:p w14:paraId="3B80EDFD">
      <w:pPr>
        <w:spacing w:line="540" w:lineRule="exact"/>
        <w:jc w:val="center"/>
        <w:rPr>
          <w:rFonts w:hint="default" w:ascii="Times New Roman" w:hAnsi="Times New Roman" w:eastAsia="仿宋_GB2312" w:cs="Times New Roman"/>
          <w:kern w:val="0"/>
          <w:sz w:val="30"/>
          <w:szCs w:val="30"/>
        </w:rPr>
      </w:pPr>
    </w:p>
    <w:p w14:paraId="1BCBC268">
      <w:pPr>
        <w:pStyle w:val="2"/>
        <w:rPr>
          <w:rFonts w:hint="default" w:ascii="Times New Roman" w:hAnsi="Times New Roman" w:cs="Times New Roman"/>
        </w:rPr>
      </w:pPr>
    </w:p>
    <w:p w14:paraId="02420480">
      <w:pPr>
        <w:spacing w:line="540" w:lineRule="exact"/>
        <w:jc w:val="center"/>
        <w:rPr>
          <w:rFonts w:hint="default" w:ascii="Times New Roman" w:hAnsi="Times New Roman" w:eastAsia="仿宋_GB2312" w:cs="Times New Roman"/>
          <w:kern w:val="0"/>
          <w:sz w:val="30"/>
          <w:szCs w:val="30"/>
        </w:rPr>
      </w:pPr>
    </w:p>
    <w:p w14:paraId="214BC261">
      <w:pPr>
        <w:spacing w:line="540" w:lineRule="exact"/>
        <w:rPr>
          <w:rFonts w:hint="default" w:ascii="Times New Roman" w:hAnsi="Times New Roman" w:eastAsia="仿宋_GB2312" w:cs="Times New Roman"/>
          <w:kern w:val="0"/>
          <w:sz w:val="30"/>
          <w:szCs w:val="30"/>
        </w:rPr>
      </w:pPr>
    </w:p>
    <w:p w14:paraId="400C1887">
      <w:pPr>
        <w:spacing w:line="540" w:lineRule="exact"/>
        <w:jc w:val="center"/>
        <w:rPr>
          <w:rFonts w:hint="default" w:ascii="Times New Roman" w:hAnsi="Times New Roman" w:eastAsia="仿宋_GB2312" w:cs="Times New Roman"/>
          <w:spacing w:val="-20"/>
          <w:kern w:val="0"/>
          <w:sz w:val="36"/>
          <w:szCs w:val="36"/>
        </w:rPr>
      </w:pPr>
      <w:r>
        <w:rPr>
          <w:rFonts w:hint="default" w:ascii="Times New Roman" w:hAnsi="Times New Roman" w:eastAsia="仿宋_GB2312" w:cs="Times New Roman"/>
          <w:kern w:val="0"/>
          <w:sz w:val="36"/>
          <w:szCs w:val="36"/>
        </w:rPr>
        <w:t>项目名称：</w:t>
      </w:r>
      <w:r>
        <w:rPr>
          <w:rFonts w:hint="default" w:ascii="Times New Roman" w:hAnsi="Times New Roman" w:eastAsia="仿宋_GB2312" w:cs="Times New Roman"/>
          <w:spacing w:val="-20"/>
          <w:kern w:val="0"/>
          <w:sz w:val="36"/>
          <w:szCs w:val="36"/>
        </w:rPr>
        <w:t>阿勒泰地区无线电管理局办公楼散水建设</w:t>
      </w:r>
    </w:p>
    <w:p w14:paraId="1A0C7248">
      <w:pPr>
        <w:spacing w:line="540" w:lineRule="exact"/>
        <w:jc w:val="center"/>
        <w:rPr>
          <w:rFonts w:hint="default" w:ascii="Times New Roman" w:hAnsi="Times New Roman" w:eastAsia="仿宋_GB2312" w:cs="Times New Roman"/>
          <w:spacing w:val="-40"/>
          <w:kern w:val="0"/>
          <w:sz w:val="36"/>
          <w:szCs w:val="36"/>
          <w:highlight w:val="yellow"/>
          <w:lang w:val="en-US" w:eastAsia="zh-CN"/>
        </w:rPr>
      </w:pPr>
      <w:r>
        <w:rPr>
          <w:rFonts w:hint="default" w:ascii="Times New Roman" w:hAnsi="Times New Roman" w:eastAsia="仿宋_GB2312" w:cs="Times New Roman"/>
          <w:kern w:val="0"/>
          <w:sz w:val="36"/>
          <w:szCs w:val="36"/>
          <w:highlight w:val="none"/>
        </w:rPr>
        <w:t>实施单位（公章）：</w:t>
      </w:r>
      <w:r>
        <w:rPr>
          <w:rFonts w:hint="eastAsia" w:ascii="Times New Roman" w:hAnsi="Times New Roman" w:eastAsia="仿宋_GB2312" w:cs="Times New Roman"/>
          <w:spacing w:val="-20"/>
          <w:kern w:val="0"/>
          <w:sz w:val="36"/>
          <w:szCs w:val="36"/>
          <w:highlight w:val="none"/>
          <w:lang w:val="en-US" w:eastAsia="zh-CN"/>
        </w:rPr>
        <w:t>阿勒泰地区无线电管理局中心</w:t>
      </w:r>
    </w:p>
    <w:p w14:paraId="5D8408DF">
      <w:pPr>
        <w:spacing w:line="700" w:lineRule="exact"/>
        <w:ind w:left="0" w:leftChars="0" w:firstLine="1058" w:firstLineChars="294"/>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项目负责人（签章）：赵海</w:t>
      </w:r>
    </w:p>
    <w:p w14:paraId="6493BE20">
      <w:pPr>
        <w:spacing w:line="700" w:lineRule="exact"/>
        <w:ind w:left="0" w:leftChars="0" w:firstLine="1058" w:firstLineChars="294"/>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11</w:t>
      </w:r>
      <w:r>
        <w:rPr>
          <w:rFonts w:hint="default" w:ascii="Times New Roman" w:hAnsi="Times New Roman" w:eastAsia="仿宋_GB2312" w:cs="Times New Roman"/>
          <w:kern w:val="0"/>
          <w:sz w:val="36"/>
          <w:szCs w:val="36"/>
        </w:rPr>
        <w:t>日</w:t>
      </w:r>
    </w:p>
    <w:p w14:paraId="6459532B">
      <w:pPr>
        <w:spacing w:line="540" w:lineRule="exact"/>
        <w:jc w:val="center"/>
        <w:rPr>
          <w:rFonts w:hint="default" w:ascii="Times New Roman" w:hAnsi="Times New Roman" w:eastAsia="仿宋_GB2312" w:cs="Times New Roman"/>
          <w:kern w:val="0"/>
          <w:sz w:val="30"/>
          <w:szCs w:val="30"/>
        </w:rPr>
      </w:pPr>
    </w:p>
    <w:p w14:paraId="67CBD8BB">
      <w:pPr>
        <w:spacing w:line="540" w:lineRule="exact"/>
        <w:rPr>
          <w:rStyle w:val="16"/>
          <w:rFonts w:hint="default" w:ascii="Times New Roman" w:hAnsi="Times New Roman" w:eastAsia="黑体" w:cs="Times New Roman"/>
          <w:b w:val="0"/>
          <w:spacing w:val="-4"/>
          <w:sz w:val="32"/>
          <w:szCs w:val="32"/>
        </w:rPr>
      </w:pPr>
    </w:p>
    <w:p w14:paraId="1B79357F">
      <w:pPr>
        <w:spacing w:line="540" w:lineRule="exact"/>
        <w:ind w:firstLine="640"/>
        <w:rPr>
          <w:rStyle w:val="16"/>
          <w:rFonts w:hint="default" w:ascii="Times New Roman" w:hAnsi="Times New Roman" w:eastAsia="黑体" w:cs="Times New Roman"/>
          <w:b w:val="0"/>
          <w:spacing w:val="-4"/>
          <w:sz w:val="32"/>
          <w:szCs w:val="32"/>
        </w:rPr>
      </w:pPr>
    </w:p>
    <w:p w14:paraId="3389679B">
      <w:pPr>
        <w:spacing w:line="540" w:lineRule="exact"/>
        <w:rPr>
          <w:rStyle w:val="16"/>
          <w:rFonts w:hint="default" w:ascii="Times New Roman" w:hAnsi="Times New Roman" w:eastAsia="黑体" w:cs="Times New Roman"/>
          <w:b w:val="0"/>
          <w:spacing w:val="-4"/>
          <w:sz w:val="32"/>
          <w:szCs w:val="32"/>
        </w:rPr>
      </w:pPr>
    </w:p>
    <w:p w14:paraId="1F546AD6">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C914859">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7EB550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1304AD9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A4B2499">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lang w:eastAsia="zh-CN"/>
        </w:rPr>
      </w:pPr>
      <w:r>
        <w:rPr>
          <w:rStyle w:val="16"/>
          <w:rFonts w:hint="default" w:ascii="仿宋" w:hAnsi="仿宋" w:eastAsia="仿宋" w:cs="仿宋_GB2312"/>
          <w:b w:val="0"/>
          <w:bCs w:val="0"/>
          <w:spacing w:val="-4"/>
          <w:sz w:val="32"/>
          <w:szCs w:val="32"/>
        </w:rPr>
        <w:t>阿勒泰地区无线电管理局业务楼于2019年6月投入使用，但办公楼四周散水仍未建设。阿勒泰地区无线电管理局办公楼散水建设项目是我局目前较为迫切需要的，根据阿勒泰地区特殊气候，冬季降雪量大，因历史原因，我局业务楼四周无散水，冬季大雪堆积，到化雪时水量较大，存在防水安全，申报阿勒泰地区无线电管理局办公楼散水建设项目，对无线电管理局业务楼四周散水进行建设，保护墙基不受雨水侵蚀，防止基础下沉，保证房屋的巩固耐久，延长房屋的使用寿命。</w:t>
      </w:r>
    </w:p>
    <w:p w14:paraId="6E152594">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209861E2">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lang w:eastAsia="zh-CN"/>
        </w:rPr>
      </w:pPr>
      <w:r>
        <w:rPr>
          <w:rStyle w:val="16"/>
          <w:rFonts w:hint="default" w:ascii="仿宋" w:hAnsi="仿宋" w:eastAsia="仿宋" w:cs="仿宋_GB2312"/>
          <w:b w:val="0"/>
          <w:bCs w:val="0"/>
          <w:spacing w:val="-4"/>
          <w:sz w:val="32"/>
          <w:szCs w:val="32"/>
          <w:lang w:val="en-US" w:eastAsia="zh-CN"/>
        </w:rPr>
        <w:t>项目主要内容：</w:t>
      </w:r>
      <w:r>
        <w:rPr>
          <w:rStyle w:val="16"/>
          <w:rFonts w:hint="default" w:ascii="仿宋" w:hAnsi="仿宋" w:eastAsia="仿宋" w:cs="仿宋_GB2312"/>
          <w:b w:val="0"/>
          <w:bCs w:val="0"/>
          <w:spacing w:val="-4"/>
          <w:sz w:val="32"/>
          <w:szCs w:val="32"/>
        </w:rPr>
        <w:t>本项目由挖一般土方100立方米、余方弃置100立方米、办公楼散水建设82.8平方米、平整场地82.5平方米、原土夯实82.5平方米、院内安装LED庭院灯5套等工程组成。</w:t>
      </w:r>
    </w:p>
    <w:p w14:paraId="52FE13D6">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lang w:val="en-US" w:eastAsia="zh-CN"/>
        </w:rPr>
        <w:t>项目实施情况</w:t>
      </w:r>
      <w:r>
        <w:rPr>
          <w:rStyle w:val="16"/>
          <w:rFonts w:hint="default" w:ascii="仿宋" w:hAnsi="仿宋" w:eastAsia="仿宋" w:cs="仿宋_GB2312"/>
          <w:b w:val="0"/>
          <w:bCs w:val="0"/>
          <w:spacing w:val="-4"/>
          <w:sz w:val="32"/>
          <w:szCs w:val="32"/>
        </w:rPr>
        <w:t>：</w:t>
      </w:r>
      <w:r>
        <w:rPr>
          <w:rStyle w:val="16"/>
          <w:rFonts w:hint="eastAsia" w:ascii="仿宋" w:hAnsi="仿宋" w:eastAsia="仿宋" w:cs="仿宋_GB2312"/>
          <w:b w:val="0"/>
          <w:bCs w:val="0"/>
          <w:spacing w:val="-4"/>
          <w:sz w:val="32"/>
          <w:szCs w:val="32"/>
          <w:lang w:val="en-US" w:eastAsia="zh-CN"/>
        </w:rPr>
        <w:t>目前已完成项目建设，具体为完成散水建设82.5平方米、院内安装</w:t>
      </w:r>
      <w:r>
        <w:rPr>
          <w:rStyle w:val="16"/>
          <w:rFonts w:hint="default" w:ascii="仿宋" w:hAnsi="仿宋" w:eastAsia="仿宋" w:cs="仿宋_GB2312"/>
          <w:b w:val="0"/>
          <w:bCs w:val="0"/>
          <w:spacing w:val="-4"/>
          <w:sz w:val="32"/>
          <w:szCs w:val="32"/>
        </w:rPr>
        <w:t>LED庭院灯5套</w:t>
      </w:r>
      <w:r>
        <w:rPr>
          <w:rStyle w:val="16"/>
          <w:rFonts w:hint="eastAsia" w:ascii="仿宋" w:hAnsi="仿宋" w:eastAsia="仿宋" w:cs="仿宋_GB2312"/>
          <w:b w:val="0"/>
          <w:bCs w:val="0"/>
          <w:spacing w:val="-4"/>
          <w:sz w:val="32"/>
          <w:szCs w:val="32"/>
          <w:lang w:eastAsia="zh-CN"/>
        </w:rPr>
        <w:t>，</w:t>
      </w:r>
      <w:r>
        <w:rPr>
          <w:rStyle w:val="16"/>
          <w:rFonts w:hint="eastAsia" w:ascii="仿宋" w:hAnsi="仿宋" w:eastAsia="仿宋" w:cs="仿宋_GB2312"/>
          <w:b w:val="0"/>
          <w:bCs w:val="0"/>
          <w:spacing w:val="-4"/>
          <w:sz w:val="32"/>
          <w:szCs w:val="32"/>
          <w:lang w:val="en-US" w:eastAsia="zh-CN"/>
        </w:rPr>
        <w:t>院内环境大为改善</w:t>
      </w:r>
      <w:r>
        <w:rPr>
          <w:rStyle w:val="16"/>
          <w:rFonts w:hint="default" w:ascii="仿宋" w:hAnsi="仿宋" w:eastAsia="仿宋" w:cs="仿宋_GB2312"/>
          <w:b w:val="0"/>
          <w:bCs w:val="0"/>
          <w:spacing w:val="-4"/>
          <w:sz w:val="32"/>
          <w:szCs w:val="32"/>
          <w:lang w:eastAsia="zh-CN"/>
        </w:rPr>
        <w:t>。</w:t>
      </w:r>
    </w:p>
    <w:p w14:paraId="2B524A14">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E280C8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EE56217">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lang w:val="en-US" w:eastAsia="zh-CN"/>
        </w:rPr>
      </w:pPr>
      <w:r>
        <w:rPr>
          <w:rStyle w:val="16"/>
          <w:rFonts w:hint="default" w:ascii="仿宋" w:hAnsi="仿宋" w:eastAsia="仿宋" w:cs="仿宋_GB2312"/>
          <w:b w:val="0"/>
          <w:bCs w:val="0"/>
          <w:spacing w:val="-4"/>
          <w:sz w:val="32"/>
          <w:szCs w:val="32"/>
          <w:lang w:val="en-US" w:eastAsia="zh-CN"/>
        </w:rPr>
        <w:t>该项目年初预算数</w:t>
      </w:r>
      <w:r>
        <w:rPr>
          <w:rStyle w:val="16"/>
          <w:rFonts w:hint="eastAsia" w:ascii="仿宋" w:hAnsi="仿宋" w:eastAsia="仿宋" w:cs="仿宋_GB2312"/>
          <w:b w:val="0"/>
          <w:bCs w:val="0"/>
          <w:spacing w:val="-4"/>
          <w:sz w:val="32"/>
          <w:szCs w:val="32"/>
          <w:lang w:val="en-US" w:eastAsia="zh-CN"/>
        </w:rPr>
        <w:t>6.58</w:t>
      </w:r>
      <w:r>
        <w:rPr>
          <w:rStyle w:val="16"/>
          <w:rFonts w:hint="default" w:ascii="仿宋" w:hAnsi="仿宋" w:eastAsia="仿宋" w:cs="仿宋_GB2312"/>
          <w:b w:val="0"/>
          <w:bCs w:val="0"/>
          <w:spacing w:val="-4"/>
          <w:sz w:val="32"/>
          <w:szCs w:val="32"/>
          <w:lang w:val="en-US" w:eastAsia="zh-CN"/>
        </w:rPr>
        <w:t>万元，全年预算数</w:t>
      </w:r>
      <w:r>
        <w:rPr>
          <w:rStyle w:val="16"/>
          <w:rFonts w:hint="eastAsia" w:ascii="仿宋" w:hAnsi="仿宋" w:eastAsia="仿宋" w:cs="仿宋_GB2312"/>
          <w:b w:val="0"/>
          <w:bCs w:val="0"/>
          <w:spacing w:val="-4"/>
          <w:sz w:val="32"/>
          <w:szCs w:val="32"/>
          <w:lang w:val="en-US" w:eastAsia="zh-CN"/>
        </w:rPr>
        <w:t>6.58</w:t>
      </w:r>
      <w:r>
        <w:rPr>
          <w:rStyle w:val="16"/>
          <w:rFonts w:hint="default" w:ascii="仿宋" w:hAnsi="仿宋" w:eastAsia="仿宋" w:cs="仿宋_GB2312"/>
          <w:b w:val="0"/>
          <w:bCs w:val="0"/>
          <w:spacing w:val="-4"/>
          <w:sz w:val="32"/>
          <w:szCs w:val="32"/>
          <w:lang w:val="en-US" w:eastAsia="zh-CN"/>
        </w:rPr>
        <w:t>万元，该项目资金已全部落实到位，资金来源为</w:t>
      </w:r>
      <w:r>
        <w:rPr>
          <w:rStyle w:val="16"/>
          <w:rFonts w:hint="eastAsia" w:ascii="仿宋" w:hAnsi="仿宋" w:eastAsia="仿宋" w:cs="仿宋_GB2312"/>
          <w:b w:val="0"/>
          <w:bCs w:val="0"/>
          <w:spacing w:val="-4"/>
          <w:sz w:val="32"/>
          <w:szCs w:val="32"/>
          <w:lang w:val="en-US" w:eastAsia="zh-CN"/>
        </w:rPr>
        <w:t>其他资金</w:t>
      </w:r>
      <w:r>
        <w:rPr>
          <w:rStyle w:val="16"/>
          <w:rFonts w:hint="default" w:ascii="仿宋" w:hAnsi="仿宋" w:eastAsia="仿宋" w:cs="仿宋_GB2312"/>
          <w:b w:val="0"/>
          <w:bCs w:val="0"/>
          <w:spacing w:val="-4"/>
          <w:sz w:val="32"/>
          <w:szCs w:val="32"/>
          <w:lang w:val="en-US" w:eastAsia="zh-CN"/>
        </w:rPr>
        <w:t>。</w:t>
      </w:r>
    </w:p>
    <w:p w14:paraId="58053AB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974E055">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lang w:val="en-US" w:eastAsia="zh-CN"/>
        </w:rPr>
      </w:pPr>
      <w:r>
        <w:rPr>
          <w:rStyle w:val="16"/>
          <w:rFonts w:hint="default" w:ascii="仿宋" w:hAnsi="仿宋" w:eastAsia="仿宋" w:cs="仿宋_GB2312"/>
          <w:b w:val="0"/>
          <w:bCs w:val="0"/>
          <w:spacing w:val="-4"/>
          <w:sz w:val="32"/>
          <w:szCs w:val="32"/>
          <w:lang w:val="en-US" w:eastAsia="zh-CN"/>
        </w:rPr>
        <w:t>该项目年初预算数</w:t>
      </w:r>
      <w:r>
        <w:rPr>
          <w:rStyle w:val="16"/>
          <w:rFonts w:hint="eastAsia" w:ascii="仿宋" w:hAnsi="仿宋" w:eastAsia="仿宋" w:cs="仿宋_GB2312"/>
          <w:b w:val="0"/>
          <w:bCs w:val="0"/>
          <w:spacing w:val="-4"/>
          <w:sz w:val="32"/>
          <w:szCs w:val="32"/>
          <w:lang w:val="en-US" w:eastAsia="zh-CN"/>
        </w:rPr>
        <w:t>6.58</w:t>
      </w:r>
      <w:r>
        <w:rPr>
          <w:rStyle w:val="16"/>
          <w:rFonts w:hint="default" w:ascii="仿宋" w:hAnsi="仿宋" w:eastAsia="仿宋" w:cs="仿宋_GB2312"/>
          <w:b w:val="0"/>
          <w:bCs w:val="0"/>
          <w:spacing w:val="-4"/>
          <w:sz w:val="32"/>
          <w:szCs w:val="32"/>
          <w:lang w:val="en-US" w:eastAsia="zh-CN"/>
        </w:rPr>
        <w:t>万元，全年预算数</w:t>
      </w:r>
      <w:r>
        <w:rPr>
          <w:rStyle w:val="16"/>
          <w:rFonts w:hint="eastAsia" w:ascii="仿宋" w:hAnsi="仿宋" w:eastAsia="仿宋" w:cs="仿宋_GB2312"/>
          <w:b w:val="0"/>
          <w:bCs w:val="0"/>
          <w:spacing w:val="-4"/>
          <w:sz w:val="32"/>
          <w:szCs w:val="32"/>
          <w:lang w:val="en-US" w:eastAsia="zh-CN"/>
        </w:rPr>
        <w:t>6.58</w:t>
      </w:r>
      <w:r>
        <w:rPr>
          <w:rStyle w:val="16"/>
          <w:rFonts w:hint="default" w:ascii="仿宋" w:hAnsi="仿宋" w:eastAsia="仿宋" w:cs="仿宋_GB2312"/>
          <w:b w:val="0"/>
          <w:bCs w:val="0"/>
          <w:spacing w:val="-4"/>
          <w:sz w:val="32"/>
          <w:szCs w:val="32"/>
          <w:lang w:val="en-US" w:eastAsia="zh-CN"/>
        </w:rPr>
        <w:t>万元</w:t>
      </w:r>
      <w:r>
        <w:rPr>
          <w:rStyle w:val="16"/>
          <w:rFonts w:hint="eastAsia" w:ascii="仿宋" w:hAnsi="仿宋" w:eastAsia="仿宋" w:cs="仿宋_GB2312"/>
          <w:b w:val="0"/>
          <w:bCs w:val="0"/>
          <w:spacing w:val="-4"/>
          <w:sz w:val="32"/>
          <w:szCs w:val="32"/>
          <w:lang w:val="en-US" w:eastAsia="zh-CN"/>
        </w:rPr>
        <w:t>，</w:t>
      </w:r>
      <w:r>
        <w:rPr>
          <w:rStyle w:val="16"/>
          <w:rFonts w:hint="default" w:ascii="仿宋" w:hAnsi="仿宋" w:eastAsia="仿宋" w:cs="仿宋_GB2312"/>
          <w:b w:val="0"/>
          <w:bCs w:val="0"/>
          <w:spacing w:val="-4"/>
          <w:sz w:val="32"/>
          <w:szCs w:val="32"/>
          <w:lang w:val="en-US" w:eastAsia="zh-CN"/>
        </w:rPr>
        <w:t>全年执行数</w:t>
      </w:r>
      <w:r>
        <w:rPr>
          <w:rStyle w:val="16"/>
          <w:rFonts w:hint="eastAsia" w:ascii="仿宋" w:hAnsi="仿宋" w:eastAsia="仿宋" w:cs="仿宋_GB2312"/>
          <w:b w:val="0"/>
          <w:bCs w:val="0"/>
          <w:spacing w:val="-4"/>
          <w:sz w:val="32"/>
          <w:szCs w:val="32"/>
          <w:lang w:val="en-US" w:eastAsia="zh-CN"/>
        </w:rPr>
        <w:t>6.58</w:t>
      </w:r>
      <w:r>
        <w:rPr>
          <w:rStyle w:val="16"/>
          <w:rFonts w:hint="default" w:ascii="仿宋" w:hAnsi="仿宋" w:eastAsia="仿宋" w:cs="仿宋_GB2312"/>
          <w:b w:val="0"/>
          <w:bCs w:val="0"/>
          <w:spacing w:val="-4"/>
          <w:sz w:val="32"/>
          <w:szCs w:val="32"/>
          <w:lang w:val="en-US" w:eastAsia="zh-CN"/>
        </w:rPr>
        <w:t>万元，预算执行率为</w:t>
      </w:r>
      <w:r>
        <w:rPr>
          <w:rStyle w:val="16"/>
          <w:rFonts w:hint="eastAsia" w:ascii="仿宋" w:hAnsi="仿宋" w:eastAsia="仿宋" w:cs="仿宋_GB2312"/>
          <w:b w:val="0"/>
          <w:bCs w:val="0"/>
          <w:spacing w:val="-4"/>
          <w:sz w:val="32"/>
          <w:szCs w:val="32"/>
          <w:lang w:val="en-US" w:eastAsia="zh-CN"/>
        </w:rPr>
        <w:t>100</w:t>
      </w:r>
      <w:r>
        <w:rPr>
          <w:rStyle w:val="16"/>
          <w:rFonts w:hint="default" w:ascii="仿宋" w:hAnsi="仿宋" w:eastAsia="仿宋" w:cs="仿宋_GB2312"/>
          <w:b w:val="0"/>
          <w:bCs w:val="0"/>
          <w:spacing w:val="-4"/>
          <w:sz w:val="32"/>
          <w:szCs w:val="32"/>
          <w:lang w:val="en-US" w:eastAsia="zh-CN"/>
        </w:rPr>
        <w:t>%，主要用于：</w:t>
      </w:r>
      <w:r>
        <w:rPr>
          <w:rStyle w:val="16"/>
          <w:rFonts w:hint="eastAsia" w:ascii="仿宋" w:hAnsi="仿宋" w:eastAsia="仿宋" w:cs="仿宋_GB2312"/>
          <w:b w:val="0"/>
          <w:bCs w:val="0"/>
          <w:spacing w:val="-4"/>
          <w:sz w:val="32"/>
          <w:szCs w:val="32"/>
          <w:lang w:val="en-US" w:eastAsia="zh-CN"/>
        </w:rPr>
        <w:t>阿勒泰地区无线电管理中心楼散水建设82.5平方米、院内安装</w:t>
      </w:r>
      <w:r>
        <w:rPr>
          <w:rStyle w:val="16"/>
          <w:rFonts w:hint="default" w:ascii="仿宋" w:hAnsi="仿宋" w:eastAsia="仿宋" w:cs="仿宋_GB2312"/>
          <w:b w:val="0"/>
          <w:bCs w:val="0"/>
          <w:spacing w:val="-4"/>
          <w:sz w:val="32"/>
          <w:szCs w:val="32"/>
        </w:rPr>
        <w:t>LED庭院灯5套</w:t>
      </w:r>
      <w:r>
        <w:rPr>
          <w:rStyle w:val="16"/>
          <w:rFonts w:hint="default" w:ascii="仿宋" w:hAnsi="仿宋" w:eastAsia="仿宋" w:cs="仿宋_GB2312"/>
          <w:b w:val="0"/>
          <w:bCs w:val="0"/>
          <w:spacing w:val="-4"/>
          <w:sz w:val="32"/>
          <w:szCs w:val="32"/>
          <w:lang w:val="en-US" w:eastAsia="zh-CN"/>
        </w:rPr>
        <w:t>。</w:t>
      </w:r>
    </w:p>
    <w:p w14:paraId="6C89D51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4DEE5F5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0214646D">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lang w:eastAsia="zh-CN"/>
        </w:rPr>
      </w:pPr>
      <w:r>
        <w:rPr>
          <w:rStyle w:val="16"/>
          <w:rFonts w:hint="default" w:ascii="仿宋" w:hAnsi="仿宋" w:eastAsia="仿宋" w:cs="仿宋_GB2312"/>
          <w:b w:val="0"/>
          <w:bCs w:val="0"/>
          <w:spacing w:val="-4"/>
          <w:sz w:val="32"/>
          <w:szCs w:val="32"/>
          <w:lang w:val="en-US" w:eastAsia="zh-CN"/>
        </w:rPr>
        <w:t>本项目由挖一般土方100立方米、余方弃置100立方米、办公楼散水建设82.8平方米、平整场地82.5平方米、原土夯实82.5平方米、院内安装LED庭院灯5套等工程组成。与目标表中年度预期总体目标一致</w:t>
      </w:r>
      <w:r>
        <w:rPr>
          <w:rStyle w:val="16"/>
          <w:rFonts w:hint="eastAsia" w:ascii="仿宋" w:hAnsi="仿宋" w:eastAsia="仿宋" w:cs="仿宋_GB2312"/>
          <w:b w:val="0"/>
          <w:bCs w:val="0"/>
          <w:spacing w:val="-4"/>
          <w:sz w:val="32"/>
          <w:szCs w:val="32"/>
          <w:lang w:eastAsia="zh-CN"/>
        </w:rPr>
        <w:t>。</w:t>
      </w:r>
    </w:p>
    <w:p w14:paraId="51363617">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0C1D232A">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（1）前期准备：通过制定项目实施方案，经项目负责人审核通过后，有序开展后续工作。</w:t>
      </w:r>
    </w:p>
    <w:p w14:paraId="3C151010">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lang w:eastAsia="zh-CN"/>
        </w:rPr>
      </w:pPr>
      <w:r>
        <w:rPr>
          <w:rStyle w:val="16"/>
          <w:rFonts w:hint="default" w:ascii="仿宋" w:hAnsi="仿宋" w:eastAsia="仿宋" w:cs="仿宋_GB2312"/>
          <w:b w:val="0"/>
          <w:bCs w:val="0"/>
          <w:spacing w:val="-4"/>
          <w:sz w:val="32"/>
          <w:szCs w:val="32"/>
        </w:rPr>
        <w:t>（2）组织实施：202</w:t>
      </w:r>
      <w:r>
        <w:rPr>
          <w:rStyle w:val="16"/>
          <w:rFonts w:hint="eastAsia" w:ascii="仿宋" w:hAnsi="仿宋" w:eastAsia="仿宋" w:cs="仿宋_GB2312"/>
          <w:b w:val="0"/>
          <w:bCs w:val="0"/>
          <w:spacing w:val="-4"/>
          <w:sz w:val="32"/>
          <w:szCs w:val="32"/>
          <w:lang w:val="en-US" w:eastAsia="zh-CN"/>
        </w:rPr>
        <w:t>4</w:t>
      </w:r>
      <w:r>
        <w:rPr>
          <w:rStyle w:val="16"/>
          <w:rFonts w:hint="default" w:ascii="仿宋" w:hAnsi="仿宋" w:eastAsia="仿宋" w:cs="仿宋_GB2312"/>
          <w:b w:val="0"/>
          <w:bCs w:val="0"/>
          <w:spacing w:val="-4"/>
          <w:sz w:val="32"/>
          <w:szCs w:val="32"/>
        </w:rPr>
        <w:t>年</w:t>
      </w:r>
      <w:r>
        <w:rPr>
          <w:rStyle w:val="16"/>
          <w:rFonts w:hint="eastAsia" w:ascii="仿宋" w:hAnsi="仿宋" w:eastAsia="仿宋" w:cs="仿宋_GB2312"/>
          <w:b w:val="0"/>
          <w:bCs w:val="0"/>
          <w:spacing w:val="-4"/>
          <w:sz w:val="32"/>
          <w:szCs w:val="32"/>
          <w:lang w:val="en-US" w:eastAsia="zh-CN"/>
        </w:rPr>
        <w:t>6</w:t>
      </w:r>
      <w:r>
        <w:rPr>
          <w:rStyle w:val="16"/>
          <w:rFonts w:hint="default" w:ascii="仿宋" w:hAnsi="仿宋" w:eastAsia="仿宋" w:cs="仿宋_GB2312"/>
          <w:b w:val="0"/>
          <w:bCs w:val="0"/>
          <w:spacing w:val="-4"/>
          <w:sz w:val="32"/>
          <w:szCs w:val="32"/>
        </w:rPr>
        <w:t>月，根据项目性质，结合工作实际，有序开展项目实施，</w:t>
      </w:r>
      <w:r>
        <w:rPr>
          <w:rStyle w:val="16"/>
          <w:rFonts w:hint="eastAsia" w:ascii="仿宋" w:hAnsi="仿宋" w:eastAsia="仿宋" w:cs="仿宋_GB2312"/>
          <w:b w:val="0"/>
          <w:bCs w:val="0"/>
          <w:spacing w:val="-4"/>
          <w:sz w:val="32"/>
          <w:szCs w:val="32"/>
          <w:lang w:val="en-US" w:eastAsia="zh-CN"/>
        </w:rPr>
        <w:t>挖土方，平整场地，浇筑散水82.5平方米、安装LED庭院灯5套。10</w:t>
      </w:r>
      <w:r>
        <w:rPr>
          <w:rStyle w:val="16"/>
          <w:rFonts w:hint="default" w:ascii="仿宋" w:hAnsi="仿宋" w:eastAsia="仿宋" w:cs="仿宋_GB2312"/>
          <w:b w:val="0"/>
          <w:bCs w:val="0"/>
          <w:spacing w:val="-4"/>
          <w:sz w:val="32"/>
          <w:szCs w:val="32"/>
        </w:rPr>
        <w:t>月，完成预算执行。</w:t>
      </w:r>
    </w:p>
    <w:p w14:paraId="57D2E38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5F97D19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C4AB9C1">
      <w:pPr>
        <w:pStyle w:val="2"/>
        <w:widowControl w:val="0"/>
        <w:spacing w:before="0" w:after="0" w:line="560" w:lineRule="exact"/>
        <w:ind w:firstLine="640" w:firstLineChars="200"/>
        <w:jc w:val="both"/>
        <w:outlineLvl w:val="9"/>
        <w:rPr>
          <w:rStyle w:val="16"/>
          <w:rFonts w:hint="default" w:ascii="仿宋" w:hAnsi="仿宋" w:eastAsia="仿宋" w:cs="仿宋_GB2312"/>
          <w:b w:val="0"/>
          <w:bCs w:val="0"/>
          <w:spacing w:val="-4"/>
          <w:kern w:val="2"/>
          <w:sz w:val="32"/>
          <w:szCs w:val="32"/>
          <w:lang w:val="en-US" w:eastAsia="zh-CN" w:bidi="ar-SA"/>
        </w:rPr>
      </w:pPr>
      <w:r>
        <w:rPr>
          <w:rFonts w:hint="default" w:ascii="Times New Roman" w:hAnsi="Times New Roman" w:eastAsia="仿宋_GB2312" w:cs="Times New Roman"/>
          <w:b w:val="0"/>
          <w:bCs w:val="0"/>
          <w:highlight w:val="none"/>
          <w:lang w:val="en-US" w:eastAsia="zh-CN"/>
        </w:rPr>
        <w:t>1.</w:t>
      </w:r>
      <w:r>
        <w:rPr>
          <w:rStyle w:val="16"/>
          <w:rFonts w:hint="default" w:ascii="仿宋" w:hAnsi="仿宋" w:eastAsia="仿宋" w:cs="仿宋_GB2312"/>
          <w:b w:val="0"/>
          <w:bCs w:val="0"/>
          <w:spacing w:val="-4"/>
          <w:kern w:val="2"/>
          <w:sz w:val="32"/>
          <w:szCs w:val="32"/>
          <w:lang w:val="en-US" w:eastAsia="zh-CN" w:bidi="ar-SA"/>
        </w:rPr>
        <w:t>绩效评价完整性</w:t>
      </w:r>
    </w:p>
    <w:p w14:paraId="3DDF0437">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kern w:val="2"/>
          <w:sz w:val="32"/>
          <w:szCs w:val="32"/>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6"/>
          <w:rFonts w:hint="default" w:ascii="仿宋" w:hAnsi="仿宋" w:eastAsia="仿宋" w:cs="仿宋_GB2312"/>
          <w:b w:val="0"/>
          <w:bCs w:val="0"/>
          <w:spacing w:val="-4"/>
          <w:sz w:val="32"/>
          <w:szCs w:val="32"/>
          <w:lang w:val="en-US" w:eastAsia="zh-CN"/>
        </w:rPr>
        <w:t>同时，对于每个指标的评价标准和数据来源均进行了明确说明，确保评价结果的客观性和可追溯性。</w:t>
      </w:r>
    </w:p>
    <w:p w14:paraId="5FA03AB7">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lang w:val="en-US" w:eastAsia="zh-CN"/>
        </w:rPr>
        <w:t>2.</w:t>
      </w:r>
      <w:r>
        <w:rPr>
          <w:rStyle w:val="16"/>
          <w:rFonts w:hint="default" w:ascii="仿宋" w:hAnsi="仿宋" w:eastAsia="仿宋" w:cs="仿宋_GB2312"/>
          <w:b w:val="0"/>
          <w:bCs w:val="0"/>
          <w:spacing w:val="-4"/>
          <w:sz w:val="32"/>
          <w:szCs w:val="32"/>
        </w:rPr>
        <w:t>绩效评价的目的</w:t>
      </w:r>
    </w:p>
    <w:p w14:paraId="55ECC3A0">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（1）评估项目实施效果</w:t>
      </w:r>
    </w:p>
    <w:p w14:paraId="5B8C0886">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通过对项目预算执行情况及各项绩效目标达成程度的系统性分析，全面、客观地评估项目在预定周期内的实施效果，为项目后续的改进与优化提供科学依据。</w:t>
      </w:r>
    </w:p>
    <w:p w14:paraId="37B7EB80">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w:t>
      </w:r>
      <w:r>
        <w:rPr>
          <w:rStyle w:val="16"/>
          <w:rFonts w:hint="eastAsia" w:ascii="仿宋" w:hAnsi="仿宋" w:eastAsia="仿宋" w:cs="仿宋_GB2312"/>
          <w:b w:val="0"/>
          <w:bCs w:val="0"/>
          <w:spacing w:val="-4"/>
          <w:sz w:val="32"/>
          <w:szCs w:val="32"/>
          <w:lang w:val="en-US" w:eastAsia="zh-CN"/>
        </w:rPr>
        <w:t>2</w:t>
      </w:r>
      <w:r>
        <w:rPr>
          <w:rStyle w:val="16"/>
          <w:rFonts w:hint="default" w:ascii="仿宋" w:hAnsi="仿宋" w:eastAsia="仿宋" w:cs="仿宋_GB2312"/>
          <w:b w:val="0"/>
          <w:bCs w:val="0"/>
          <w:spacing w:val="-4"/>
          <w:sz w:val="32"/>
          <w:szCs w:val="32"/>
        </w:rPr>
        <w:t>）强化项目管理责任</w:t>
      </w:r>
    </w:p>
    <w:p w14:paraId="43D19245">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FEFDF37">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w:t>
      </w:r>
      <w:r>
        <w:rPr>
          <w:rStyle w:val="16"/>
          <w:rFonts w:hint="eastAsia" w:ascii="仿宋" w:hAnsi="仿宋" w:eastAsia="仿宋" w:cs="仿宋_GB2312"/>
          <w:b w:val="0"/>
          <w:bCs w:val="0"/>
          <w:spacing w:val="-4"/>
          <w:sz w:val="32"/>
          <w:szCs w:val="32"/>
          <w:lang w:val="en-US" w:eastAsia="zh-CN"/>
        </w:rPr>
        <w:t>3</w:t>
      </w:r>
      <w:r>
        <w:rPr>
          <w:rStyle w:val="16"/>
          <w:rFonts w:hint="default" w:ascii="仿宋" w:hAnsi="仿宋" w:eastAsia="仿宋" w:cs="仿宋_GB2312"/>
          <w:b w:val="0"/>
          <w:bCs w:val="0"/>
          <w:spacing w:val="-4"/>
          <w:sz w:val="32"/>
          <w:szCs w:val="32"/>
        </w:rPr>
        <w:t>）为决策提供支持</w:t>
      </w:r>
    </w:p>
    <w:p w14:paraId="585AE479">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为项目主管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226E13D">
      <w:pPr>
        <w:keepLines w:val="0"/>
        <w:pageBreakBefore w:val="0"/>
        <w:kinsoku/>
        <w:wordWrap/>
        <w:overflowPunct/>
        <w:topLinePunct w:val="0"/>
        <w:autoSpaceDE/>
        <w:autoSpaceDN/>
        <w:bidi w:val="0"/>
        <w:adjustRightInd/>
        <w:snapToGrid/>
        <w:spacing w:line="560" w:lineRule="exact"/>
        <w:ind w:firstLine="624" w:firstLineChars="200"/>
        <w:textAlignment w:val="auto"/>
        <w:rPr>
          <w:rStyle w:val="16"/>
          <w:rFonts w:hint="default" w:ascii="仿宋" w:hAnsi="仿宋" w:eastAsia="仿宋" w:cs="仿宋_GB2312"/>
          <w:b w:val="0"/>
          <w:bCs w:val="0"/>
          <w:spacing w:val="-4"/>
          <w:sz w:val="32"/>
          <w:szCs w:val="32"/>
        </w:rPr>
      </w:pPr>
      <w:r>
        <w:rPr>
          <w:rStyle w:val="16"/>
          <w:rFonts w:hint="default" w:ascii="仿宋" w:hAnsi="仿宋" w:eastAsia="仿宋" w:cs="仿宋_GB2312"/>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资金的经济效益与社会效益。</w:t>
      </w:r>
    </w:p>
    <w:p w14:paraId="38EA72B9">
      <w:pPr>
        <w:pStyle w:val="2"/>
        <w:widowControl w:val="0"/>
        <w:spacing w:before="0" w:after="0" w:line="560" w:lineRule="exact"/>
        <w:ind w:firstLine="640" w:firstLineChars="200"/>
        <w:jc w:val="both"/>
        <w:outlineLvl w:val="9"/>
        <w:rPr>
          <w:rStyle w:val="16"/>
          <w:rFonts w:hint="default" w:ascii="仿宋" w:hAnsi="仿宋" w:eastAsia="仿宋" w:cs="仿宋_GB2312"/>
          <w:b w:val="0"/>
          <w:bCs w:val="0"/>
          <w:spacing w:val="-4"/>
          <w:kern w:val="2"/>
          <w:sz w:val="32"/>
          <w:szCs w:val="32"/>
          <w:lang w:val="en-US" w:eastAsia="zh-CN" w:bidi="ar-SA"/>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Style w:val="16"/>
          <w:rFonts w:hint="default" w:ascii="仿宋" w:hAnsi="仿宋" w:eastAsia="仿宋" w:cs="仿宋_GB2312"/>
          <w:b w:val="0"/>
          <w:bCs w:val="0"/>
          <w:spacing w:val="-4"/>
          <w:kern w:val="2"/>
          <w:sz w:val="32"/>
          <w:szCs w:val="32"/>
          <w:lang w:val="en-US" w:eastAsia="zh-CN" w:bidi="ar-SA"/>
        </w:rPr>
        <w:t>绩效评价的对象</w:t>
      </w:r>
    </w:p>
    <w:p w14:paraId="0708688B">
      <w:pPr>
        <w:pStyle w:val="2"/>
        <w:widowControl w:val="0"/>
        <w:spacing w:before="0" w:after="0" w:line="560" w:lineRule="exact"/>
        <w:ind w:firstLine="624" w:firstLineChars="200"/>
        <w:jc w:val="both"/>
        <w:outlineLvl w:val="9"/>
        <w:rPr>
          <w:rFonts w:hint="default" w:ascii="Times New Roman" w:hAnsi="Times New Roman" w:eastAsia="仿宋_GB2312" w:cs="Times New Roman"/>
          <w:b w:val="0"/>
          <w:bCs w:val="0"/>
        </w:rPr>
      </w:pPr>
      <w:r>
        <w:rPr>
          <w:rStyle w:val="16"/>
          <w:rFonts w:hint="default" w:ascii="仿宋" w:hAnsi="仿宋" w:eastAsia="仿宋" w:cs="仿宋_GB2312"/>
          <w:b w:val="0"/>
          <w:bCs w:val="0"/>
          <w:spacing w:val="-4"/>
          <w:kern w:val="2"/>
          <w:sz w:val="32"/>
          <w:szCs w:val="32"/>
          <w:lang w:val="en-US" w:eastAsia="zh-CN" w:bidi="ar-SA"/>
        </w:rPr>
        <w:t>本项目预算绩效评价报告的评价对象是阿勒泰地区无线电管理局办公楼散水建设及其预算执行情况。该项目由阿勒泰地区鑫峰通信工程有限公司负责实施，旨在保护无线电管理局业务楼四周墙基不受雨水侵蚀，防止基础下沉，保证房屋的巩固耐久，延长房屋的使用寿命。</w:t>
      </w:r>
      <w:r>
        <w:rPr>
          <w:rFonts w:hint="default" w:ascii="Times New Roman" w:hAnsi="Times New Roman" w:eastAsia="仿宋_GB2312" w:cs="Times New Roman"/>
          <w:b w:val="0"/>
          <w:bCs w:val="0"/>
          <w:highlight w:val="none"/>
        </w:rPr>
        <w:t>项目预算</w:t>
      </w:r>
      <w:r>
        <w:rPr>
          <w:rStyle w:val="16"/>
          <w:rFonts w:hint="default" w:ascii="仿宋" w:hAnsi="仿宋" w:eastAsia="仿宋" w:cs="仿宋_GB2312"/>
          <w:b w:val="0"/>
          <w:bCs w:val="0"/>
          <w:spacing w:val="-4"/>
          <w:kern w:val="2"/>
          <w:sz w:val="32"/>
          <w:szCs w:val="32"/>
          <w:lang w:val="en-US" w:eastAsia="zh-CN" w:bidi="ar-SA"/>
        </w:rPr>
        <w:t>涵盖从</w:t>
      </w:r>
      <w:r>
        <w:rPr>
          <w:rStyle w:val="16"/>
          <w:rFonts w:hint="eastAsia" w:ascii="仿宋" w:hAnsi="仿宋" w:eastAsia="仿宋" w:cs="仿宋_GB2312"/>
          <w:b w:val="0"/>
          <w:bCs w:val="0"/>
          <w:spacing w:val="-4"/>
          <w:kern w:val="2"/>
          <w:sz w:val="32"/>
          <w:szCs w:val="32"/>
          <w:lang w:val="en-US" w:eastAsia="zh-CN" w:bidi="ar-SA"/>
        </w:rPr>
        <w:t>6月15日</w:t>
      </w:r>
      <w:r>
        <w:rPr>
          <w:rStyle w:val="16"/>
          <w:rFonts w:hint="default" w:ascii="仿宋" w:hAnsi="仿宋" w:eastAsia="仿宋" w:cs="仿宋_GB2312"/>
          <w:b w:val="0"/>
          <w:bCs w:val="0"/>
          <w:spacing w:val="-4"/>
          <w:kern w:val="2"/>
          <w:sz w:val="32"/>
          <w:szCs w:val="32"/>
          <w:lang w:val="en-US" w:eastAsia="zh-CN" w:bidi="ar-SA"/>
        </w:rPr>
        <w:t>至</w:t>
      </w:r>
      <w:r>
        <w:rPr>
          <w:rStyle w:val="16"/>
          <w:rFonts w:hint="eastAsia" w:ascii="仿宋" w:hAnsi="仿宋" w:eastAsia="仿宋" w:cs="仿宋_GB2312"/>
          <w:b w:val="0"/>
          <w:bCs w:val="0"/>
          <w:spacing w:val="-4"/>
          <w:kern w:val="2"/>
          <w:sz w:val="32"/>
          <w:szCs w:val="32"/>
          <w:lang w:val="en-US" w:eastAsia="zh-CN" w:bidi="ar-SA"/>
        </w:rPr>
        <w:t>10月11日</w:t>
      </w:r>
      <w:r>
        <w:rPr>
          <w:rStyle w:val="16"/>
          <w:rFonts w:hint="default" w:ascii="仿宋" w:hAnsi="仿宋" w:eastAsia="仿宋" w:cs="仿宋_GB2312"/>
          <w:b w:val="0"/>
          <w:bCs w:val="0"/>
          <w:spacing w:val="-4"/>
          <w:kern w:val="2"/>
          <w:sz w:val="32"/>
          <w:szCs w:val="32"/>
          <w:lang w:val="en-US" w:eastAsia="zh-CN" w:bidi="ar-SA"/>
        </w:rPr>
        <w:t>的全部资金投入与支出，涉及资金总额为</w:t>
      </w:r>
      <w:r>
        <w:rPr>
          <w:rStyle w:val="16"/>
          <w:rFonts w:hint="eastAsia" w:ascii="仿宋" w:hAnsi="仿宋" w:eastAsia="仿宋" w:cs="仿宋_GB2312"/>
          <w:b w:val="0"/>
          <w:bCs w:val="0"/>
          <w:spacing w:val="-4"/>
          <w:kern w:val="2"/>
          <w:sz w:val="32"/>
          <w:szCs w:val="32"/>
          <w:lang w:val="en-US" w:eastAsia="zh-CN" w:bidi="ar-SA"/>
        </w:rPr>
        <w:t>6.58</w:t>
      </w:r>
      <w:r>
        <w:rPr>
          <w:rStyle w:val="16"/>
          <w:rFonts w:hint="default" w:ascii="仿宋" w:hAnsi="仿宋" w:eastAsia="仿宋" w:cs="仿宋_GB2312"/>
          <w:b w:val="0"/>
          <w:bCs w:val="0"/>
          <w:spacing w:val="-4"/>
          <w:kern w:val="2"/>
          <w:sz w:val="32"/>
          <w:szCs w:val="32"/>
          <w:lang w:val="en-US" w:eastAsia="zh-CN" w:bidi="ar-SA"/>
        </w:rPr>
        <w:t>万元。</w:t>
      </w:r>
    </w:p>
    <w:p w14:paraId="23B3F91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0F7A07C3">
      <w:pPr>
        <w:pStyle w:val="2"/>
        <w:widowControl w:val="0"/>
        <w:numPr>
          <w:ilvl w:val="0"/>
          <w:numId w:val="0"/>
        </w:numPr>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本项目预算绩效评价报告的评价范围涵盖了从项目立项至评价时点期间的所有预算活动和财务流程。具体而言，评价范围包括项目预算编制与执行</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达到了</w:t>
      </w:r>
      <w:r>
        <w:rPr>
          <w:rFonts w:hint="default" w:ascii="Times New Roman" w:hAnsi="Times New Roman" w:eastAsia="仿宋_GB2312" w:cs="Times New Roman"/>
          <w:b w:val="0"/>
          <w:bCs w:val="0"/>
          <w:highlight w:val="none"/>
        </w:rPr>
        <w:t>保护</w:t>
      </w:r>
      <w:r>
        <w:rPr>
          <w:rFonts w:hint="eastAsia" w:ascii="Times New Roman" w:hAnsi="Times New Roman" w:eastAsia="仿宋_GB2312" w:cs="Times New Roman"/>
          <w:b w:val="0"/>
          <w:bCs w:val="0"/>
          <w:highlight w:val="none"/>
          <w:lang w:val="en-US" w:eastAsia="zh-CN"/>
        </w:rPr>
        <w:t>业务楼</w:t>
      </w:r>
      <w:r>
        <w:rPr>
          <w:rFonts w:hint="default" w:ascii="Times New Roman" w:hAnsi="Times New Roman" w:eastAsia="仿宋_GB2312" w:cs="Times New Roman"/>
          <w:b w:val="0"/>
          <w:bCs w:val="0"/>
          <w:highlight w:val="none"/>
        </w:rPr>
        <w:t>墙基不受雨水侵蚀，保证房屋的巩固耐久</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同时</w:t>
      </w:r>
      <w:r>
        <w:rPr>
          <w:rFonts w:hint="eastAsia" w:ascii="Times New Roman" w:hAnsi="Times New Roman" w:eastAsia="仿宋_GB2312" w:cs="Times New Roman"/>
          <w:b w:val="0"/>
          <w:bCs w:val="0"/>
          <w:highlight w:val="none"/>
          <w:lang w:eastAsia="zh-CN"/>
        </w:rPr>
        <w:t>改善</w:t>
      </w:r>
      <w:r>
        <w:rPr>
          <w:rFonts w:hint="eastAsia" w:ascii="Times New Roman" w:hAnsi="Times New Roman" w:eastAsia="仿宋_GB2312" w:cs="Times New Roman"/>
          <w:b w:val="0"/>
          <w:bCs w:val="0"/>
          <w:highlight w:val="none"/>
          <w:lang w:val="en-US" w:eastAsia="zh-CN"/>
        </w:rPr>
        <w:t>了</w:t>
      </w:r>
      <w:r>
        <w:rPr>
          <w:rFonts w:hint="eastAsia" w:ascii="Times New Roman" w:hAnsi="Times New Roman" w:eastAsia="仿宋_GB2312" w:cs="Times New Roman"/>
          <w:b w:val="0"/>
          <w:bCs w:val="0"/>
          <w:highlight w:val="none"/>
          <w:lang w:eastAsia="zh-CN"/>
        </w:rPr>
        <w:t>办公环境</w:t>
      </w:r>
      <w:r>
        <w:rPr>
          <w:rFonts w:hint="default" w:ascii="Times New Roman" w:hAnsi="Times New Roman" w:eastAsia="仿宋_GB2312" w:cs="Times New Roman"/>
          <w:b w:val="0"/>
          <w:bCs w:val="0"/>
          <w:highlight w:val="none"/>
        </w:rPr>
        <w:t>。</w:t>
      </w:r>
    </w:p>
    <w:p w14:paraId="72767C4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w:t>
      </w:r>
      <w:r>
        <w:rPr>
          <w:rFonts w:hint="default" w:ascii="Times New Roman" w:hAnsi="Times New Roman" w:eastAsia="楷体_GB2312" w:cs="Times New Roman"/>
          <w:b/>
          <w:bCs/>
          <w:color w:val="auto"/>
          <w:sz w:val="32"/>
          <w:szCs w:val="32"/>
          <w:highlight w:val="none"/>
        </w:rPr>
        <w:t>则、评价指标体系（详情见表1）、评</w:t>
      </w:r>
      <w:r>
        <w:rPr>
          <w:rFonts w:hint="default" w:ascii="Times New Roman" w:hAnsi="Times New Roman" w:eastAsia="楷体_GB2312" w:cs="Times New Roman"/>
          <w:b/>
          <w:bCs/>
          <w:sz w:val="32"/>
          <w:szCs w:val="32"/>
        </w:rPr>
        <w:t>价方法、评价标准。</w:t>
      </w:r>
    </w:p>
    <w:p w14:paraId="3BAA9C4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53BDAEE6">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7C09A037">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5A4A3C0">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5C48080">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rPr>
        <w:t>（3）激励约束。绩效评价结果应与预算安排、政策调整、</w:t>
      </w:r>
      <w:r>
        <w:rPr>
          <w:rFonts w:hint="default" w:ascii="Times New Roman" w:hAnsi="Times New Roman" w:eastAsia="仿宋_GB2312" w:cs="Times New Roman"/>
          <w:b w:val="0"/>
          <w:bCs w:val="0"/>
          <w:highlight w:val="none"/>
        </w:rPr>
        <w:t>改进管理实质性挂钩，体现奖优罚劣和激励相容导向，有效要安排、低效要压减、无效要问责。</w:t>
      </w:r>
    </w:p>
    <w:p w14:paraId="10820562">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4495578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2AC08BEB">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212EE8C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710A2EE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63F75F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782F5AD1">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913D58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15B4AA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53386829">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13C2EC21">
      <w:pPr>
        <w:pStyle w:val="2"/>
        <w:widowControl w:val="0"/>
        <w:spacing w:before="0" w:after="0" w:line="560" w:lineRule="exact"/>
        <w:ind w:firstLine="708" w:firstLineChars="200"/>
        <w:jc w:val="both"/>
        <w:outlineLvl w:val="9"/>
        <w:rPr>
          <w:rFonts w:hint="eastAsia" w:ascii="Times New Roman" w:hAnsi="Times New Roman" w:eastAsia="仿宋_GB2312" w:cs="Times New Roman"/>
          <w:b w:val="0"/>
          <w:bCs w:val="0"/>
          <w:color w:val="000000"/>
          <w:spacing w:val="17"/>
          <w:highlight w:val="none"/>
          <w:lang w:eastAsia="zh-CN"/>
        </w:rPr>
      </w:pPr>
      <w:r>
        <w:rPr>
          <w:rFonts w:hint="default" w:ascii="Times New Roman" w:hAnsi="Times New Roman" w:eastAsia="仿宋_GB2312" w:cs="Times New Roman"/>
          <w:b w:val="0"/>
          <w:bCs w:val="0"/>
          <w:color w:val="000000"/>
          <w:spacing w:val="17"/>
          <w:highlight w:val="none"/>
        </w:rPr>
        <w:t>具体评价指标体系详情见附件</w:t>
      </w:r>
      <w:r>
        <w:rPr>
          <w:rFonts w:hint="eastAsia" w:ascii="Times New Roman" w:hAnsi="Times New Roman" w:eastAsia="仿宋_GB2312" w:cs="Times New Roman"/>
          <w:b w:val="0"/>
          <w:bCs w:val="0"/>
          <w:color w:val="000000"/>
          <w:spacing w:val="17"/>
          <w:highlight w:val="none"/>
          <w:lang w:val="en-US" w:eastAsia="zh-CN"/>
        </w:rPr>
        <w:t>2</w:t>
      </w:r>
    </w:p>
    <w:p w14:paraId="5B001A3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4D30EC4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7B01EC7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8AC9E6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（一）比较法。是指将实施情况与绩效目标、历史情况、不同部门和地区同类支出情况进行比较的方法。</w:t>
      </w:r>
    </w:p>
    <w:p w14:paraId="5DE8909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（二）因素分析法。是指综合分析影响绩效目标实现、实施效果的内外部因素的方法。</w:t>
      </w:r>
    </w:p>
    <w:p w14:paraId="5DB8795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（三）最低成本法。是指在绩效目标确定的前提下，成本最小者为优的方法。</w:t>
      </w:r>
    </w:p>
    <w:p w14:paraId="3D710E5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4735ED9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绩效评价标准通常包括计划标准、行业标准、历史标准等，用于对绩效指标完成情况进行比较、分析、评价。本次评价主要采用了计划标准和行业标准。</w:t>
      </w:r>
    </w:p>
    <w:p w14:paraId="32BD79F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7909A44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14:paraId="61DDF2FD">
      <w:pPr>
        <w:pStyle w:val="2"/>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119E605B">
      <w:pPr>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1D12FA8D">
      <w:pPr>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4976F7C">
      <w:pPr>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1EB4F60E">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8A43AE5">
      <w:pPr>
        <w:widowControl/>
        <w:spacing w:line="240" w:lineRule="exact"/>
        <w:jc w:val="left"/>
        <w:rPr>
          <w:rFonts w:hint="default" w:ascii="宋体" w:hAnsi="宋体" w:eastAsia="宋体" w:cs="宋体"/>
          <w:color w:val="000000"/>
          <w:kern w:val="0"/>
          <w:sz w:val="18"/>
          <w:szCs w:val="18"/>
        </w:rPr>
      </w:pPr>
    </w:p>
    <w:tbl>
      <w:tblPr>
        <w:tblStyle w:val="14"/>
        <w:tblpPr w:leftFromText="180" w:rightFromText="180" w:vertAnchor="text" w:horzAnchor="page" w:tblpX="2181" w:tblpY="335"/>
        <w:tblOverlap w:val="never"/>
        <w:tblW w:w="80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0"/>
        <w:gridCol w:w="1404"/>
        <w:gridCol w:w="2371"/>
        <w:gridCol w:w="1013"/>
        <w:gridCol w:w="1939"/>
      </w:tblGrid>
      <w:tr w14:paraId="24BF4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0239D">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一级指标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4559">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二级指标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2CD05">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三级指标</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F9DB">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指标值</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A22D">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指标分值权重</w:t>
            </w:r>
          </w:p>
        </w:tc>
      </w:tr>
      <w:tr w14:paraId="78232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FE3D0">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产出指标</w:t>
            </w: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14:paraId="72B9F4D7">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数量指标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18589">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办公楼散水建设</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CA87">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82.5平米</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943A">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r>
      <w:tr w14:paraId="3ED22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83A51">
            <w:pPr>
              <w:widowControl/>
              <w:spacing w:line="240" w:lineRule="exact"/>
              <w:jc w:val="left"/>
              <w:rPr>
                <w:rFonts w:hint="eastAsia" w:ascii="宋体" w:hAnsi="宋体" w:eastAsia="宋体" w:cs="宋体"/>
                <w:color w:val="000000"/>
                <w:kern w:val="0"/>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38F06511">
            <w:pPr>
              <w:widowControl/>
              <w:spacing w:line="240" w:lineRule="exact"/>
              <w:jc w:val="left"/>
              <w:rPr>
                <w:rFonts w:hint="eastAsia" w:ascii="宋体" w:hAnsi="宋体" w:eastAsia="宋体" w:cs="宋体"/>
                <w:color w:val="000000"/>
                <w:kern w:val="0"/>
                <w:sz w:val="18"/>
                <w:szCs w:val="18"/>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29D50">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院内安装LED庭院灯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E748">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5套</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4366">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r>
      <w:tr w14:paraId="7D7E5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73F55">
            <w:pPr>
              <w:widowControl/>
              <w:spacing w:line="240" w:lineRule="exact"/>
              <w:jc w:val="left"/>
              <w:rPr>
                <w:rFonts w:hint="eastAsia" w:ascii="宋体" w:hAnsi="宋体" w:eastAsia="宋体" w:cs="宋体"/>
                <w:color w:val="000000"/>
                <w:kern w:val="0"/>
                <w:sz w:val="18"/>
                <w:szCs w:val="18"/>
              </w:rPr>
            </w:pP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14:paraId="285F559D">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质量指标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D626">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办公楼散水建设达标率</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93D4">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BBFF">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15</w:t>
            </w:r>
          </w:p>
        </w:tc>
      </w:tr>
      <w:tr w14:paraId="62DB3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CF497">
            <w:pPr>
              <w:widowControl/>
              <w:spacing w:line="240" w:lineRule="exact"/>
              <w:jc w:val="left"/>
              <w:rPr>
                <w:rFonts w:hint="eastAsia" w:ascii="宋体" w:hAnsi="宋体" w:eastAsia="宋体" w:cs="宋体"/>
                <w:color w:val="000000"/>
                <w:kern w:val="0"/>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64B96475">
            <w:pPr>
              <w:widowControl/>
              <w:spacing w:line="240" w:lineRule="exact"/>
              <w:jc w:val="left"/>
              <w:rPr>
                <w:rFonts w:hint="eastAsia" w:ascii="宋体" w:hAnsi="宋体" w:eastAsia="宋体" w:cs="宋体"/>
                <w:color w:val="000000"/>
                <w:kern w:val="0"/>
                <w:sz w:val="18"/>
                <w:szCs w:val="18"/>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788F2">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LED庭院灯安装达标率</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7F89">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0C89">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15</w:t>
            </w:r>
          </w:p>
        </w:tc>
      </w:tr>
      <w:tr w14:paraId="07E54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418AA">
            <w:pPr>
              <w:widowControl/>
              <w:spacing w:line="240" w:lineRule="exact"/>
              <w:jc w:val="left"/>
              <w:rPr>
                <w:rFonts w:hint="eastAsia" w:ascii="宋体" w:hAnsi="宋体" w:eastAsia="宋体" w:cs="宋体"/>
                <w:color w:val="000000"/>
                <w:kern w:val="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2112">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时效指标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D0A8">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于2024年10月交付验收</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DFD87">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DD7F">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r>
      <w:tr w14:paraId="60222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6034A">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成本指标</w:t>
            </w:r>
          </w:p>
        </w:tc>
        <w:tc>
          <w:tcPr>
            <w:tcW w:w="1404" w:type="dxa"/>
            <w:tcBorders>
              <w:top w:val="single" w:color="000000" w:sz="4" w:space="0"/>
              <w:left w:val="single" w:color="000000" w:sz="4" w:space="0"/>
              <w:bottom w:val="nil"/>
              <w:right w:val="single" w:color="000000" w:sz="4" w:space="0"/>
            </w:tcBorders>
            <w:shd w:val="clear" w:color="auto" w:fill="auto"/>
            <w:vAlign w:val="center"/>
          </w:tcPr>
          <w:p w14:paraId="0C3857E5">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经济成本指标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26DCE">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项目建设费用-预算控制率</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41C3">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A96D0">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r>
      <w:tr w14:paraId="199DC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1280" w:type="dxa"/>
            <w:vMerge w:val="restart"/>
            <w:tcBorders>
              <w:top w:val="nil"/>
              <w:left w:val="single" w:color="000000" w:sz="4" w:space="0"/>
              <w:bottom w:val="nil"/>
              <w:right w:val="single" w:color="000000" w:sz="4" w:space="0"/>
            </w:tcBorders>
            <w:shd w:val="clear" w:color="auto" w:fill="auto"/>
            <w:vAlign w:val="center"/>
          </w:tcPr>
          <w:p w14:paraId="2886F9AE">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效益指标</w:t>
            </w: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14:paraId="109184A7">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社会效益指标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C4340">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保护墙基不受雨水侵蚀，保证房屋的巩固耐久。</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A53C">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7DCB">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5</w:t>
            </w:r>
          </w:p>
        </w:tc>
      </w:tr>
      <w:tr w14:paraId="0427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80" w:type="dxa"/>
            <w:vMerge w:val="continue"/>
            <w:tcBorders>
              <w:top w:val="nil"/>
              <w:left w:val="single" w:color="000000" w:sz="4" w:space="0"/>
              <w:bottom w:val="nil"/>
              <w:right w:val="single" w:color="000000" w:sz="4" w:space="0"/>
            </w:tcBorders>
            <w:shd w:val="clear" w:color="auto" w:fill="auto"/>
            <w:vAlign w:val="center"/>
          </w:tcPr>
          <w:p w14:paraId="41B6CEB6">
            <w:pPr>
              <w:widowControl/>
              <w:spacing w:line="240" w:lineRule="exact"/>
              <w:jc w:val="left"/>
              <w:rPr>
                <w:rFonts w:hint="eastAsia" w:ascii="宋体" w:hAnsi="宋体" w:eastAsia="宋体" w:cs="宋体"/>
                <w:color w:val="000000"/>
                <w:kern w:val="0"/>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15E9AF6A">
            <w:pPr>
              <w:widowControl/>
              <w:spacing w:line="240" w:lineRule="exact"/>
              <w:jc w:val="left"/>
              <w:rPr>
                <w:rFonts w:hint="eastAsia" w:ascii="宋体" w:hAnsi="宋体" w:eastAsia="宋体" w:cs="宋体"/>
                <w:color w:val="000000"/>
                <w:kern w:val="0"/>
                <w:sz w:val="18"/>
                <w:szCs w:val="18"/>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56E4">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改善办公环境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8765">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1CAF">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5</w:t>
            </w:r>
          </w:p>
        </w:tc>
      </w:tr>
      <w:tr w14:paraId="3B26B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2DA7">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满意度指标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2252">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满意度指标</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EF4A">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受益群众满意度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D323">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≧98%</w:t>
            </w:r>
          </w:p>
        </w:tc>
        <w:tc>
          <w:tcPr>
            <w:tcW w:w="1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F99DB">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20</w:t>
            </w:r>
          </w:p>
        </w:tc>
      </w:tr>
    </w:tbl>
    <w:p w14:paraId="467CFBC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611ECF6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阿勒泰地区无线电管理局办公楼散水建设</w:t>
      </w:r>
      <w:r>
        <w:rPr>
          <w:rFonts w:hint="default" w:ascii="Times New Roman" w:hAnsi="Times New Roman" w:eastAsia="仿宋_GB2312" w:cs="Times New Roman"/>
          <w:sz w:val="32"/>
          <w:szCs w:val="32"/>
          <w:highlight w:val="none"/>
        </w:rPr>
        <w:t>，达到了预期的标准与要求。</w:t>
      </w:r>
    </w:p>
    <w:p w14:paraId="1E24798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color w:val="auto"/>
          <w:sz w:val="32"/>
          <w:szCs w:val="32"/>
          <w:highlight w:val="none"/>
        </w:rPr>
        <w:t>阿勒泰地区无线电管理局办公楼散水建设</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043C97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从项目效益的角度来看，本项目不仅实现了</w:t>
      </w:r>
      <w:r>
        <w:rPr>
          <w:rFonts w:hint="eastAsia" w:ascii="Times New Roman" w:hAnsi="Times New Roman" w:eastAsia="仿宋_GB2312" w:cs="Times New Roman"/>
          <w:color w:val="auto"/>
          <w:sz w:val="32"/>
          <w:szCs w:val="32"/>
          <w:highlight w:val="none"/>
          <w:lang w:val="en-US" w:eastAsia="zh-CN"/>
        </w:rPr>
        <w:t>保护墙基不受雨水侵蚀，保证房屋的巩固耐久，而且改善办公环境</w:t>
      </w:r>
      <w:r>
        <w:rPr>
          <w:rFonts w:hint="default" w:ascii="Times New Roman" w:hAnsi="Times New Roman" w:eastAsia="仿宋_GB2312" w:cs="Times New Roman"/>
          <w:color w:val="auto"/>
          <w:sz w:val="32"/>
          <w:szCs w:val="32"/>
          <w:highlight w:val="none"/>
        </w:rPr>
        <w:t>。</w:t>
      </w:r>
    </w:p>
    <w:p w14:paraId="2337217F">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阿勒泰地区无线电管理局办公楼散水建设</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4169A63A">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05DCF45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w:t>
      </w:r>
      <w:r>
        <w:rPr>
          <w:rFonts w:hint="default" w:ascii="Times New Roman" w:hAnsi="Times New Roman" w:eastAsia="仿宋_GB2312" w:cs="Times New Roman"/>
          <w:b w:val="0"/>
          <w:bCs w:val="0"/>
          <w:highlight w:val="none"/>
        </w:rPr>
        <w:t>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分，属于“优（良/中/差）”。其中，项目决策类指标权重为20分，得分为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24B26E27">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3E9E4FCA">
        <w:tblPrEx>
          <w:tblCellMar>
            <w:top w:w="0" w:type="dxa"/>
            <w:left w:w="108" w:type="dxa"/>
            <w:bottom w:w="0" w:type="dxa"/>
            <w:right w:w="108" w:type="dxa"/>
          </w:tblCellMar>
        </w:tblPrEx>
        <w:trPr>
          <w:trHeight w:val="2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AF6AB9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D83272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B9CB10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0544032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EF33BF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36C1A03E">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2A4C25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871058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F7E7AE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4541B8B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725F6D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4AC5D9F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705578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38C9867B">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825644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40E7D0A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206C9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23EC150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91C1FC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FF617A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837DAE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8ACB22A">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57451B13">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284C4FC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546CF872">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2912D89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w:t>
      </w:r>
      <w:r>
        <w:rPr>
          <w:rFonts w:hint="default" w:ascii="Times New Roman" w:hAnsi="Times New Roman" w:eastAsia="仿宋_GB2312" w:cs="Times New Roman"/>
          <w:color w:val="auto"/>
          <w:sz w:val="32"/>
          <w:szCs w:val="32"/>
          <w:highlight w:val="none"/>
          <w:lang w:val="en-US" w:eastAsia="zh-CN"/>
        </w:rPr>
        <w:t>由</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个三级指标构成</w:t>
      </w:r>
      <w:r>
        <w:rPr>
          <w:rFonts w:hint="default" w:ascii="Times New Roman" w:hAnsi="Times New Roman" w:eastAsia="仿宋_GB2312" w:cs="Times New Roman"/>
          <w:sz w:val="32"/>
          <w:szCs w:val="32"/>
          <w:highlight w:val="none"/>
          <w:lang w:val="en-US" w:eastAsia="zh-CN"/>
        </w:rPr>
        <w:t>，权重分值为20分，实际得分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2F03DC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BCA336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470717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w:t>
      </w:r>
      <w:r>
        <w:rPr>
          <w:rFonts w:hint="default" w:ascii="Times New Roman" w:hAnsi="Times New Roman" w:eastAsia="仿宋_GB2312" w:cs="Times New Roman"/>
          <w:sz w:val="32"/>
          <w:szCs w:val="32"/>
          <w:highlight w:val="none"/>
          <w:lang w:val="en-US" w:eastAsia="zh-CN"/>
        </w:rPr>
        <w:t>算。</w:t>
      </w:r>
      <w:r>
        <w:rPr>
          <w:rFonts w:hint="default" w:ascii="Times New Roman" w:hAnsi="Times New Roman" w:eastAsia="仿宋_GB2312" w:cs="Times New Roman"/>
          <w:sz w:val="32"/>
          <w:szCs w:val="32"/>
          <w:lang w:val="en-US" w:eastAsia="zh-CN"/>
        </w:rPr>
        <w:t>本项目与部门内部其他相关项目不重复。部门发展规划及职能文件等归档完整。</w:t>
      </w:r>
    </w:p>
    <w:p w14:paraId="125F32E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0D23E1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集体决策，保障了程序的规范性。</w:t>
      </w:r>
    </w:p>
    <w:p w14:paraId="31385ED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D54584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18EC2E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CC41D8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8A73D0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1D28E6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00F003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3428B9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本项目的预算编制过程严谨、科学，充分体现了精细化管理的要求。同时，预算编制还紧密结合了项目的特点与实际情况，对不同阶段、不同任务的资金需求进行了详细的分析与计算。</w:t>
      </w:r>
    </w:p>
    <w:p w14:paraId="10CAB16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14:paraId="01ACE60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BE213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本项目的资金分配遵循了公平、公正、透明的原则，确保了项目资源的合理配置与高效利用。具体而言，资金分配紧密结合了项目的特点与实际情况，对关键领域与重要环节给予了重点支持。</w:t>
      </w:r>
    </w:p>
    <w:p w14:paraId="6A138C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51756C4">
      <w:pPr>
        <w:pStyle w:val="2"/>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7962289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F0A394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78BE726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2D02FB9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本项</w:t>
      </w:r>
      <w:r>
        <w:rPr>
          <w:rFonts w:hint="default" w:ascii="Times New Roman" w:hAnsi="Times New Roman" w:eastAsia="仿宋_GB2312" w:cs="Times New Roman"/>
          <w:sz w:val="32"/>
          <w:szCs w:val="32"/>
          <w:highlight w:val="none"/>
          <w:lang w:val="en-US" w:eastAsia="zh-CN"/>
        </w:rPr>
        <w:t>目总投资</w:t>
      </w:r>
      <w:r>
        <w:rPr>
          <w:rFonts w:hint="eastAsia" w:eastAsia="仿宋_GB2312" w:cs="Times New Roman"/>
          <w:sz w:val="32"/>
          <w:szCs w:val="32"/>
          <w:highlight w:val="none"/>
          <w:lang w:val="en-US" w:eastAsia="zh-CN"/>
        </w:rPr>
        <w:t>6.58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313D38B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（2）预算执行率</w:t>
      </w:r>
    </w:p>
    <w:p w14:paraId="31751B5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w:t>
      </w:r>
      <w:r>
        <w:rPr>
          <w:rFonts w:hint="default" w:ascii="Times New Roman" w:hAnsi="Times New Roman" w:eastAsia="仿宋_GB2312" w:cs="Times New Roman"/>
          <w:sz w:val="32"/>
          <w:szCs w:val="32"/>
          <w:highlight w:val="none"/>
          <w:lang w:val="en-US" w:eastAsia="zh-CN"/>
        </w:rPr>
        <w:t>制较为详细，项目资金支出总体能够按照预算执行，预算资金支出</w:t>
      </w:r>
      <w:r>
        <w:rPr>
          <w:rFonts w:hint="eastAsia" w:eastAsia="仿宋_GB2312" w:cs="Times New Roman"/>
          <w:sz w:val="32"/>
          <w:szCs w:val="32"/>
          <w:highlight w:val="none"/>
          <w:lang w:val="en-US" w:eastAsia="zh-CN"/>
        </w:rPr>
        <w:t>6.58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w:t>
      </w:r>
    </w:p>
    <w:p w14:paraId="48CDA99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26A07E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85514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5ACFE7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33BF44D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40AABD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lang w:eastAsia="zh-CN"/>
        </w:rPr>
        <w:t>建立了有效的监督机制与反馈机制，对项目的实施情况进行定期检查与评估，及时发现并纠正可能存在的问题。</w:t>
      </w:r>
    </w:p>
    <w:p w14:paraId="72CA252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41780B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245070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项目团队成员严格按照制度要求进行操作。同时，我们还建立了有效的沟通机制与反馈机制，确保项目信息的及时传递与问题的及时解决，进一步提高了制度执行的效率与效果。</w:t>
      </w:r>
    </w:p>
    <w:p w14:paraId="021A86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1A2E6366">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388DCD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w:t>
      </w:r>
      <w:r>
        <w:rPr>
          <w:rFonts w:hint="default" w:ascii="Times New Roman" w:hAnsi="Times New Roman" w:eastAsia="仿宋_GB2312" w:cs="Times New Roman"/>
          <w:sz w:val="32"/>
          <w:szCs w:val="32"/>
          <w:highlight w:val="none"/>
          <w:lang w:val="en-US" w:eastAsia="zh-CN"/>
        </w:rPr>
        <w:t>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w:t>
      </w:r>
      <w:r>
        <w:rPr>
          <w:rFonts w:hint="default" w:ascii="Times New Roman" w:hAnsi="Times New Roman" w:eastAsia="仿宋_GB2312" w:cs="Times New Roman"/>
          <w:sz w:val="32"/>
          <w:szCs w:val="32"/>
          <w:lang w:val="en-US" w:eastAsia="zh-CN"/>
        </w:rPr>
        <w:t>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19ED4EA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02B51BD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办公楼散水建设</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82.5平米</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82.5平米</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FEE173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院内安装LED庭院灯</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5套</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5套</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735041E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5C31FFE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办公楼散水建设达标率</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4832ED0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LED庭院灯安装达标率</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698D423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09CEC9B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项目于2024年10月交付验收</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23E8AFA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6315EBE2">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项目建设费用-预算控制率</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5595FB6F">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A1B056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w:t>
      </w:r>
      <w:r>
        <w:rPr>
          <w:rFonts w:hint="default" w:ascii="Times New Roman" w:hAnsi="Times New Roman" w:eastAsia="仿宋_GB2312" w:cs="Times New Roman"/>
          <w:sz w:val="32"/>
          <w:szCs w:val="32"/>
          <w:highlight w:val="none"/>
          <w:lang w:val="en-US" w:eastAsia="zh-CN"/>
        </w:rPr>
        <w:t>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w:t>
      </w:r>
      <w:r>
        <w:rPr>
          <w:rFonts w:hint="default" w:ascii="Times New Roman" w:hAnsi="Times New Roman" w:eastAsia="仿宋_GB2312" w:cs="Times New Roman"/>
          <w:sz w:val="32"/>
          <w:szCs w:val="32"/>
          <w:lang w:val="en-US" w:eastAsia="zh-CN"/>
        </w:rPr>
        <w:t>标完成情况如下：</w:t>
      </w:r>
    </w:p>
    <w:p w14:paraId="3DF6B231">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42C6A248">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0614C1A0">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保护墙基不受雨水侵蚀，保证房屋的巩固耐久，</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42D230A3">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改善办公环境</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60A1C4C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79B8296C">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受益群众满意度，</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78661CB6">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14:paraId="62A4AD05">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2024</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6.58</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6.58</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6.58</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p>
    <w:p w14:paraId="114BAD97">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318B422">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73F569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FE91CEB">
      <w:pPr>
        <w:pStyle w:val="2"/>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2820B84">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74ACF661">
      <w:pPr>
        <w:numPr>
          <w:ilvl w:val="0"/>
          <w:numId w:val="0"/>
        </w:num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1.项目成员对于项目管理方面专业知识的系统性学习有待加强，对预算立项的整体内容需要进一步细化。</w:t>
      </w:r>
    </w:p>
    <w:p w14:paraId="449C225D">
      <w:pPr>
        <w:numPr>
          <w:ilvl w:val="0"/>
          <w:numId w:val="0"/>
        </w:num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2.工</w:t>
      </w:r>
      <w:r>
        <w:rPr>
          <w:rFonts w:hint="eastAsia" w:eastAsia="仿宋_GB2312" w:cs="Times New Roman"/>
          <w:sz w:val="32"/>
          <w:szCs w:val="32"/>
          <w:highlight w:val="none"/>
          <w:lang w:val="en-US" w:eastAsia="zh-CN"/>
        </w:rPr>
        <w:t>作人员</w:t>
      </w:r>
      <w:r>
        <w:rPr>
          <w:rFonts w:hint="default" w:ascii="Times New Roman" w:hAnsi="Times New Roman" w:eastAsia="仿宋_GB2312" w:cs="Times New Roman"/>
          <w:sz w:val="32"/>
          <w:szCs w:val="32"/>
          <w:highlight w:val="none"/>
          <w:lang w:val="en-US" w:eastAsia="zh-CN"/>
        </w:rPr>
        <w:t>在绩效自评过程中，由于部分人员缺乏相关绩效管理专业知识，自评价工作还存在自我审定的局限性，影响评价质量。</w:t>
      </w:r>
    </w:p>
    <w:p w14:paraId="2CD574B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17F881E7">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4E3D2A9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5B9B8AE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60B6113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0544B19">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0B59C68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w:t>
      </w:r>
    </w:p>
    <w:p w14:paraId="1262E06C">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54A5E75">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24B6A32F">
      <w:pPr>
        <w:pStyle w:val="13"/>
        <w:spacing w:after="0" w:line="560" w:lineRule="exact"/>
        <w:ind w:left="0" w:leftChars="0" w:firstLine="640"/>
        <w:rPr>
          <w:rFonts w:hint="default" w:ascii="Times New Roman" w:hAnsi="Times New Roman" w:eastAsia="仿宋_GB2312" w:cs="Times New Roman"/>
          <w:sz w:val="32"/>
          <w:szCs w:val="32"/>
          <w:lang w:eastAsia="zh-Hans"/>
        </w:rPr>
      </w:pPr>
    </w:p>
    <w:p w14:paraId="33B3A544">
      <w:pPr>
        <w:pStyle w:val="13"/>
        <w:spacing w:after="0" w:line="560" w:lineRule="exact"/>
        <w:ind w:left="0" w:leftChars="0" w:firstLine="640"/>
        <w:rPr>
          <w:rFonts w:hint="default" w:ascii="Times New Roman" w:hAnsi="Times New Roman" w:eastAsia="仿宋_GB2312" w:cs="Times New Roman"/>
          <w:sz w:val="32"/>
          <w:szCs w:val="32"/>
          <w:lang w:eastAsia="zh-Hans"/>
        </w:rPr>
      </w:pPr>
    </w:p>
    <w:p w14:paraId="4EC801CB">
      <w:pPr>
        <w:pStyle w:val="13"/>
        <w:spacing w:after="0" w:line="560" w:lineRule="exact"/>
        <w:ind w:left="0" w:leftChars="0" w:firstLine="640"/>
        <w:rPr>
          <w:rFonts w:hint="default" w:ascii="Times New Roman" w:hAnsi="Times New Roman" w:eastAsia="仿宋_GB2312" w:cs="Times New Roman"/>
          <w:sz w:val="32"/>
          <w:szCs w:val="32"/>
          <w:lang w:eastAsia="zh-Hans"/>
        </w:rPr>
      </w:pPr>
    </w:p>
    <w:p w14:paraId="34C0BB4B">
      <w:pPr>
        <w:pStyle w:val="13"/>
        <w:spacing w:after="0" w:line="560" w:lineRule="exact"/>
        <w:ind w:left="0" w:leftChars="0" w:firstLine="640"/>
        <w:rPr>
          <w:rFonts w:hint="default" w:ascii="Times New Roman" w:hAnsi="Times New Roman" w:eastAsia="仿宋_GB2312" w:cs="Times New Roman"/>
          <w:sz w:val="32"/>
          <w:szCs w:val="32"/>
          <w:lang w:eastAsia="zh-Hans"/>
        </w:rPr>
      </w:pPr>
    </w:p>
    <w:p w14:paraId="075BDBE0">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ED848E9">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28F61E5D">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B094668">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D6080D6">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F2AE990">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6C9932A4">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3EE8EA2">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CEFC15D">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3D6B9A0">
      <w:pPr>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br w:type="page"/>
      </w:r>
    </w:p>
    <w:p w14:paraId="482001E3">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p>
    <w:p w14:paraId="4EC517EB">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8F04AE2">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阿勒泰地区无线电管理局办公楼散水</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639"/>
        <w:gridCol w:w="397"/>
        <w:gridCol w:w="477"/>
        <w:gridCol w:w="2929"/>
        <w:gridCol w:w="3524"/>
        <w:gridCol w:w="397"/>
        <w:gridCol w:w="397"/>
      </w:tblGrid>
      <w:tr w14:paraId="0D9BC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88" w:type="pct"/>
            <w:shd w:val="clear" w:color="auto" w:fill="FFFFFF"/>
            <w:vAlign w:val="center"/>
          </w:tcPr>
          <w:p w14:paraId="046D7F7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238" w:type="pct"/>
            <w:shd w:val="clear" w:color="auto" w:fill="FFFFFF"/>
            <w:vAlign w:val="center"/>
          </w:tcPr>
          <w:p w14:paraId="0A7723F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306" w:type="pct"/>
            <w:shd w:val="clear" w:color="auto" w:fill="FFFFFF"/>
            <w:vAlign w:val="center"/>
          </w:tcPr>
          <w:p w14:paraId="0FCB620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693" w:type="pct"/>
            <w:shd w:val="clear" w:color="auto" w:fill="FFFFFF"/>
            <w:vAlign w:val="center"/>
          </w:tcPr>
          <w:p w14:paraId="1A970BB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32" w:type="pct"/>
            <w:shd w:val="clear" w:color="auto" w:fill="FFFFFF"/>
            <w:vAlign w:val="center"/>
          </w:tcPr>
          <w:p w14:paraId="0E28C69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62" w:type="pct"/>
            <w:shd w:val="clear" w:color="auto" w:fill="FFFFFF"/>
            <w:vAlign w:val="center"/>
          </w:tcPr>
          <w:p w14:paraId="1F6A99B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76" w:type="pct"/>
            <w:shd w:val="clear" w:color="auto" w:fill="FFFFFF"/>
            <w:vAlign w:val="center"/>
          </w:tcPr>
          <w:p w14:paraId="524579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1C730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1" w:hRule="atLeast"/>
          <w:jc w:val="center"/>
        </w:trPr>
        <w:tc>
          <w:tcPr>
            <w:tcW w:w="388" w:type="pct"/>
            <w:vMerge w:val="restart"/>
            <w:shd w:val="clear" w:color="auto" w:fill="FFFFFF"/>
            <w:vAlign w:val="center"/>
          </w:tcPr>
          <w:p w14:paraId="6A7F4783">
            <w:pPr>
              <w:widowControl/>
              <w:spacing w:line="0" w:lineRule="atLeast"/>
              <w:jc w:val="center"/>
              <w:rPr>
                <w:rFonts w:hint="default" w:ascii="Times New Roman" w:hAnsi="Times New Roman" w:eastAsia="仿宋_GB2312" w:cs="Times New Roman"/>
                <w:color w:val="000000"/>
                <w:kern w:val="0"/>
                <w:sz w:val="18"/>
                <w:szCs w:val="18"/>
              </w:rPr>
            </w:pPr>
          </w:p>
          <w:p w14:paraId="22DB5F4F">
            <w:pPr>
              <w:widowControl/>
              <w:spacing w:line="0" w:lineRule="atLeast"/>
              <w:jc w:val="center"/>
              <w:rPr>
                <w:rFonts w:hint="default" w:ascii="Times New Roman" w:hAnsi="Times New Roman" w:eastAsia="仿宋_GB2312" w:cs="Times New Roman"/>
                <w:color w:val="000000"/>
                <w:kern w:val="0"/>
                <w:sz w:val="18"/>
                <w:szCs w:val="18"/>
              </w:rPr>
            </w:pPr>
          </w:p>
          <w:p w14:paraId="73196500">
            <w:pPr>
              <w:widowControl/>
              <w:spacing w:line="0" w:lineRule="atLeast"/>
              <w:jc w:val="center"/>
              <w:rPr>
                <w:rFonts w:hint="default" w:ascii="Times New Roman" w:hAnsi="Times New Roman" w:eastAsia="仿宋_GB2312" w:cs="Times New Roman"/>
                <w:color w:val="000000"/>
                <w:kern w:val="0"/>
                <w:sz w:val="18"/>
                <w:szCs w:val="18"/>
              </w:rPr>
            </w:pPr>
          </w:p>
          <w:p w14:paraId="4ABB8F19">
            <w:pPr>
              <w:widowControl/>
              <w:spacing w:line="0" w:lineRule="atLeast"/>
              <w:jc w:val="center"/>
              <w:rPr>
                <w:rFonts w:hint="default" w:ascii="Times New Roman" w:hAnsi="Times New Roman" w:eastAsia="仿宋_GB2312" w:cs="Times New Roman"/>
                <w:color w:val="000000"/>
                <w:kern w:val="0"/>
                <w:sz w:val="18"/>
                <w:szCs w:val="18"/>
              </w:rPr>
            </w:pPr>
          </w:p>
          <w:p w14:paraId="0AEE18EF">
            <w:pPr>
              <w:widowControl/>
              <w:spacing w:line="0" w:lineRule="atLeast"/>
              <w:jc w:val="center"/>
              <w:rPr>
                <w:rFonts w:hint="default" w:ascii="Times New Roman" w:hAnsi="Times New Roman" w:eastAsia="仿宋_GB2312" w:cs="Times New Roman"/>
                <w:color w:val="000000"/>
                <w:kern w:val="0"/>
                <w:sz w:val="18"/>
                <w:szCs w:val="18"/>
              </w:rPr>
            </w:pPr>
          </w:p>
          <w:p w14:paraId="0C8B55A7">
            <w:pPr>
              <w:widowControl/>
              <w:spacing w:line="0" w:lineRule="atLeast"/>
              <w:jc w:val="center"/>
              <w:rPr>
                <w:rFonts w:hint="default" w:ascii="Times New Roman" w:hAnsi="Times New Roman" w:eastAsia="仿宋_GB2312" w:cs="Times New Roman"/>
                <w:color w:val="000000"/>
                <w:kern w:val="0"/>
                <w:sz w:val="18"/>
                <w:szCs w:val="18"/>
              </w:rPr>
            </w:pPr>
          </w:p>
          <w:p w14:paraId="6E51C51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238" w:type="pct"/>
            <w:vMerge w:val="restart"/>
            <w:shd w:val="clear" w:color="auto" w:fill="FFFFFF"/>
            <w:vAlign w:val="center"/>
          </w:tcPr>
          <w:p w14:paraId="799916A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306" w:type="pct"/>
            <w:shd w:val="clear" w:color="auto" w:fill="FFFFFF"/>
            <w:vAlign w:val="center"/>
          </w:tcPr>
          <w:p w14:paraId="5A5704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69A8A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693" w:type="pct"/>
            <w:shd w:val="clear" w:color="auto" w:fill="FFFFFF"/>
            <w:vAlign w:val="center"/>
          </w:tcPr>
          <w:p w14:paraId="578BFB5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32" w:type="pct"/>
            <w:shd w:val="clear" w:color="auto" w:fill="FFFFFF"/>
            <w:vAlign w:val="center"/>
          </w:tcPr>
          <w:p w14:paraId="0715C4C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w:t>
            </w:r>
            <w:bookmarkStart w:id="3" w:name="_GoBack"/>
            <w:bookmarkEnd w:id="3"/>
            <w:r>
              <w:rPr>
                <w:rFonts w:hint="default" w:ascii="Times New Roman" w:hAnsi="Times New Roman" w:eastAsia="仿宋_GB2312" w:cs="Times New Roman"/>
                <w:color w:val="000000"/>
                <w:kern w:val="0"/>
                <w:sz w:val="18"/>
                <w:szCs w:val="18"/>
              </w:rPr>
              <w:t>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62" w:type="pct"/>
            <w:shd w:val="clear" w:color="auto" w:fill="FFFFFF"/>
            <w:vAlign w:val="center"/>
          </w:tcPr>
          <w:p w14:paraId="71A7B60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76" w:type="pct"/>
            <w:shd w:val="clear" w:color="auto" w:fill="FFFFFF"/>
            <w:vAlign w:val="center"/>
          </w:tcPr>
          <w:p w14:paraId="223380A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55B1E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88" w:type="pct"/>
            <w:vMerge w:val="continue"/>
            <w:shd w:val="clear" w:color="auto" w:fill="FFFFFF"/>
            <w:vAlign w:val="center"/>
          </w:tcPr>
          <w:p w14:paraId="1758CC10">
            <w:pPr>
              <w:spacing w:line="0" w:lineRule="atLeast"/>
              <w:jc w:val="center"/>
              <w:rPr>
                <w:rFonts w:hint="default" w:ascii="Times New Roman" w:hAnsi="Times New Roman" w:eastAsia="仿宋_GB2312" w:cs="Times New Roman"/>
                <w:color w:val="000000"/>
                <w:kern w:val="0"/>
                <w:sz w:val="18"/>
                <w:szCs w:val="18"/>
              </w:rPr>
            </w:pPr>
          </w:p>
        </w:tc>
        <w:tc>
          <w:tcPr>
            <w:tcW w:w="238" w:type="pct"/>
            <w:vMerge w:val="continue"/>
            <w:shd w:val="clear" w:color="auto" w:fill="FFFFFF"/>
            <w:vAlign w:val="center"/>
          </w:tcPr>
          <w:p w14:paraId="086E5DA7">
            <w:pPr>
              <w:widowControl/>
              <w:spacing w:line="0" w:lineRule="atLeast"/>
              <w:jc w:val="center"/>
              <w:rPr>
                <w:rFonts w:hint="default" w:ascii="Times New Roman" w:hAnsi="Times New Roman" w:eastAsia="仿宋_GB2312" w:cs="Times New Roman"/>
                <w:color w:val="000000"/>
                <w:kern w:val="0"/>
                <w:sz w:val="18"/>
                <w:szCs w:val="18"/>
              </w:rPr>
            </w:pPr>
          </w:p>
        </w:tc>
        <w:tc>
          <w:tcPr>
            <w:tcW w:w="306" w:type="pct"/>
            <w:shd w:val="clear" w:color="auto" w:fill="FFFFFF"/>
            <w:vAlign w:val="center"/>
          </w:tcPr>
          <w:p w14:paraId="1F09BF1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2B4D23C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693" w:type="pct"/>
            <w:shd w:val="clear" w:color="auto" w:fill="FFFFFF"/>
            <w:vAlign w:val="center"/>
          </w:tcPr>
          <w:p w14:paraId="05F6601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32" w:type="pct"/>
            <w:shd w:val="clear" w:color="auto" w:fill="FFFFFF"/>
            <w:vAlign w:val="center"/>
          </w:tcPr>
          <w:p w14:paraId="0CCCD2F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62" w:type="pct"/>
            <w:shd w:val="clear" w:color="auto" w:fill="FFFFFF"/>
            <w:vAlign w:val="center"/>
          </w:tcPr>
          <w:p w14:paraId="676C20F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76" w:type="pct"/>
            <w:shd w:val="clear" w:color="auto" w:fill="FFFFFF"/>
            <w:vAlign w:val="center"/>
          </w:tcPr>
          <w:p w14:paraId="3BFD46E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541B6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88" w:type="pct"/>
            <w:vMerge w:val="continue"/>
            <w:shd w:val="clear" w:color="auto" w:fill="FFFFFF"/>
            <w:vAlign w:val="center"/>
          </w:tcPr>
          <w:p w14:paraId="7904433E">
            <w:pPr>
              <w:spacing w:line="0" w:lineRule="atLeast"/>
              <w:jc w:val="center"/>
              <w:rPr>
                <w:rFonts w:hint="default" w:ascii="Times New Roman" w:hAnsi="Times New Roman" w:eastAsia="仿宋_GB2312" w:cs="Times New Roman"/>
                <w:color w:val="000000"/>
                <w:kern w:val="0"/>
                <w:sz w:val="18"/>
                <w:szCs w:val="18"/>
              </w:rPr>
            </w:pPr>
          </w:p>
        </w:tc>
        <w:tc>
          <w:tcPr>
            <w:tcW w:w="238" w:type="pct"/>
            <w:vMerge w:val="restart"/>
            <w:shd w:val="clear" w:color="auto" w:fill="FFFFFF"/>
            <w:vAlign w:val="center"/>
          </w:tcPr>
          <w:p w14:paraId="04C388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306" w:type="pct"/>
            <w:shd w:val="clear" w:color="auto" w:fill="FFFFFF"/>
            <w:vAlign w:val="center"/>
          </w:tcPr>
          <w:p w14:paraId="1D1732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30FF1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693" w:type="pct"/>
            <w:shd w:val="clear" w:color="000000" w:fill="FFFFFF"/>
            <w:vAlign w:val="center"/>
          </w:tcPr>
          <w:p w14:paraId="1F1275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32" w:type="pct"/>
            <w:shd w:val="clear" w:color="000000" w:fill="FFFFFF"/>
            <w:vAlign w:val="center"/>
          </w:tcPr>
          <w:p w14:paraId="6804694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73D038E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62" w:type="pct"/>
            <w:shd w:val="clear" w:color="000000" w:fill="FFFFFF"/>
            <w:vAlign w:val="center"/>
          </w:tcPr>
          <w:p w14:paraId="62481D5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76" w:type="pct"/>
            <w:shd w:val="clear" w:color="000000" w:fill="FFFFFF"/>
            <w:vAlign w:val="center"/>
          </w:tcPr>
          <w:p w14:paraId="01E59EC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330F1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2" w:hRule="atLeast"/>
          <w:jc w:val="center"/>
        </w:trPr>
        <w:tc>
          <w:tcPr>
            <w:tcW w:w="388" w:type="pct"/>
            <w:vMerge w:val="continue"/>
            <w:shd w:val="clear" w:color="auto" w:fill="FFFFFF"/>
            <w:vAlign w:val="center"/>
          </w:tcPr>
          <w:p w14:paraId="7DD3C018">
            <w:pPr>
              <w:widowControl/>
              <w:spacing w:line="0" w:lineRule="atLeast"/>
              <w:jc w:val="center"/>
              <w:rPr>
                <w:rFonts w:hint="default" w:ascii="Times New Roman" w:hAnsi="Times New Roman" w:eastAsia="仿宋_GB2312" w:cs="Times New Roman"/>
                <w:color w:val="000000"/>
                <w:kern w:val="0"/>
                <w:sz w:val="18"/>
                <w:szCs w:val="18"/>
              </w:rPr>
            </w:pPr>
          </w:p>
        </w:tc>
        <w:tc>
          <w:tcPr>
            <w:tcW w:w="238" w:type="pct"/>
            <w:vMerge w:val="continue"/>
            <w:shd w:val="clear" w:color="auto" w:fill="FFFFFF"/>
            <w:vAlign w:val="center"/>
          </w:tcPr>
          <w:p w14:paraId="51DFF6E9">
            <w:pPr>
              <w:widowControl/>
              <w:spacing w:line="0" w:lineRule="atLeast"/>
              <w:jc w:val="center"/>
              <w:rPr>
                <w:rFonts w:hint="default" w:ascii="Times New Roman" w:hAnsi="Times New Roman" w:eastAsia="仿宋_GB2312" w:cs="Times New Roman"/>
                <w:color w:val="000000"/>
                <w:kern w:val="0"/>
                <w:sz w:val="18"/>
                <w:szCs w:val="18"/>
              </w:rPr>
            </w:pPr>
          </w:p>
        </w:tc>
        <w:tc>
          <w:tcPr>
            <w:tcW w:w="306" w:type="pct"/>
            <w:shd w:val="clear" w:color="auto" w:fill="FFFFFF"/>
            <w:vAlign w:val="center"/>
          </w:tcPr>
          <w:p w14:paraId="028632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EE8D9A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693" w:type="pct"/>
            <w:shd w:val="clear" w:color="000000" w:fill="FFFFFF"/>
            <w:vAlign w:val="center"/>
          </w:tcPr>
          <w:p w14:paraId="19A0F21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32" w:type="pct"/>
            <w:shd w:val="clear" w:color="000000" w:fill="FFFFFF"/>
            <w:vAlign w:val="center"/>
          </w:tcPr>
          <w:p w14:paraId="565657B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62" w:type="pct"/>
            <w:shd w:val="clear" w:color="000000" w:fill="FFFFFF"/>
            <w:vAlign w:val="center"/>
          </w:tcPr>
          <w:p w14:paraId="0853E3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76" w:type="pct"/>
            <w:shd w:val="clear" w:color="000000" w:fill="FFFFFF"/>
            <w:vAlign w:val="center"/>
          </w:tcPr>
          <w:p w14:paraId="768DE206">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0E6AE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2" w:hRule="atLeast"/>
          <w:jc w:val="center"/>
        </w:trPr>
        <w:tc>
          <w:tcPr>
            <w:tcW w:w="388" w:type="pct"/>
            <w:vMerge w:val="continue"/>
            <w:shd w:val="clear" w:color="auto" w:fill="FFFFFF"/>
            <w:vAlign w:val="center"/>
          </w:tcPr>
          <w:p w14:paraId="6C98B0A7">
            <w:pPr>
              <w:spacing w:line="0" w:lineRule="atLeast"/>
              <w:jc w:val="center"/>
              <w:rPr>
                <w:rFonts w:hint="default" w:ascii="Times New Roman" w:hAnsi="Times New Roman" w:eastAsia="仿宋_GB2312" w:cs="Times New Roman"/>
                <w:color w:val="000000"/>
                <w:kern w:val="0"/>
                <w:sz w:val="18"/>
                <w:szCs w:val="18"/>
              </w:rPr>
            </w:pPr>
          </w:p>
        </w:tc>
        <w:tc>
          <w:tcPr>
            <w:tcW w:w="238" w:type="pct"/>
            <w:vMerge w:val="restart"/>
            <w:shd w:val="clear" w:color="auto" w:fill="FFFFFF"/>
            <w:vAlign w:val="center"/>
          </w:tcPr>
          <w:p w14:paraId="7FEED1D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51BA6A3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06" w:type="pct"/>
            <w:shd w:val="clear" w:color="auto" w:fill="FFFFFF"/>
            <w:vAlign w:val="center"/>
          </w:tcPr>
          <w:p w14:paraId="4ACF13B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284C05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693" w:type="pct"/>
            <w:shd w:val="clear" w:color="auto" w:fill="FFFFFF"/>
            <w:vAlign w:val="center"/>
          </w:tcPr>
          <w:p w14:paraId="757FE0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32" w:type="pct"/>
            <w:shd w:val="clear" w:color="auto" w:fill="FFFFFF"/>
            <w:vAlign w:val="center"/>
          </w:tcPr>
          <w:p w14:paraId="1E8ACEF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62" w:type="pct"/>
            <w:shd w:val="clear" w:color="auto" w:fill="FFFFFF"/>
            <w:vAlign w:val="center"/>
          </w:tcPr>
          <w:p w14:paraId="23C1543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76" w:type="pct"/>
            <w:shd w:val="clear" w:color="auto" w:fill="FFFFFF"/>
            <w:vAlign w:val="center"/>
          </w:tcPr>
          <w:p w14:paraId="699C6E5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6B268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50" w:hRule="atLeast"/>
          <w:jc w:val="center"/>
        </w:trPr>
        <w:tc>
          <w:tcPr>
            <w:tcW w:w="388" w:type="pct"/>
            <w:vMerge w:val="continue"/>
            <w:shd w:val="clear" w:color="auto" w:fill="FFFFFF"/>
            <w:vAlign w:val="center"/>
          </w:tcPr>
          <w:p w14:paraId="163D812A">
            <w:pPr>
              <w:widowControl/>
              <w:spacing w:line="0" w:lineRule="atLeast"/>
              <w:jc w:val="center"/>
              <w:rPr>
                <w:rFonts w:hint="default" w:ascii="Times New Roman" w:hAnsi="Times New Roman" w:eastAsia="仿宋_GB2312" w:cs="Times New Roman"/>
                <w:color w:val="000000"/>
                <w:kern w:val="0"/>
                <w:sz w:val="18"/>
                <w:szCs w:val="18"/>
              </w:rPr>
            </w:pPr>
          </w:p>
        </w:tc>
        <w:tc>
          <w:tcPr>
            <w:tcW w:w="238" w:type="pct"/>
            <w:vMerge w:val="continue"/>
            <w:shd w:val="clear" w:color="auto" w:fill="FFFFFF"/>
            <w:vAlign w:val="center"/>
          </w:tcPr>
          <w:p w14:paraId="3D3BAC60">
            <w:pPr>
              <w:widowControl/>
              <w:spacing w:line="0" w:lineRule="atLeast"/>
              <w:jc w:val="center"/>
              <w:rPr>
                <w:rFonts w:hint="default" w:ascii="Times New Roman" w:hAnsi="Times New Roman" w:eastAsia="仿宋_GB2312" w:cs="Times New Roman"/>
                <w:color w:val="000000"/>
                <w:kern w:val="0"/>
                <w:sz w:val="18"/>
                <w:szCs w:val="18"/>
              </w:rPr>
            </w:pPr>
          </w:p>
        </w:tc>
        <w:tc>
          <w:tcPr>
            <w:tcW w:w="306" w:type="pct"/>
            <w:shd w:val="clear" w:color="auto" w:fill="FFFFFF"/>
            <w:vAlign w:val="center"/>
          </w:tcPr>
          <w:p w14:paraId="5E12B3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4685297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693" w:type="pct"/>
            <w:shd w:val="clear" w:color="auto" w:fill="FFFFFF"/>
            <w:vAlign w:val="center"/>
          </w:tcPr>
          <w:p w14:paraId="5902902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32" w:type="pct"/>
            <w:shd w:val="clear" w:color="auto" w:fill="FFFFFF"/>
            <w:vAlign w:val="center"/>
          </w:tcPr>
          <w:p w14:paraId="7E31DFD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62" w:type="pct"/>
            <w:shd w:val="clear" w:color="auto" w:fill="FFFFFF"/>
            <w:vAlign w:val="center"/>
          </w:tcPr>
          <w:p w14:paraId="458D0DF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76" w:type="pct"/>
            <w:shd w:val="clear" w:color="auto" w:fill="FFFFFF"/>
            <w:vAlign w:val="center"/>
          </w:tcPr>
          <w:p w14:paraId="686D851F">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7D19D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67" w:hRule="atLeast"/>
          <w:jc w:val="center"/>
        </w:trPr>
        <w:tc>
          <w:tcPr>
            <w:tcW w:w="388" w:type="pct"/>
            <w:vMerge w:val="restart"/>
            <w:shd w:val="clear" w:color="auto" w:fill="FFFFFF"/>
            <w:vAlign w:val="center"/>
          </w:tcPr>
          <w:p w14:paraId="7D6E3E10">
            <w:pPr>
              <w:spacing w:line="0" w:lineRule="atLeast"/>
              <w:jc w:val="center"/>
              <w:rPr>
                <w:rFonts w:hint="default" w:ascii="Times New Roman" w:hAnsi="Times New Roman" w:eastAsia="仿宋_GB2312" w:cs="Times New Roman"/>
                <w:color w:val="000000"/>
                <w:kern w:val="0"/>
                <w:sz w:val="18"/>
                <w:szCs w:val="18"/>
              </w:rPr>
            </w:pPr>
          </w:p>
          <w:p w14:paraId="69C01225">
            <w:pPr>
              <w:spacing w:line="0" w:lineRule="atLeast"/>
              <w:jc w:val="center"/>
              <w:rPr>
                <w:rFonts w:hint="default" w:ascii="Times New Roman" w:hAnsi="Times New Roman" w:eastAsia="仿宋_GB2312" w:cs="Times New Roman"/>
                <w:color w:val="000000"/>
                <w:kern w:val="0"/>
                <w:sz w:val="18"/>
                <w:szCs w:val="18"/>
              </w:rPr>
            </w:pPr>
          </w:p>
          <w:p w14:paraId="4B1ECB00">
            <w:pPr>
              <w:spacing w:line="0" w:lineRule="atLeast"/>
              <w:jc w:val="center"/>
              <w:rPr>
                <w:rFonts w:hint="default" w:ascii="Times New Roman" w:hAnsi="Times New Roman" w:eastAsia="仿宋_GB2312" w:cs="Times New Roman"/>
                <w:color w:val="000000"/>
                <w:kern w:val="0"/>
                <w:sz w:val="18"/>
                <w:szCs w:val="18"/>
              </w:rPr>
            </w:pPr>
          </w:p>
          <w:p w14:paraId="466DEAC3">
            <w:pPr>
              <w:spacing w:line="0" w:lineRule="atLeast"/>
              <w:jc w:val="center"/>
              <w:rPr>
                <w:rFonts w:hint="default" w:ascii="Times New Roman" w:hAnsi="Times New Roman" w:eastAsia="仿宋_GB2312" w:cs="Times New Roman"/>
                <w:color w:val="000000"/>
                <w:kern w:val="0"/>
                <w:sz w:val="18"/>
                <w:szCs w:val="18"/>
              </w:rPr>
            </w:pPr>
          </w:p>
          <w:p w14:paraId="0444F741">
            <w:pPr>
              <w:spacing w:line="0" w:lineRule="atLeast"/>
              <w:jc w:val="center"/>
              <w:rPr>
                <w:rFonts w:hint="default" w:ascii="Times New Roman" w:hAnsi="Times New Roman" w:eastAsia="仿宋_GB2312" w:cs="Times New Roman"/>
                <w:color w:val="000000"/>
                <w:kern w:val="0"/>
                <w:sz w:val="18"/>
                <w:szCs w:val="18"/>
              </w:rPr>
            </w:pPr>
          </w:p>
          <w:p w14:paraId="78299519">
            <w:pPr>
              <w:spacing w:line="0" w:lineRule="atLeast"/>
              <w:jc w:val="center"/>
              <w:rPr>
                <w:rFonts w:hint="default" w:ascii="Times New Roman" w:hAnsi="Times New Roman" w:eastAsia="仿宋_GB2312" w:cs="Times New Roman"/>
                <w:color w:val="000000"/>
                <w:kern w:val="0"/>
                <w:sz w:val="18"/>
                <w:szCs w:val="18"/>
              </w:rPr>
            </w:pPr>
          </w:p>
          <w:p w14:paraId="41156269">
            <w:pPr>
              <w:spacing w:line="0" w:lineRule="atLeast"/>
              <w:jc w:val="center"/>
              <w:rPr>
                <w:rFonts w:hint="default" w:ascii="Times New Roman" w:hAnsi="Times New Roman" w:eastAsia="仿宋_GB2312" w:cs="Times New Roman"/>
                <w:color w:val="000000"/>
                <w:kern w:val="0"/>
                <w:sz w:val="18"/>
                <w:szCs w:val="18"/>
              </w:rPr>
            </w:pPr>
          </w:p>
          <w:p w14:paraId="4DD80B0E">
            <w:pPr>
              <w:spacing w:line="0" w:lineRule="atLeast"/>
              <w:jc w:val="center"/>
              <w:rPr>
                <w:rFonts w:hint="default" w:ascii="Times New Roman" w:hAnsi="Times New Roman" w:eastAsia="仿宋_GB2312" w:cs="Times New Roman"/>
                <w:color w:val="000000"/>
                <w:kern w:val="0"/>
                <w:sz w:val="18"/>
                <w:szCs w:val="18"/>
              </w:rPr>
            </w:pPr>
          </w:p>
          <w:p w14:paraId="138E1560">
            <w:pPr>
              <w:spacing w:line="0" w:lineRule="atLeast"/>
              <w:jc w:val="center"/>
              <w:rPr>
                <w:rFonts w:hint="default" w:ascii="Times New Roman" w:hAnsi="Times New Roman" w:eastAsia="仿宋_GB2312" w:cs="Times New Roman"/>
                <w:color w:val="000000"/>
                <w:kern w:val="0"/>
                <w:sz w:val="18"/>
                <w:szCs w:val="18"/>
              </w:rPr>
            </w:pPr>
          </w:p>
          <w:p w14:paraId="63982551">
            <w:pPr>
              <w:spacing w:line="0" w:lineRule="atLeast"/>
              <w:jc w:val="center"/>
              <w:rPr>
                <w:rFonts w:hint="default" w:ascii="Times New Roman" w:hAnsi="Times New Roman" w:eastAsia="仿宋_GB2312" w:cs="Times New Roman"/>
                <w:color w:val="000000"/>
                <w:kern w:val="0"/>
                <w:sz w:val="18"/>
                <w:szCs w:val="18"/>
              </w:rPr>
            </w:pPr>
          </w:p>
          <w:p w14:paraId="36D4A11B">
            <w:pPr>
              <w:spacing w:line="0" w:lineRule="atLeast"/>
              <w:jc w:val="center"/>
              <w:rPr>
                <w:rFonts w:hint="default" w:ascii="Times New Roman" w:hAnsi="Times New Roman" w:eastAsia="仿宋_GB2312" w:cs="Times New Roman"/>
                <w:color w:val="000000"/>
                <w:kern w:val="0"/>
                <w:sz w:val="18"/>
                <w:szCs w:val="18"/>
              </w:rPr>
            </w:pPr>
          </w:p>
          <w:p w14:paraId="32A3A7E3">
            <w:pPr>
              <w:spacing w:line="0" w:lineRule="atLeast"/>
              <w:jc w:val="center"/>
              <w:rPr>
                <w:rFonts w:hint="default" w:ascii="Times New Roman" w:hAnsi="Times New Roman" w:eastAsia="仿宋_GB2312" w:cs="Times New Roman"/>
                <w:color w:val="000000"/>
                <w:kern w:val="0"/>
                <w:sz w:val="18"/>
                <w:szCs w:val="18"/>
              </w:rPr>
            </w:pPr>
          </w:p>
          <w:p w14:paraId="1050D385">
            <w:pPr>
              <w:spacing w:line="0" w:lineRule="atLeast"/>
              <w:jc w:val="center"/>
              <w:rPr>
                <w:rFonts w:hint="default" w:ascii="Times New Roman" w:hAnsi="Times New Roman" w:eastAsia="仿宋_GB2312" w:cs="Times New Roman"/>
                <w:color w:val="000000"/>
                <w:kern w:val="0"/>
                <w:sz w:val="18"/>
                <w:szCs w:val="18"/>
              </w:rPr>
            </w:pPr>
          </w:p>
          <w:p w14:paraId="42DDA924">
            <w:pPr>
              <w:spacing w:line="0" w:lineRule="atLeast"/>
              <w:jc w:val="center"/>
              <w:rPr>
                <w:rFonts w:hint="default" w:ascii="Times New Roman" w:hAnsi="Times New Roman" w:eastAsia="仿宋_GB2312" w:cs="Times New Roman"/>
                <w:color w:val="000000"/>
                <w:kern w:val="0"/>
                <w:sz w:val="18"/>
                <w:szCs w:val="18"/>
              </w:rPr>
            </w:pPr>
          </w:p>
          <w:p w14:paraId="75687DAE">
            <w:pPr>
              <w:spacing w:line="0" w:lineRule="atLeast"/>
              <w:jc w:val="center"/>
              <w:rPr>
                <w:rFonts w:hint="default" w:ascii="Times New Roman" w:hAnsi="Times New Roman" w:eastAsia="仿宋_GB2312" w:cs="Times New Roman"/>
                <w:color w:val="000000"/>
                <w:kern w:val="0"/>
                <w:sz w:val="18"/>
                <w:szCs w:val="18"/>
              </w:rPr>
            </w:pPr>
          </w:p>
          <w:p w14:paraId="312523C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39A4A5A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238" w:type="pct"/>
            <w:vMerge w:val="restart"/>
            <w:shd w:val="clear" w:color="auto" w:fill="FFFFFF"/>
            <w:vAlign w:val="center"/>
          </w:tcPr>
          <w:p w14:paraId="7F806A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306" w:type="pct"/>
            <w:shd w:val="clear" w:color="auto" w:fill="FFFFFF"/>
            <w:vAlign w:val="center"/>
          </w:tcPr>
          <w:p w14:paraId="7C5C00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693" w:type="pct"/>
            <w:shd w:val="clear" w:color="000000" w:fill="FFFFFF"/>
            <w:vAlign w:val="center"/>
          </w:tcPr>
          <w:p w14:paraId="107F69C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32" w:type="pct"/>
            <w:shd w:val="clear" w:color="000000" w:fill="FFFFFF"/>
            <w:vAlign w:val="center"/>
          </w:tcPr>
          <w:p w14:paraId="1DC005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0A71F9D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06B535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62" w:type="pct"/>
            <w:shd w:val="clear" w:color="000000" w:fill="FFFFFF"/>
            <w:vAlign w:val="center"/>
          </w:tcPr>
          <w:p w14:paraId="4A18BED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76" w:type="pct"/>
            <w:shd w:val="clear" w:color="000000" w:fill="FFFFFF"/>
            <w:vAlign w:val="center"/>
          </w:tcPr>
          <w:p w14:paraId="02CB507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79AE0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0" w:hRule="atLeast"/>
          <w:jc w:val="center"/>
        </w:trPr>
        <w:tc>
          <w:tcPr>
            <w:tcW w:w="388" w:type="pct"/>
            <w:vMerge w:val="continue"/>
            <w:shd w:val="clear" w:color="auto" w:fill="FFFFFF"/>
            <w:vAlign w:val="center"/>
          </w:tcPr>
          <w:p w14:paraId="6FF7CE70">
            <w:pPr>
              <w:spacing w:line="0" w:lineRule="atLeast"/>
              <w:jc w:val="center"/>
              <w:rPr>
                <w:rFonts w:hint="default" w:ascii="Times New Roman" w:hAnsi="Times New Roman" w:eastAsia="仿宋_GB2312" w:cs="Times New Roman"/>
                <w:color w:val="000000"/>
                <w:kern w:val="0"/>
                <w:sz w:val="18"/>
                <w:szCs w:val="18"/>
              </w:rPr>
            </w:pPr>
          </w:p>
        </w:tc>
        <w:tc>
          <w:tcPr>
            <w:tcW w:w="238" w:type="pct"/>
            <w:vMerge w:val="continue"/>
            <w:shd w:val="clear" w:color="auto" w:fill="FFFFFF"/>
            <w:vAlign w:val="center"/>
          </w:tcPr>
          <w:p w14:paraId="328EC4CC">
            <w:pPr>
              <w:spacing w:line="0" w:lineRule="atLeast"/>
              <w:jc w:val="center"/>
              <w:rPr>
                <w:rFonts w:hint="default" w:ascii="Times New Roman" w:hAnsi="Times New Roman" w:eastAsia="仿宋_GB2312" w:cs="Times New Roman"/>
                <w:color w:val="000000"/>
                <w:kern w:val="0"/>
                <w:sz w:val="18"/>
                <w:szCs w:val="18"/>
              </w:rPr>
            </w:pPr>
          </w:p>
        </w:tc>
        <w:tc>
          <w:tcPr>
            <w:tcW w:w="306" w:type="pct"/>
            <w:shd w:val="clear" w:color="auto" w:fill="FFFFFF"/>
            <w:vAlign w:val="center"/>
          </w:tcPr>
          <w:p w14:paraId="71C60F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693" w:type="pct"/>
            <w:shd w:val="clear" w:color="auto" w:fill="FFFFFF"/>
            <w:vAlign w:val="center"/>
          </w:tcPr>
          <w:p w14:paraId="450F656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32" w:type="pct"/>
            <w:shd w:val="clear" w:color="auto" w:fill="FFFFFF"/>
            <w:vAlign w:val="center"/>
          </w:tcPr>
          <w:p w14:paraId="08FF252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62" w:type="pct"/>
            <w:shd w:val="clear" w:color="auto" w:fill="FFFFFF"/>
            <w:vAlign w:val="center"/>
          </w:tcPr>
          <w:p w14:paraId="268185A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76" w:type="pct"/>
            <w:shd w:val="clear" w:color="auto" w:fill="FFFFFF"/>
            <w:vAlign w:val="center"/>
          </w:tcPr>
          <w:p w14:paraId="2E2B4651">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5DEA4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36" w:hRule="atLeast"/>
          <w:jc w:val="center"/>
        </w:trPr>
        <w:tc>
          <w:tcPr>
            <w:tcW w:w="388" w:type="pct"/>
            <w:vMerge w:val="continue"/>
            <w:shd w:val="clear" w:color="auto" w:fill="FFFFFF"/>
            <w:vAlign w:val="center"/>
          </w:tcPr>
          <w:p w14:paraId="0498D7CB">
            <w:pPr>
              <w:spacing w:line="0" w:lineRule="atLeast"/>
              <w:jc w:val="center"/>
              <w:rPr>
                <w:rFonts w:hint="default" w:ascii="Times New Roman" w:hAnsi="Times New Roman" w:eastAsia="仿宋_GB2312" w:cs="Times New Roman"/>
                <w:color w:val="000000"/>
                <w:kern w:val="0"/>
                <w:sz w:val="18"/>
                <w:szCs w:val="18"/>
              </w:rPr>
            </w:pPr>
          </w:p>
        </w:tc>
        <w:tc>
          <w:tcPr>
            <w:tcW w:w="238" w:type="pct"/>
            <w:shd w:val="clear" w:color="auto" w:fill="FFFFFF"/>
            <w:vAlign w:val="center"/>
          </w:tcPr>
          <w:p w14:paraId="28B11B0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306" w:type="pct"/>
            <w:shd w:val="clear" w:color="auto" w:fill="FFFFFF"/>
            <w:vAlign w:val="center"/>
          </w:tcPr>
          <w:p w14:paraId="7AF078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69792B5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693" w:type="pct"/>
            <w:shd w:val="clear" w:color="000000" w:fill="FFFFFF"/>
            <w:vAlign w:val="center"/>
          </w:tcPr>
          <w:p w14:paraId="5AB7F2D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32" w:type="pct"/>
            <w:shd w:val="clear" w:color="000000" w:fill="FFFFFF"/>
            <w:vAlign w:val="center"/>
          </w:tcPr>
          <w:p w14:paraId="4C03C5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62" w:type="pct"/>
            <w:shd w:val="clear" w:color="000000" w:fill="FFFFFF"/>
            <w:vAlign w:val="center"/>
          </w:tcPr>
          <w:p w14:paraId="561B6A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76" w:type="pct"/>
            <w:shd w:val="clear" w:color="000000" w:fill="FFFFFF"/>
            <w:vAlign w:val="center"/>
          </w:tcPr>
          <w:p w14:paraId="73AB640D">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26E1C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5" w:hRule="atLeast"/>
          <w:jc w:val="center"/>
        </w:trPr>
        <w:tc>
          <w:tcPr>
            <w:tcW w:w="388" w:type="pct"/>
            <w:vMerge w:val="continue"/>
            <w:shd w:val="clear" w:color="auto" w:fill="FFFFFF"/>
            <w:vAlign w:val="center"/>
          </w:tcPr>
          <w:p w14:paraId="3E5E9C5D">
            <w:pPr>
              <w:spacing w:line="0" w:lineRule="atLeast"/>
              <w:jc w:val="center"/>
              <w:rPr>
                <w:rFonts w:hint="default" w:ascii="Times New Roman" w:hAnsi="Times New Roman" w:eastAsia="仿宋_GB2312" w:cs="Times New Roman"/>
                <w:color w:val="000000"/>
                <w:kern w:val="0"/>
                <w:sz w:val="18"/>
                <w:szCs w:val="18"/>
              </w:rPr>
            </w:pPr>
          </w:p>
        </w:tc>
        <w:tc>
          <w:tcPr>
            <w:tcW w:w="238" w:type="pct"/>
            <w:vMerge w:val="restart"/>
            <w:shd w:val="clear" w:color="auto" w:fill="FFFFFF"/>
            <w:vAlign w:val="center"/>
          </w:tcPr>
          <w:p w14:paraId="31791B4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523CE1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06" w:type="pct"/>
            <w:shd w:val="clear" w:color="auto" w:fill="FFFFFF"/>
            <w:vAlign w:val="center"/>
          </w:tcPr>
          <w:p w14:paraId="23ED36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7CEAB45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693" w:type="pct"/>
            <w:shd w:val="clear" w:color="000000" w:fill="FFFFFF"/>
            <w:vAlign w:val="center"/>
          </w:tcPr>
          <w:p w14:paraId="13A91A4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32" w:type="pct"/>
            <w:shd w:val="clear" w:color="000000" w:fill="FFFFFF"/>
            <w:vAlign w:val="center"/>
          </w:tcPr>
          <w:p w14:paraId="7349BCD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62" w:type="pct"/>
            <w:shd w:val="clear" w:color="000000" w:fill="FFFFFF"/>
            <w:vAlign w:val="center"/>
          </w:tcPr>
          <w:p w14:paraId="1B787562">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c>
          <w:tcPr>
            <w:tcW w:w="176" w:type="pct"/>
            <w:shd w:val="clear" w:color="000000" w:fill="FFFFFF"/>
            <w:vAlign w:val="center"/>
          </w:tcPr>
          <w:p w14:paraId="3035297F">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7E1D2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17" w:hRule="atLeast"/>
          <w:jc w:val="center"/>
        </w:trPr>
        <w:tc>
          <w:tcPr>
            <w:tcW w:w="388" w:type="pct"/>
            <w:vMerge w:val="continue"/>
            <w:shd w:val="clear" w:color="auto" w:fill="FFFFFF"/>
            <w:vAlign w:val="center"/>
          </w:tcPr>
          <w:p w14:paraId="2E9AFEFD">
            <w:pPr>
              <w:widowControl/>
              <w:spacing w:line="0" w:lineRule="atLeast"/>
              <w:jc w:val="center"/>
              <w:rPr>
                <w:rFonts w:hint="default" w:ascii="Times New Roman" w:hAnsi="Times New Roman" w:eastAsia="仿宋_GB2312" w:cs="Times New Roman"/>
                <w:color w:val="000000"/>
                <w:kern w:val="0"/>
                <w:sz w:val="18"/>
                <w:szCs w:val="18"/>
              </w:rPr>
            </w:pPr>
          </w:p>
        </w:tc>
        <w:tc>
          <w:tcPr>
            <w:tcW w:w="238" w:type="pct"/>
            <w:vMerge w:val="continue"/>
            <w:shd w:val="clear" w:color="auto" w:fill="FFFFFF"/>
            <w:vAlign w:val="center"/>
          </w:tcPr>
          <w:p w14:paraId="269F199C">
            <w:pPr>
              <w:widowControl/>
              <w:spacing w:line="0" w:lineRule="atLeast"/>
              <w:jc w:val="center"/>
              <w:rPr>
                <w:rFonts w:hint="default" w:ascii="Times New Roman" w:hAnsi="Times New Roman" w:eastAsia="仿宋_GB2312" w:cs="Times New Roman"/>
                <w:color w:val="000000"/>
                <w:kern w:val="0"/>
                <w:sz w:val="18"/>
                <w:szCs w:val="18"/>
              </w:rPr>
            </w:pPr>
          </w:p>
        </w:tc>
        <w:tc>
          <w:tcPr>
            <w:tcW w:w="306" w:type="pct"/>
            <w:shd w:val="clear" w:color="auto" w:fill="FFFFFF"/>
            <w:vAlign w:val="center"/>
          </w:tcPr>
          <w:p w14:paraId="459B5C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4B22A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693" w:type="pct"/>
            <w:shd w:val="clear" w:color="000000" w:fill="FFFFFF"/>
            <w:vAlign w:val="center"/>
          </w:tcPr>
          <w:p w14:paraId="7A0C190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32" w:type="pct"/>
            <w:shd w:val="clear" w:color="000000" w:fill="FFFFFF"/>
            <w:vAlign w:val="center"/>
          </w:tcPr>
          <w:p w14:paraId="0BA303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62" w:type="pct"/>
            <w:shd w:val="clear" w:color="000000" w:fill="FFFFFF"/>
            <w:vAlign w:val="center"/>
          </w:tcPr>
          <w:p w14:paraId="1CDA84E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76" w:type="pct"/>
            <w:shd w:val="clear" w:color="000000" w:fill="FFFFFF"/>
            <w:vAlign w:val="center"/>
          </w:tcPr>
          <w:p w14:paraId="623621F9">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08DEF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5" w:hRule="atLeast"/>
          <w:jc w:val="center"/>
        </w:trPr>
        <w:tc>
          <w:tcPr>
            <w:tcW w:w="388" w:type="pct"/>
            <w:vMerge w:val="restart"/>
            <w:shd w:val="clear" w:color="auto" w:fill="FFFFFF"/>
            <w:vAlign w:val="center"/>
          </w:tcPr>
          <w:p w14:paraId="6DE3DAB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238" w:type="pct"/>
            <w:shd w:val="clear" w:color="auto" w:fill="FFFFFF"/>
            <w:vAlign w:val="center"/>
          </w:tcPr>
          <w:p w14:paraId="3CDC85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306" w:type="pct"/>
            <w:shd w:val="clear" w:color="auto" w:fill="FFFFFF"/>
            <w:vAlign w:val="center"/>
          </w:tcPr>
          <w:p w14:paraId="4ECF14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693" w:type="pct"/>
            <w:shd w:val="clear" w:color="000000" w:fill="FFFFFF"/>
            <w:vAlign w:val="center"/>
          </w:tcPr>
          <w:p w14:paraId="417EE2E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32" w:type="pct"/>
            <w:shd w:val="clear" w:color="000000" w:fill="FFFFFF"/>
            <w:vAlign w:val="center"/>
          </w:tcPr>
          <w:p w14:paraId="2C1DC0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62" w:type="pct"/>
            <w:shd w:val="clear" w:color="000000" w:fill="FFFFFF"/>
            <w:vAlign w:val="center"/>
          </w:tcPr>
          <w:p w14:paraId="1EFB0D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76" w:type="pct"/>
            <w:shd w:val="clear" w:color="000000" w:fill="FFFFFF"/>
            <w:vAlign w:val="center"/>
          </w:tcPr>
          <w:p w14:paraId="3B4A3C8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39D02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42" w:hRule="atLeast"/>
          <w:jc w:val="center"/>
        </w:trPr>
        <w:tc>
          <w:tcPr>
            <w:tcW w:w="388" w:type="pct"/>
            <w:vMerge w:val="continue"/>
            <w:shd w:val="clear" w:color="auto" w:fill="FFFFFF"/>
            <w:vAlign w:val="center"/>
          </w:tcPr>
          <w:p w14:paraId="44A9A9D6">
            <w:pPr>
              <w:widowControl/>
              <w:spacing w:line="0" w:lineRule="atLeast"/>
              <w:jc w:val="center"/>
              <w:rPr>
                <w:rFonts w:hint="default" w:ascii="Times New Roman" w:hAnsi="Times New Roman" w:eastAsia="仿宋_GB2312" w:cs="Times New Roman"/>
                <w:color w:val="000000"/>
                <w:kern w:val="0"/>
                <w:sz w:val="18"/>
                <w:szCs w:val="18"/>
              </w:rPr>
            </w:pPr>
          </w:p>
        </w:tc>
        <w:tc>
          <w:tcPr>
            <w:tcW w:w="238" w:type="pct"/>
            <w:shd w:val="clear" w:color="auto" w:fill="FFFFFF"/>
            <w:vAlign w:val="center"/>
          </w:tcPr>
          <w:p w14:paraId="007CEC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306" w:type="pct"/>
            <w:shd w:val="clear" w:color="auto" w:fill="FFFFFF"/>
            <w:vAlign w:val="center"/>
          </w:tcPr>
          <w:p w14:paraId="44E75E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693" w:type="pct"/>
            <w:shd w:val="clear" w:color="000000" w:fill="FFFFFF"/>
            <w:vAlign w:val="center"/>
          </w:tcPr>
          <w:p w14:paraId="421DF72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32" w:type="pct"/>
            <w:shd w:val="clear" w:color="000000" w:fill="FFFFFF"/>
            <w:vAlign w:val="center"/>
          </w:tcPr>
          <w:p w14:paraId="488AD1A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542A36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62" w:type="pct"/>
            <w:shd w:val="clear" w:color="000000" w:fill="FFFFFF"/>
            <w:vAlign w:val="center"/>
          </w:tcPr>
          <w:p w14:paraId="7987DA5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76" w:type="pct"/>
            <w:shd w:val="clear" w:color="000000" w:fill="FFFFFF"/>
            <w:vAlign w:val="center"/>
          </w:tcPr>
          <w:p w14:paraId="10D2644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74977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8" w:hRule="atLeast"/>
          <w:jc w:val="center"/>
        </w:trPr>
        <w:tc>
          <w:tcPr>
            <w:tcW w:w="388" w:type="pct"/>
            <w:vMerge w:val="continue"/>
            <w:shd w:val="clear" w:color="auto" w:fill="FFFFFF"/>
            <w:vAlign w:val="center"/>
          </w:tcPr>
          <w:p w14:paraId="1D20EA6F">
            <w:pPr>
              <w:spacing w:line="0" w:lineRule="atLeast"/>
              <w:jc w:val="center"/>
              <w:rPr>
                <w:rFonts w:hint="default" w:ascii="Times New Roman" w:hAnsi="Times New Roman" w:eastAsia="仿宋_GB2312" w:cs="Times New Roman"/>
                <w:color w:val="000000"/>
                <w:kern w:val="0"/>
                <w:sz w:val="18"/>
                <w:szCs w:val="18"/>
              </w:rPr>
            </w:pPr>
          </w:p>
        </w:tc>
        <w:tc>
          <w:tcPr>
            <w:tcW w:w="238" w:type="pct"/>
            <w:shd w:val="clear" w:color="auto" w:fill="FFFFFF"/>
            <w:vAlign w:val="center"/>
          </w:tcPr>
          <w:p w14:paraId="7BB3925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306" w:type="pct"/>
            <w:shd w:val="clear" w:color="auto" w:fill="FFFFFF"/>
            <w:vAlign w:val="center"/>
          </w:tcPr>
          <w:p w14:paraId="1D2BFF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693" w:type="pct"/>
            <w:shd w:val="clear" w:color="000000" w:fill="FFFFFF"/>
            <w:vAlign w:val="center"/>
          </w:tcPr>
          <w:p w14:paraId="4566B0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32" w:type="pct"/>
            <w:shd w:val="clear" w:color="000000" w:fill="FFFFFF"/>
            <w:vAlign w:val="center"/>
          </w:tcPr>
          <w:p w14:paraId="7996B3C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62" w:type="pct"/>
            <w:shd w:val="clear" w:color="000000" w:fill="FFFFFF"/>
            <w:vAlign w:val="center"/>
          </w:tcPr>
          <w:p w14:paraId="11A2AF4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76" w:type="pct"/>
            <w:shd w:val="clear" w:color="000000" w:fill="FFFFFF"/>
            <w:vAlign w:val="center"/>
          </w:tcPr>
          <w:p w14:paraId="3CBAE68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2BA97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96" w:hRule="atLeast"/>
          <w:jc w:val="center"/>
        </w:trPr>
        <w:tc>
          <w:tcPr>
            <w:tcW w:w="388" w:type="pct"/>
            <w:vMerge w:val="continue"/>
            <w:shd w:val="clear" w:color="auto" w:fill="FFFFFF"/>
            <w:vAlign w:val="center"/>
          </w:tcPr>
          <w:p w14:paraId="6171D6D0">
            <w:pPr>
              <w:widowControl/>
              <w:spacing w:line="0" w:lineRule="atLeast"/>
              <w:jc w:val="center"/>
              <w:rPr>
                <w:rFonts w:hint="default" w:ascii="Times New Roman" w:hAnsi="Times New Roman" w:eastAsia="仿宋_GB2312" w:cs="Times New Roman"/>
                <w:color w:val="000000"/>
                <w:kern w:val="0"/>
                <w:sz w:val="18"/>
                <w:szCs w:val="18"/>
              </w:rPr>
            </w:pPr>
          </w:p>
        </w:tc>
        <w:tc>
          <w:tcPr>
            <w:tcW w:w="238" w:type="pct"/>
            <w:shd w:val="clear" w:color="auto" w:fill="FFFFFF"/>
            <w:vAlign w:val="center"/>
          </w:tcPr>
          <w:p w14:paraId="78FE0C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306" w:type="pct"/>
            <w:shd w:val="clear" w:color="auto" w:fill="FFFFFF"/>
            <w:vAlign w:val="center"/>
          </w:tcPr>
          <w:p w14:paraId="225F83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693" w:type="pct"/>
            <w:shd w:val="clear" w:color="000000" w:fill="FFFFFF"/>
            <w:vAlign w:val="center"/>
          </w:tcPr>
          <w:p w14:paraId="4738D1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32" w:type="pct"/>
            <w:shd w:val="clear" w:color="000000" w:fill="FFFFFF"/>
            <w:vAlign w:val="center"/>
          </w:tcPr>
          <w:p w14:paraId="39B875C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62" w:type="pct"/>
            <w:shd w:val="clear" w:color="000000" w:fill="FFFFFF"/>
            <w:vAlign w:val="center"/>
          </w:tcPr>
          <w:p w14:paraId="5BEB6C6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76" w:type="pct"/>
            <w:shd w:val="clear" w:color="000000" w:fill="FFFFFF"/>
            <w:vAlign w:val="center"/>
          </w:tcPr>
          <w:p w14:paraId="2DC6E2AA">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39C55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atLeast"/>
          <w:jc w:val="center"/>
        </w:trPr>
        <w:tc>
          <w:tcPr>
            <w:tcW w:w="388" w:type="pct"/>
            <w:vMerge w:val="restart"/>
            <w:shd w:val="clear" w:color="auto" w:fill="FFFFFF"/>
            <w:vAlign w:val="center"/>
          </w:tcPr>
          <w:p w14:paraId="562CAB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238" w:type="pct"/>
            <w:vMerge w:val="restart"/>
            <w:shd w:val="clear" w:color="auto" w:fill="FFFFFF"/>
            <w:vAlign w:val="center"/>
          </w:tcPr>
          <w:p w14:paraId="1052584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306" w:type="pct"/>
            <w:shd w:val="clear" w:color="auto" w:fill="FFFFFF"/>
            <w:vAlign w:val="center"/>
          </w:tcPr>
          <w:p w14:paraId="345B267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693" w:type="pct"/>
            <w:shd w:val="clear" w:color="auto" w:fill="FFFFFF"/>
            <w:vAlign w:val="center"/>
          </w:tcPr>
          <w:p w14:paraId="7091013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32" w:type="pct"/>
            <w:shd w:val="clear" w:color="auto" w:fill="FFFFFF"/>
            <w:vAlign w:val="center"/>
          </w:tcPr>
          <w:p w14:paraId="57290D2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62" w:type="pct"/>
            <w:shd w:val="clear" w:color="auto" w:fill="FFFFFF"/>
            <w:vAlign w:val="center"/>
          </w:tcPr>
          <w:p w14:paraId="62A7B0E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76" w:type="pct"/>
            <w:shd w:val="clear" w:color="auto" w:fill="FFFFFF"/>
            <w:vAlign w:val="center"/>
          </w:tcPr>
          <w:p w14:paraId="52C97FC6">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5CE91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88" w:type="pct"/>
            <w:vMerge w:val="continue"/>
            <w:shd w:val="clear" w:color="auto" w:fill="FFFFFF"/>
            <w:vAlign w:val="center"/>
          </w:tcPr>
          <w:p w14:paraId="2A891449">
            <w:pPr>
              <w:widowControl/>
              <w:spacing w:line="0" w:lineRule="atLeast"/>
              <w:jc w:val="center"/>
              <w:rPr>
                <w:rFonts w:hint="default" w:ascii="Times New Roman" w:hAnsi="Times New Roman" w:eastAsia="仿宋_GB2312" w:cs="Times New Roman"/>
                <w:color w:val="000000"/>
                <w:kern w:val="0"/>
                <w:sz w:val="18"/>
                <w:szCs w:val="18"/>
              </w:rPr>
            </w:pPr>
          </w:p>
        </w:tc>
        <w:tc>
          <w:tcPr>
            <w:tcW w:w="238" w:type="pct"/>
            <w:vMerge w:val="continue"/>
            <w:shd w:val="clear" w:color="auto" w:fill="FFFFFF"/>
            <w:vAlign w:val="center"/>
          </w:tcPr>
          <w:p w14:paraId="77BE11EA">
            <w:pPr>
              <w:widowControl/>
              <w:spacing w:line="0" w:lineRule="atLeast"/>
              <w:jc w:val="center"/>
              <w:rPr>
                <w:rFonts w:hint="default" w:ascii="Times New Roman" w:hAnsi="Times New Roman" w:eastAsia="仿宋_GB2312" w:cs="Times New Roman"/>
                <w:color w:val="000000"/>
                <w:kern w:val="0"/>
                <w:sz w:val="18"/>
                <w:szCs w:val="18"/>
              </w:rPr>
            </w:pPr>
          </w:p>
        </w:tc>
        <w:tc>
          <w:tcPr>
            <w:tcW w:w="306" w:type="pct"/>
            <w:shd w:val="clear" w:color="auto" w:fill="FFFFFF"/>
            <w:vAlign w:val="center"/>
          </w:tcPr>
          <w:p w14:paraId="466745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693" w:type="pct"/>
            <w:shd w:val="clear" w:color="000000" w:fill="FFFFFF"/>
            <w:vAlign w:val="center"/>
          </w:tcPr>
          <w:p w14:paraId="393318D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32" w:type="pct"/>
            <w:shd w:val="clear" w:color="000000" w:fill="FFFFFF"/>
            <w:vAlign w:val="center"/>
          </w:tcPr>
          <w:p w14:paraId="4D00077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62" w:type="pct"/>
            <w:shd w:val="clear" w:color="000000" w:fill="FFFFFF"/>
            <w:vAlign w:val="center"/>
          </w:tcPr>
          <w:p w14:paraId="2F1138C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76" w:type="pct"/>
            <w:shd w:val="clear" w:color="000000" w:fill="FFFFFF"/>
            <w:vAlign w:val="center"/>
          </w:tcPr>
          <w:p w14:paraId="593BEE8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bl>
    <w:p w14:paraId="5812807F">
      <w:pPr>
        <w:rPr>
          <w:rFonts w:hint="default" w:ascii="Times New Roman" w:hAnsi="Times New Roman" w:cs="Times New Roman"/>
        </w:rPr>
        <w:sectPr>
          <w:pgSz w:w="11906" w:h="16838"/>
          <w:pgMar w:top="1440" w:right="1558" w:bottom="1440" w:left="1800" w:header="851" w:footer="992" w:gutter="0"/>
          <w:cols w:space="425" w:num="1"/>
          <w:docGrid w:type="lines" w:linePitch="312" w:charSpace="0"/>
        </w:sectPr>
      </w:pPr>
    </w:p>
    <w:p w14:paraId="46097663">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397"/>
        <w:gridCol w:w="754"/>
        <w:gridCol w:w="576"/>
        <w:gridCol w:w="576"/>
        <w:gridCol w:w="756"/>
        <w:gridCol w:w="805"/>
        <w:gridCol w:w="724"/>
        <w:gridCol w:w="756"/>
        <w:gridCol w:w="496"/>
        <w:gridCol w:w="397"/>
        <w:gridCol w:w="990"/>
        <w:gridCol w:w="474"/>
        <w:gridCol w:w="666"/>
      </w:tblGrid>
      <w:tr w14:paraId="55E61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2EA960A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A0F8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AC39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8371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046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26247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阿勒泰地区无线电管理局办公楼散水建设</w:t>
            </w:r>
          </w:p>
        </w:tc>
      </w:tr>
      <w:tr w14:paraId="44D13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EFBC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9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9EB1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阿勒泰地区无线电管理局</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7EC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18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9AC8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阿勒泰地区无线电管理局</w:t>
            </w:r>
          </w:p>
        </w:tc>
      </w:tr>
      <w:tr w14:paraId="0C98F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5390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5C8B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0C7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DC24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00E8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F83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9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081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F1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ECAC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B69D3">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5E2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F4EE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500AC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1A8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6FC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02E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E76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5A76E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7C03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0E80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90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1934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F79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79F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B00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81FB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179F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88E2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DB80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4B48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94B6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F395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8E06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52A6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29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2DCB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6D6E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1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66E8B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6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CFE2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E453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E304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215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8816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勒泰地区无线电管理局业务楼于2019年6月投入使用，但办公楼四周散水仍未建设。为确保无线电业务楼周围防水安全，现申请办公楼散水建设项目，对无线电管理局业务楼散水进行建设。本项目由挖一般土方100立方米、余方弃置100立方米、办公楼散水建设82.8平方米、平整场地82.5平方米、原土夯实82.5平方米、院内安装LED庭院灯5套等工程组成。</w:t>
            </w:r>
          </w:p>
        </w:tc>
        <w:tc>
          <w:tcPr>
            <w:tcW w:w="26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BC21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6月与阿勒泰地区鑫峰通信工程有限公司签订协议，开始施工，挖一般土方100立方米、余方弃置100立方米、办公楼散水建设82.8平方米、平整场地82.5平方米、原土夯实82.5平方米、院内安装LED庭院灯5套，10月完成预算执行。</w:t>
            </w:r>
          </w:p>
        </w:tc>
      </w:tr>
      <w:tr w14:paraId="29D8B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208CD">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A91A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7CCE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22EE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BB9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F5E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BCA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8261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C9C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DE8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E8F9C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6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9C7E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A495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20D7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17F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6482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083C7">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B2B6C">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EF23C">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B5B9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4F5A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18CA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0E4F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30FF3">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4DFE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CA373">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6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412C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886F2">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9A93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r>
      <w:tr w14:paraId="20EEB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06C0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66B0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6CF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9C8C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办公楼散水建设</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721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B5B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=82.50平方</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681F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=82.5平方</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47A8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85C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0E1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4E2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A30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242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DF8C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54799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BFF92">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4B2E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859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644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院内安装LED庭院灯</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FDF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6811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=5套</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2C2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=5套</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D12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2E9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D8B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D2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25B9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9AD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1B40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1B4E8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14BF6">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BFC71">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5C3D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EB6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办公楼散水建设达标率</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0696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E0C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9F1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B2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8A4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CA87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271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7D8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C7A2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CA823">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34AA9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1E42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C0DE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48B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1C49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LED庭院灯安装达标率</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6E4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E13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964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488B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33B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FC4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1E5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8032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BCA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C3D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6590A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80FD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91B7A">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804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47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于2024年10月交付验收</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D63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18A0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2024年10月</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91B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=2024年10月</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44A7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7D5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8468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4875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CE94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BA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4F52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7336A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071FC">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72465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DE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364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项目建设费用-预算控制率</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5AF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8461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B2A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65B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6C1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D29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773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65B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389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E5F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39012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8CD4B">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20B4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838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E3BA">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0DD13">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1263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75773">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2104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961A7">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AAC5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8789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939C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75B1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AE0C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71C00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5212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C610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F481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3B6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28627">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D79F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94A2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1158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FECE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C08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BE12C">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587D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40F92">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6215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51D06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81FE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62B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6EA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8BA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1EA7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58DA8">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72C9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44D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B8E96">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55DBA">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89AA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1E6D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B8916">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DE7B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40F79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5D34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3B86C">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B9D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0E8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保护墙基不受雨水侵蚀，保证房屋的巩固耐久。</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1549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EBD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DC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B73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C98C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A68B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B1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1A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DC8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8F3B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19231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2078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851AA">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8D6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697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D08F">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CBA1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FFE9D">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BFDBB">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871BD">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4639E">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4D2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A5706">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0FBF1">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69902">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78EFA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F14C5">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18"/>
                <w:szCs w:val="18"/>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025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21E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C9F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单位职工满意度</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9D8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D97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E73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2356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5EAC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DA59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A2D0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CD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162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8A167">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r>
      <w:tr w14:paraId="09601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257" w:type="pct"/>
            <w:gridSpan w:val="4"/>
            <w:tcBorders>
              <w:top w:val="single" w:color="000000" w:sz="4" w:space="0"/>
              <w:left w:val="single" w:color="000000" w:sz="4" w:space="0"/>
              <w:bottom w:val="single" w:color="000000" w:sz="4" w:space="0"/>
              <w:right w:val="nil"/>
            </w:tcBorders>
            <w:shd w:val="clear" w:color="auto" w:fill="auto"/>
            <w:vAlign w:val="center"/>
          </w:tcPr>
          <w:p w14:paraId="4F963A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EE8B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24" w:type="pct"/>
            <w:tcBorders>
              <w:top w:val="single" w:color="000000" w:sz="4" w:space="0"/>
              <w:left w:val="nil"/>
              <w:bottom w:val="single" w:color="000000" w:sz="4" w:space="0"/>
              <w:right w:val="single" w:color="000000" w:sz="4" w:space="0"/>
            </w:tcBorders>
            <w:shd w:val="clear" w:color="auto" w:fill="auto"/>
            <w:vAlign w:val="center"/>
          </w:tcPr>
          <w:p w14:paraId="41F2F211">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b/>
                <w:bCs/>
                <w:i w:val="0"/>
                <w:iCs w:val="0"/>
                <w:color w:val="000000"/>
                <w:sz w:val="18"/>
                <w:szCs w:val="18"/>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41F60">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29622">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B6D2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32681">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5F669">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45A2A">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B278">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5001E">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u w:val="none"/>
              </w:rPr>
            </w:pPr>
          </w:p>
        </w:tc>
      </w:tr>
    </w:tbl>
    <w:p w14:paraId="212C87ED">
      <w:pPr>
        <w:rPr>
          <w:rFonts w:hint="default" w:ascii="Times New Roman" w:hAnsi="Times New Roman" w:cs="Times New Roman"/>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F27B71-98E0-43A3-A332-7DA6C27D8C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4466652-0E53-494C-823C-5FDF8BBDEF5B}"/>
  </w:font>
  <w:font w:name="华文中宋">
    <w:altName w:val="宋体"/>
    <w:panose1 w:val="02010600040101010101"/>
    <w:charset w:val="86"/>
    <w:family w:val="auto"/>
    <w:pitch w:val="default"/>
    <w:sig w:usb0="00000000" w:usb1="00000000" w:usb2="00000000" w:usb3="00000000" w:csb0="0004009F" w:csb1="DFD70000"/>
    <w:embedRegular r:id="rId3" w:fontKey="{22573F5A-30F3-42C3-979D-4602858B7F1D}"/>
  </w:font>
  <w:font w:name="方正小标宋_GBK">
    <w:panose1 w:val="02000000000000000000"/>
    <w:charset w:val="86"/>
    <w:family w:val="script"/>
    <w:pitch w:val="default"/>
    <w:sig w:usb0="A00002BF" w:usb1="38CF7CFA" w:usb2="00082016" w:usb3="00000000" w:csb0="00040001" w:csb1="00000000"/>
    <w:embedRegular r:id="rId4" w:fontKey="{627BA151-F27E-40DE-9C0B-69783D4A116F}"/>
  </w:font>
  <w:font w:name="楷体_GB2312">
    <w:panose1 w:val="02010609030101010101"/>
    <w:charset w:val="86"/>
    <w:family w:val="auto"/>
    <w:pitch w:val="default"/>
    <w:sig w:usb0="00000001" w:usb1="080E0000" w:usb2="00000000" w:usb3="00000000" w:csb0="00040000" w:csb1="00000000"/>
    <w:embedRegular r:id="rId5" w:fontKey="{75F3ED39-59B5-4BB1-93FA-64CCDA172F20}"/>
  </w:font>
  <w:font w:name="仿宋">
    <w:panose1 w:val="02010609060101010101"/>
    <w:charset w:val="86"/>
    <w:family w:val="modern"/>
    <w:pitch w:val="default"/>
    <w:sig w:usb0="800002BF" w:usb1="38CF7CFA" w:usb2="00000016" w:usb3="00000000" w:csb0="00040001" w:csb1="00000000"/>
    <w:embedRegular r:id="rId6" w:fontKey="{C4801F09-9E69-4A16-8DB6-E0DF5B4D867C}"/>
  </w:font>
  <w:font w:name="楷体">
    <w:panose1 w:val="02010609060101010101"/>
    <w:charset w:val="86"/>
    <w:family w:val="modern"/>
    <w:pitch w:val="default"/>
    <w:sig w:usb0="800002BF" w:usb1="38CF7CFA" w:usb2="00000016" w:usb3="00000000" w:csb0="00040001" w:csb1="00000000"/>
    <w:embedRegular r:id="rId7" w:fontKey="{158C0624-A43C-4413-AE5A-4CBE99D4F7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465C1CC">
        <w:pPr>
          <w:pStyle w:val="8"/>
          <w:jc w:val="center"/>
        </w:pPr>
        <w:r>
          <w:fldChar w:fldCharType="begin"/>
        </w:r>
        <w:r>
          <w:instrText xml:space="preserve">PAGE   \* MERGEFORMAT</w:instrText>
        </w:r>
        <w:r>
          <w:fldChar w:fldCharType="separate"/>
        </w:r>
        <w:r>
          <w:rPr>
            <w:lang w:val="zh-CN"/>
          </w:rPr>
          <w:t>13</w:t>
        </w:r>
        <w:r>
          <w:fldChar w:fldCharType="end"/>
        </w:r>
      </w:p>
    </w:sdtContent>
  </w:sdt>
  <w:p w14:paraId="438B24D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880F9"/>
    <w:multiLevelType w:val="singleLevel"/>
    <w:tmpl w:val="85B880F9"/>
    <w:lvl w:ilvl="0" w:tentative="0">
      <w:start w:val="1"/>
      <w:numFmt w:val="decimal"/>
      <w:lvlText w:val="%1."/>
      <w:lvlJc w:val="left"/>
      <w:pPr>
        <w:tabs>
          <w:tab w:val="left" w:pos="312"/>
        </w:tabs>
      </w:p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ZGE4ZGZkMTk2NWI4NTFkMDMwNjRmYjUyNmY3YTUifQ=="/>
  </w:docVars>
  <w:rsids>
    <w:rsidRoot w:val="FF6C4049"/>
    <w:rsid w:val="006F7242"/>
    <w:rsid w:val="007B168A"/>
    <w:rsid w:val="008B2CFE"/>
    <w:rsid w:val="00F26FF6"/>
    <w:rsid w:val="0139257C"/>
    <w:rsid w:val="0140748E"/>
    <w:rsid w:val="0147153B"/>
    <w:rsid w:val="01610122"/>
    <w:rsid w:val="01DD1E9F"/>
    <w:rsid w:val="01DE1773"/>
    <w:rsid w:val="02510197"/>
    <w:rsid w:val="029C58B6"/>
    <w:rsid w:val="03200295"/>
    <w:rsid w:val="03D177E1"/>
    <w:rsid w:val="03EC461B"/>
    <w:rsid w:val="057228FE"/>
    <w:rsid w:val="06035C4C"/>
    <w:rsid w:val="062C1147"/>
    <w:rsid w:val="07242737"/>
    <w:rsid w:val="07397B77"/>
    <w:rsid w:val="080737D2"/>
    <w:rsid w:val="08C43471"/>
    <w:rsid w:val="08D43138"/>
    <w:rsid w:val="093E25CD"/>
    <w:rsid w:val="0AD007F3"/>
    <w:rsid w:val="0AF02C43"/>
    <w:rsid w:val="0E3C619F"/>
    <w:rsid w:val="0F1A686C"/>
    <w:rsid w:val="0FBD6E6C"/>
    <w:rsid w:val="0FD04DF1"/>
    <w:rsid w:val="10142F30"/>
    <w:rsid w:val="10D75D0B"/>
    <w:rsid w:val="11170296"/>
    <w:rsid w:val="115B7DA2"/>
    <w:rsid w:val="13214BD8"/>
    <w:rsid w:val="13471461"/>
    <w:rsid w:val="1360648C"/>
    <w:rsid w:val="13B90F01"/>
    <w:rsid w:val="13D34EB0"/>
    <w:rsid w:val="142B4CEC"/>
    <w:rsid w:val="155E4C4D"/>
    <w:rsid w:val="157902E5"/>
    <w:rsid w:val="159863B1"/>
    <w:rsid w:val="15B036FB"/>
    <w:rsid w:val="162921DF"/>
    <w:rsid w:val="17462648"/>
    <w:rsid w:val="17606A5A"/>
    <w:rsid w:val="181066D2"/>
    <w:rsid w:val="19462B78"/>
    <w:rsid w:val="1C671E73"/>
    <w:rsid w:val="1CCC01EC"/>
    <w:rsid w:val="1D1125A5"/>
    <w:rsid w:val="1D322C47"/>
    <w:rsid w:val="1E37428D"/>
    <w:rsid w:val="1E5A1A2C"/>
    <w:rsid w:val="2020322B"/>
    <w:rsid w:val="209F6845"/>
    <w:rsid w:val="20FD613B"/>
    <w:rsid w:val="21FB46BE"/>
    <w:rsid w:val="22121299"/>
    <w:rsid w:val="227232EB"/>
    <w:rsid w:val="23616034"/>
    <w:rsid w:val="23D4607E"/>
    <w:rsid w:val="24480FA2"/>
    <w:rsid w:val="244B45EE"/>
    <w:rsid w:val="25227A45"/>
    <w:rsid w:val="25CF67F4"/>
    <w:rsid w:val="26AC3A6A"/>
    <w:rsid w:val="27650FDF"/>
    <w:rsid w:val="281178FD"/>
    <w:rsid w:val="292E4C0A"/>
    <w:rsid w:val="2A16744D"/>
    <w:rsid w:val="2AB54EB7"/>
    <w:rsid w:val="2B9D7E25"/>
    <w:rsid w:val="2C7C7A3B"/>
    <w:rsid w:val="2EFC0D68"/>
    <w:rsid w:val="2F0B0DD7"/>
    <w:rsid w:val="2F364819"/>
    <w:rsid w:val="2F61116A"/>
    <w:rsid w:val="2FB13B34"/>
    <w:rsid w:val="2FD63906"/>
    <w:rsid w:val="30E67B79"/>
    <w:rsid w:val="327A0EC0"/>
    <w:rsid w:val="3443124D"/>
    <w:rsid w:val="349873DC"/>
    <w:rsid w:val="35BA15D4"/>
    <w:rsid w:val="35DC02B1"/>
    <w:rsid w:val="36511F38"/>
    <w:rsid w:val="369E0EF6"/>
    <w:rsid w:val="36E56B24"/>
    <w:rsid w:val="37215DAE"/>
    <w:rsid w:val="374750E9"/>
    <w:rsid w:val="38B93DC5"/>
    <w:rsid w:val="38CA40DD"/>
    <w:rsid w:val="395F2B56"/>
    <w:rsid w:val="39E6508D"/>
    <w:rsid w:val="3AE113B1"/>
    <w:rsid w:val="3AEC66D3"/>
    <w:rsid w:val="3BBA0580"/>
    <w:rsid w:val="3BECE841"/>
    <w:rsid w:val="3C544530"/>
    <w:rsid w:val="3CDE204C"/>
    <w:rsid w:val="3CF67395"/>
    <w:rsid w:val="3D2C0ADF"/>
    <w:rsid w:val="3D363C36"/>
    <w:rsid w:val="3E9C3F6D"/>
    <w:rsid w:val="3FF7797D"/>
    <w:rsid w:val="407C4056"/>
    <w:rsid w:val="41CC2DBB"/>
    <w:rsid w:val="44E07CD9"/>
    <w:rsid w:val="44EE4DF6"/>
    <w:rsid w:val="453749EF"/>
    <w:rsid w:val="45FC10A7"/>
    <w:rsid w:val="46690BD8"/>
    <w:rsid w:val="47B71E17"/>
    <w:rsid w:val="48953101"/>
    <w:rsid w:val="4901159C"/>
    <w:rsid w:val="493C6A78"/>
    <w:rsid w:val="49647D7D"/>
    <w:rsid w:val="49CA7BE0"/>
    <w:rsid w:val="49E87E30"/>
    <w:rsid w:val="49F70BF1"/>
    <w:rsid w:val="4A761B16"/>
    <w:rsid w:val="4B4340EE"/>
    <w:rsid w:val="4BF06537"/>
    <w:rsid w:val="503D507A"/>
    <w:rsid w:val="51022355"/>
    <w:rsid w:val="5167665C"/>
    <w:rsid w:val="51FA74D0"/>
    <w:rsid w:val="5208645F"/>
    <w:rsid w:val="52970EF0"/>
    <w:rsid w:val="52AA4A52"/>
    <w:rsid w:val="54F05CA5"/>
    <w:rsid w:val="55545149"/>
    <w:rsid w:val="556E620B"/>
    <w:rsid w:val="56332FB1"/>
    <w:rsid w:val="564676EC"/>
    <w:rsid w:val="56F71439"/>
    <w:rsid w:val="576B22D6"/>
    <w:rsid w:val="589F0489"/>
    <w:rsid w:val="5911595F"/>
    <w:rsid w:val="59943D66"/>
    <w:rsid w:val="59E051FD"/>
    <w:rsid w:val="59E6355E"/>
    <w:rsid w:val="5B821531"/>
    <w:rsid w:val="5B863B83"/>
    <w:rsid w:val="5BFF6039"/>
    <w:rsid w:val="5CDC1CAC"/>
    <w:rsid w:val="5CEC5C67"/>
    <w:rsid w:val="5D76A616"/>
    <w:rsid w:val="5D7F20B9"/>
    <w:rsid w:val="5DAC7D0E"/>
    <w:rsid w:val="5E9D669B"/>
    <w:rsid w:val="5F98B5AF"/>
    <w:rsid w:val="5FFE8511"/>
    <w:rsid w:val="5FFEACE2"/>
    <w:rsid w:val="609D5BF6"/>
    <w:rsid w:val="61073070"/>
    <w:rsid w:val="61B9080E"/>
    <w:rsid w:val="61DF3FED"/>
    <w:rsid w:val="633D721D"/>
    <w:rsid w:val="63C314EE"/>
    <w:rsid w:val="641C32D6"/>
    <w:rsid w:val="642B176B"/>
    <w:rsid w:val="643EE26D"/>
    <w:rsid w:val="64DB6CED"/>
    <w:rsid w:val="64F11FCE"/>
    <w:rsid w:val="64F1206D"/>
    <w:rsid w:val="656019A0"/>
    <w:rsid w:val="65CC4888"/>
    <w:rsid w:val="65F242EE"/>
    <w:rsid w:val="666D7E19"/>
    <w:rsid w:val="68376930"/>
    <w:rsid w:val="68F91E38"/>
    <w:rsid w:val="69561038"/>
    <w:rsid w:val="69767E03"/>
    <w:rsid w:val="69A55B1C"/>
    <w:rsid w:val="6A3754D9"/>
    <w:rsid w:val="6B3158B9"/>
    <w:rsid w:val="6BA02A3F"/>
    <w:rsid w:val="6C1E5A53"/>
    <w:rsid w:val="6D0019E7"/>
    <w:rsid w:val="6D6830E8"/>
    <w:rsid w:val="6DAC59E6"/>
    <w:rsid w:val="6DD20F3C"/>
    <w:rsid w:val="6E2827DD"/>
    <w:rsid w:val="6E405E13"/>
    <w:rsid w:val="6EF90750"/>
    <w:rsid w:val="6F5C41AC"/>
    <w:rsid w:val="6FAF6C78"/>
    <w:rsid w:val="70BF3967"/>
    <w:rsid w:val="716167CC"/>
    <w:rsid w:val="718A7AD1"/>
    <w:rsid w:val="719E17CE"/>
    <w:rsid w:val="72964253"/>
    <w:rsid w:val="72A44BC2"/>
    <w:rsid w:val="72AB41A3"/>
    <w:rsid w:val="72B0634C"/>
    <w:rsid w:val="7317C656"/>
    <w:rsid w:val="734ED73F"/>
    <w:rsid w:val="73B726D3"/>
    <w:rsid w:val="73C82B32"/>
    <w:rsid w:val="73F94DAE"/>
    <w:rsid w:val="74220495"/>
    <w:rsid w:val="747D1B6F"/>
    <w:rsid w:val="749E5641"/>
    <w:rsid w:val="76271066"/>
    <w:rsid w:val="776FF713"/>
    <w:rsid w:val="77FD8BE9"/>
    <w:rsid w:val="78000AED"/>
    <w:rsid w:val="78411105"/>
    <w:rsid w:val="79515378"/>
    <w:rsid w:val="79646E59"/>
    <w:rsid w:val="79A9BD3F"/>
    <w:rsid w:val="7B1D3764"/>
    <w:rsid w:val="7B362A78"/>
    <w:rsid w:val="7B4D6D31"/>
    <w:rsid w:val="7B776F12"/>
    <w:rsid w:val="7BFFFDD0"/>
    <w:rsid w:val="7C336E5F"/>
    <w:rsid w:val="7C8D4919"/>
    <w:rsid w:val="7CB225D2"/>
    <w:rsid w:val="7D7A5F86"/>
    <w:rsid w:val="7DEE08D7"/>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autoRedefine/>
    <w:qFormat/>
    <w:uiPriority w:val="0"/>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Balloon Text"/>
    <w:basedOn w:val="1"/>
    <w:link w:val="20"/>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autoRedefine/>
    <w:qFormat/>
    <w:uiPriority w:val="0"/>
    <w:rPr>
      <w:b/>
      <w:bCs/>
    </w:rPr>
  </w:style>
  <w:style w:type="paragraph" w:styleId="12">
    <w:name w:val="Body Text First Indent"/>
    <w:basedOn w:val="5"/>
    <w:autoRedefine/>
    <w:qFormat/>
    <w:uiPriority w:val="0"/>
    <w:pPr>
      <w:spacing w:after="0"/>
      <w:ind w:firstLine="200" w:firstLineChars="200"/>
    </w:pPr>
  </w:style>
  <w:style w:type="paragraph" w:styleId="13">
    <w:name w:val="Body Text First Indent 2"/>
    <w:basedOn w:val="6"/>
    <w:autoRedefine/>
    <w:qFormat/>
    <w:uiPriority w:val="0"/>
    <w:pPr>
      <w:ind w:firstLine="420" w:firstLineChars="200"/>
    </w:pPr>
  </w:style>
  <w:style w:type="character" w:styleId="16">
    <w:name w:val="Strong"/>
    <w:basedOn w:val="15"/>
    <w:autoRedefine/>
    <w:qFormat/>
    <w:uiPriority w:val="0"/>
    <w:rPr>
      <w:b/>
      <w:bCs/>
    </w:rPr>
  </w:style>
  <w:style w:type="character" w:styleId="17">
    <w:name w:val="annotation reference"/>
    <w:basedOn w:val="15"/>
    <w:autoRedefine/>
    <w:qFormat/>
    <w:uiPriority w:val="0"/>
    <w:rPr>
      <w:sz w:val="21"/>
      <w:szCs w:val="21"/>
    </w:rPr>
  </w:style>
  <w:style w:type="character" w:customStyle="1" w:styleId="18">
    <w:name w:val="fontstyle01"/>
    <w:autoRedefine/>
    <w:qFormat/>
    <w:uiPriority w:val="0"/>
    <w:rPr>
      <w:rFonts w:ascii="仿宋_GB2312" w:hAnsi="仿宋_GB2312" w:eastAsia="仿宋_GB2312" w:cs="仿宋_GB2312"/>
      <w:color w:val="000000"/>
      <w:sz w:val="32"/>
      <w:szCs w:val="32"/>
    </w:rPr>
  </w:style>
  <w:style w:type="paragraph" w:customStyle="1" w:styleId="19">
    <w:name w:val="闻政-正文段落文字"/>
    <w:basedOn w:val="1"/>
    <w:autoRedefine/>
    <w:qFormat/>
    <w:uiPriority w:val="3"/>
    <w:pPr>
      <w:spacing w:line="500" w:lineRule="exact"/>
      <w:ind w:firstLine="200"/>
    </w:pPr>
    <w:rPr>
      <w:kern w:val="0"/>
      <w:szCs w:val="28"/>
    </w:rPr>
  </w:style>
  <w:style w:type="character" w:customStyle="1" w:styleId="20">
    <w:name w:val="批注框文本 字符"/>
    <w:basedOn w:val="15"/>
    <w:link w:val="7"/>
    <w:autoRedefine/>
    <w:qFormat/>
    <w:uiPriority w:val="0"/>
    <w:rPr>
      <w:rFonts w:ascii="Times New Roman" w:hAnsi="Times New Roman" w:eastAsia="宋体" w:cs="Times New Roman"/>
      <w:kern w:val="2"/>
      <w:sz w:val="18"/>
      <w:szCs w:val="18"/>
    </w:rPr>
  </w:style>
  <w:style w:type="character" w:customStyle="1" w:styleId="21">
    <w:name w:val="页眉 字符"/>
    <w:basedOn w:val="15"/>
    <w:link w:val="9"/>
    <w:autoRedefine/>
    <w:qFormat/>
    <w:uiPriority w:val="0"/>
    <w:rPr>
      <w:rFonts w:ascii="Times New Roman" w:hAnsi="Times New Roman" w:eastAsia="宋体" w:cs="Times New Roman"/>
      <w:kern w:val="2"/>
      <w:sz w:val="18"/>
      <w:szCs w:val="18"/>
    </w:rPr>
  </w:style>
  <w:style w:type="character" w:customStyle="1" w:styleId="22">
    <w:name w:val="批注文字 字符"/>
    <w:basedOn w:val="15"/>
    <w:link w:val="4"/>
    <w:autoRedefine/>
    <w:qFormat/>
    <w:uiPriority w:val="0"/>
    <w:rPr>
      <w:rFonts w:ascii="Times New Roman" w:hAnsi="Times New Roman" w:eastAsia="宋体" w:cs="Times New Roman"/>
      <w:kern w:val="2"/>
      <w:sz w:val="21"/>
      <w:szCs w:val="24"/>
    </w:rPr>
  </w:style>
  <w:style w:type="character" w:customStyle="1" w:styleId="23">
    <w:name w:val="批注主题 字符"/>
    <w:basedOn w:val="22"/>
    <w:link w:val="11"/>
    <w:autoRedefine/>
    <w:qFormat/>
    <w:uiPriority w:val="0"/>
    <w:rPr>
      <w:rFonts w:ascii="Times New Roman" w:hAnsi="Times New Roman" w:eastAsia="宋体" w:cs="Times New Roman"/>
      <w:b/>
      <w:bCs/>
      <w:kern w:val="2"/>
      <w:sz w:val="21"/>
      <w:szCs w:val="24"/>
    </w:rPr>
  </w:style>
  <w:style w:type="character" w:customStyle="1" w:styleId="24">
    <w:name w:val="font41"/>
    <w:basedOn w:val="15"/>
    <w:autoRedefine/>
    <w:qFormat/>
    <w:uiPriority w:val="0"/>
    <w:rPr>
      <w:rFonts w:ascii="宋体" w:hAnsi="宋体" w:eastAsia="宋体" w:cs="宋体"/>
      <w:color w:val="000000"/>
      <w:sz w:val="18"/>
      <w:szCs w:val="18"/>
      <w:u w:val="none"/>
    </w:rPr>
  </w:style>
  <w:style w:type="character" w:customStyle="1" w:styleId="25">
    <w:name w:val="font31"/>
    <w:basedOn w:val="15"/>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10257</Words>
  <Characters>10812</Characters>
  <Lines>58</Lines>
  <Paragraphs>16</Paragraphs>
  <TotalTime>3</TotalTime>
  <ScaleCrop>false</ScaleCrop>
  <LinksUpToDate>false</LinksUpToDate>
  <CharactersWithSpaces>10828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久溺深海</cp:lastModifiedBy>
  <cp:lastPrinted>2025-03-13T11:27:00Z</cp:lastPrinted>
  <dcterms:modified xsi:type="dcterms:W3CDTF">2025-08-27T04:13:18Z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EC99773F21B349659AE205148812517A_13</vt:lpwstr>
  </property>
  <property fmtid="{D5CDD505-2E9C-101B-9397-08002B2CF9AE}" pid="4" name="KSOTemplateDocerSaveRecord">
    <vt:lpwstr>eyJoZGlkIjoiNmZkMjYyYzAxYjhmOGVmYjRhNDdiNWU4MjMwYTAyNjgiLCJ1c2VySWQiOiIyNTIzNDE3MTMifQ==</vt:lpwstr>
  </property>
</Properties>
</file>