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新疆维吾尔自治区工业和信息化厅机关服务中心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yellow"/>
        </w:rPr>
      </w:pPr>
      <w:r>
        <w:rPr>
          <w:rFonts w:ascii="仿宋_GB2312" w:eastAsia="仿宋_GB2312"/>
          <w:b w:val="0"/>
          <w:sz w:val="32"/>
          <w:szCs w:val="32"/>
          <w:highlight w:val="yellow"/>
        </w:rPr>
        <w:t>自治区工信厅机关服务中心是全额拨款事业单位。主管单位：自治区工业和信息化厅。（1）负责自治区工信厅机关后勤服务保障,负责自治区工信厅三个机关办公楼值班安保、消防、水电暖等</w:t>
      </w:r>
      <w:bookmarkStart w:id="0" w:name="_GoBack"/>
      <w:bookmarkEnd w:id="0"/>
      <w:r>
        <w:rPr>
          <w:rFonts w:ascii="仿宋_GB2312" w:eastAsia="仿宋_GB2312"/>
          <w:b w:val="0"/>
          <w:sz w:val="32"/>
          <w:szCs w:val="32"/>
          <w:highlight w:val="yellow"/>
        </w:rPr>
        <w:t>公用设施维修维护及水电暖气费的收缴；17个住宅区值班安保、消防安全管理、水电暖等公用设施维修维护及改造，水、电、物业管理各类费用收缴工作。（2）负责自治区工信厅机关车辆管理、使用和保养维修工作、安全行车教育。（3）负责自治区工信厅公有房屋的管理、使用、租赁等。（4）负责自治区工信厅机关后勤服务和环境卫生、绿化等工作。（5）协助有关部门开展综合治理,创建平安单位和社区精神文明建设等工作。（6）承担自治区工信厅系统公共机构节能（垃圾分类）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新疆维吾尔自治区工业和信息化厅机关服务中心2024年度，实有人数151人，其中：在职人员51人，减少3人；离休人员1人，较上年无变化；退休人员99人，增加1人。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新疆维吾尔自治区工业和信息化厅机关服务中心无下属预算单位，下设7个科室，分别是：综合科、财务科、办公楼服务科、物业管理科、生活服务科、车队、国防工办招待所。</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2024年度收入总计1,367.93万元，其中：本年收入合计1,367.36万元，使用非财政拨款结余（含专用结余）0.00万元，年初结转和结余0.58万元。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2024年度支出总计1,367.93万元，其中：本年支出合计1,367.06万元，结余分配0.00万元，年末结转和结余0.87万元。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收入支出总体与上年相比，减少148.26万元，下降9.78%，主要原因是：</w:t>
      </w:r>
      <w:r>
        <w:rPr>
          <w:rFonts w:hint="eastAsia" w:ascii="仿宋_GB2312" w:eastAsia="仿宋_GB2312"/>
          <w:b w:val="0"/>
          <w:sz w:val="32"/>
          <w:szCs w:val="32"/>
          <w:highlight w:val="none"/>
          <w:lang w:val="en-US" w:eastAsia="zh-CN"/>
        </w:rPr>
        <w:t>一是</w:t>
      </w:r>
      <w:r>
        <w:rPr>
          <w:rFonts w:ascii="仿宋_GB2312" w:eastAsia="仿宋_GB2312"/>
          <w:b w:val="0"/>
          <w:sz w:val="32"/>
          <w:szCs w:val="32"/>
          <w:highlight w:val="none"/>
        </w:rPr>
        <w:t>2024年</w:t>
      </w:r>
      <w:r>
        <w:rPr>
          <w:rFonts w:hint="eastAsia" w:ascii="仿宋_GB2312" w:eastAsia="仿宋_GB2312"/>
          <w:b w:val="0"/>
          <w:sz w:val="32"/>
          <w:szCs w:val="32"/>
          <w:highlight w:val="none"/>
          <w:lang w:val="en-US" w:eastAsia="zh-CN"/>
        </w:rPr>
        <w:t>新增</w:t>
      </w:r>
      <w:r>
        <w:rPr>
          <w:rFonts w:ascii="仿宋_GB2312" w:eastAsia="仿宋_GB2312"/>
          <w:b w:val="0"/>
          <w:sz w:val="32"/>
          <w:szCs w:val="32"/>
          <w:highlight w:val="none"/>
        </w:rPr>
        <w:t>退休职工</w:t>
      </w:r>
      <w:r>
        <w:rPr>
          <w:rFonts w:hint="eastAsia" w:ascii="仿宋_GB2312" w:eastAsia="仿宋_GB2312"/>
          <w:b w:val="0"/>
          <w:sz w:val="32"/>
          <w:szCs w:val="32"/>
          <w:highlight w:val="none"/>
          <w:lang w:val="en-US" w:eastAsia="zh-CN"/>
        </w:rPr>
        <w:t>1名，</w:t>
      </w:r>
      <w:r>
        <w:rPr>
          <w:rFonts w:ascii="仿宋_GB2312" w:eastAsia="仿宋_GB2312"/>
          <w:b w:val="0"/>
          <w:sz w:val="32"/>
          <w:szCs w:val="32"/>
          <w:highlight w:val="none"/>
        </w:rPr>
        <w:t>社会保险未使用完退回财政</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二是</w:t>
      </w:r>
      <w:r>
        <w:rPr>
          <w:rFonts w:ascii="仿宋_GB2312" w:eastAsia="仿宋_GB2312"/>
          <w:b w:val="0"/>
          <w:sz w:val="32"/>
          <w:szCs w:val="32"/>
          <w:highlight w:val="none"/>
        </w:rPr>
        <w:t>公用经费因业务原因未使用完退回财政</w:t>
      </w:r>
      <w:r>
        <w:rPr>
          <w:rFonts w:hint="eastAsia" w:ascii="仿宋_GB2312" w:eastAsia="仿宋_GB2312"/>
          <w:b w:val="0"/>
          <w:sz w:val="32"/>
          <w:szCs w:val="32"/>
          <w:highlight w:val="none"/>
          <w:lang w:eastAsia="zh-CN"/>
        </w:rPr>
        <w:t>；</w:t>
      </w:r>
      <w:r>
        <w:rPr>
          <w:rFonts w:hint="eastAsia" w:ascii="仿宋_GB2312" w:eastAsia="仿宋_GB2312"/>
          <w:b w:val="0"/>
          <w:sz w:val="32"/>
          <w:szCs w:val="32"/>
          <w:highlight w:val="none"/>
          <w:lang w:val="en-US" w:eastAsia="zh-CN"/>
        </w:rPr>
        <w:t>三是一般公共预算财政拨款</w:t>
      </w:r>
      <w:r>
        <w:rPr>
          <w:rFonts w:ascii="仿宋_GB2312" w:eastAsia="仿宋_GB2312"/>
          <w:b w:val="0"/>
          <w:sz w:val="32"/>
          <w:szCs w:val="32"/>
          <w:highlight w:val="none"/>
        </w:rPr>
        <w:t>项目支出中</w:t>
      </w:r>
      <w:r>
        <w:rPr>
          <w:rFonts w:hint="eastAsia" w:ascii="仿宋_GB2312" w:eastAsia="仿宋_GB2312"/>
          <w:b w:val="0"/>
          <w:sz w:val="32"/>
          <w:szCs w:val="32"/>
          <w:highlight w:val="none"/>
          <w:lang w:eastAsia="zh-CN"/>
        </w:rPr>
        <w:t>，</w:t>
      </w:r>
      <w:r>
        <w:rPr>
          <w:rFonts w:ascii="仿宋_GB2312" w:eastAsia="仿宋_GB2312"/>
          <w:b w:val="0"/>
          <w:sz w:val="32"/>
          <w:szCs w:val="32"/>
          <w:highlight w:val="none"/>
        </w:rPr>
        <w:t>房屋出租收入成本性项目资金</w:t>
      </w:r>
      <w:r>
        <w:rPr>
          <w:rFonts w:hint="eastAsia" w:ascii="仿宋_GB2312" w:eastAsia="仿宋_GB2312"/>
          <w:b w:val="0"/>
          <w:sz w:val="32"/>
          <w:szCs w:val="32"/>
          <w:highlight w:val="none"/>
          <w:lang w:val="en-US" w:eastAsia="zh-CN"/>
        </w:rPr>
        <w:t>较上年</w:t>
      </w:r>
      <w:r>
        <w:rPr>
          <w:rFonts w:ascii="仿宋_GB2312" w:eastAsia="仿宋_GB2312"/>
          <w:b w:val="0"/>
          <w:sz w:val="32"/>
          <w:szCs w:val="32"/>
          <w:highlight w:val="none"/>
        </w:rPr>
        <w:t>减少120万元。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本年收入1,367.36万元，其中：财政拨款收入1,367.06万元,占99.98%；上级补助收入0.00万元,占0.00%；事业收入0.00万元，占0.00%；经营收入0.00万元,占0.00%；附属单位上缴收入0.00万元，占0.00%；其他收入0.29万元，占0.02%。</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本年支出1,367.06万元，其中：基本支出1,367.06万元，占100.00%；项目支出0.00万元，占0.00%；上缴上级支出0.00万元，占0.00%；经营支出0.00万元，占0.00%；对附属单位补助支出0.00万元，占0.00%。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1,367.06万元，其中：年初财政拨款结转和结余0.00万元，本年财政拨款收入1,367.06万元。财政拨款支出总计1,367.06万元，其中：年末财政拨款结转和结余0.00万元，本年财政拨款支出1,367.06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财政拨款收入支出总体与上年相比，减少148.55万元，下降9.80%，主要原因</w:t>
      </w:r>
      <w:r>
        <w:rPr>
          <w:rFonts w:hint="eastAsia" w:ascii="仿宋_GB2312" w:eastAsia="仿宋_GB2312"/>
          <w:b w:val="0"/>
          <w:sz w:val="32"/>
          <w:szCs w:val="32"/>
          <w:lang w:val="en-US" w:eastAsia="zh-CN"/>
        </w:rPr>
        <w:t>是</w:t>
      </w:r>
      <w:r>
        <w:rPr>
          <w:rFonts w:ascii="仿宋_GB2312" w:eastAsia="仿宋_GB2312"/>
          <w:b w:val="0"/>
          <w:sz w:val="32"/>
          <w:szCs w:val="32"/>
        </w:rPr>
        <w:t>：</w:t>
      </w:r>
      <w:r>
        <w:rPr>
          <w:rFonts w:hint="eastAsia" w:ascii="仿宋_GB2312" w:eastAsia="仿宋_GB2312"/>
          <w:b w:val="0"/>
          <w:sz w:val="32"/>
          <w:szCs w:val="32"/>
          <w:lang w:val="en-US" w:eastAsia="zh-CN"/>
        </w:rPr>
        <w:t>一</w:t>
      </w:r>
      <w:r>
        <w:rPr>
          <w:rFonts w:ascii="仿宋_GB2312" w:eastAsia="仿宋_GB2312"/>
          <w:b w:val="0"/>
          <w:sz w:val="32"/>
          <w:szCs w:val="32"/>
        </w:rPr>
        <w:t>是2024年职工退休</w:t>
      </w:r>
      <w:r>
        <w:rPr>
          <w:rFonts w:hint="eastAsia" w:ascii="仿宋_GB2312" w:eastAsia="仿宋_GB2312"/>
          <w:b w:val="0"/>
          <w:sz w:val="32"/>
          <w:szCs w:val="32"/>
          <w:lang w:eastAsia="zh-CN"/>
        </w:rPr>
        <w:t>，</w:t>
      </w:r>
      <w:r>
        <w:rPr>
          <w:rFonts w:ascii="仿宋_GB2312" w:eastAsia="仿宋_GB2312"/>
          <w:b w:val="0"/>
          <w:sz w:val="32"/>
          <w:szCs w:val="32"/>
        </w:rPr>
        <w:t>社会保险未使用完退回财政，公用经费因业务原因未使用完退回财政</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二</w:t>
      </w:r>
      <w:r>
        <w:rPr>
          <w:rFonts w:ascii="仿宋_GB2312" w:eastAsia="仿宋_GB2312"/>
          <w:b w:val="0"/>
          <w:sz w:val="32"/>
          <w:szCs w:val="32"/>
        </w:rPr>
        <w:t>是项目支出中房屋出租收入成本性项目资金减少120万元。与年初预算相比，年初预算数1,297.01万元，决算数1,367.06万元，预决算差异率5.40%，主要原因</w:t>
      </w:r>
      <w:r>
        <w:rPr>
          <w:rFonts w:hint="eastAsia" w:ascii="仿宋_GB2312" w:eastAsia="仿宋_GB2312"/>
          <w:b w:val="0"/>
          <w:sz w:val="32"/>
          <w:szCs w:val="32"/>
          <w:lang w:val="en-US" w:eastAsia="zh-CN"/>
        </w:rPr>
        <w:t>是</w:t>
      </w:r>
      <w:r>
        <w:rPr>
          <w:rFonts w:ascii="仿宋_GB2312" w:eastAsia="仿宋_GB2312"/>
          <w:b w:val="0"/>
          <w:sz w:val="32"/>
          <w:szCs w:val="32"/>
        </w:rPr>
        <w:t>：</w:t>
      </w:r>
      <w:r>
        <w:rPr>
          <w:rFonts w:hint="eastAsia" w:ascii="仿宋_GB2312" w:eastAsia="仿宋_GB2312"/>
          <w:b w:val="0"/>
          <w:sz w:val="32"/>
          <w:szCs w:val="32"/>
          <w:lang w:val="en-US" w:eastAsia="zh-CN"/>
        </w:rPr>
        <w:t>一</w:t>
      </w:r>
      <w:r>
        <w:rPr>
          <w:rFonts w:ascii="仿宋_GB2312" w:eastAsia="仿宋_GB2312"/>
          <w:b w:val="0"/>
          <w:sz w:val="32"/>
          <w:szCs w:val="32"/>
        </w:rPr>
        <w:t>是</w:t>
      </w:r>
      <w:r>
        <w:rPr>
          <w:rFonts w:hint="eastAsia" w:ascii="仿宋_GB2312" w:eastAsia="仿宋_GB2312"/>
          <w:b w:val="0"/>
          <w:sz w:val="32"/>
          <w:szCs w:val="32"/>
          <w:highlight w:val="yellow"/>
          <w:lang w:val="en-US" w:eastAsia="zh-CN"/>
        </w:rPr>
        <w:t>2024年追加人员经费</w:t>
      </w:r>
      <w:r>
        <w:rPr>
          <w:rFonts w:ascii="仿宋_GB2312" w:eastAsia="仿宋_GB2312"/>
          <w:b w:val="0"/>
          <w:sz w:val="32"/>
          <w:szCs w:val="32"/>
        </w:rPr>
        <w:t>；</w:t>
      </w:r>
      <w:r>
        <w:rPr>
          <w:rFonts w:hint="eastAsia" w:ascii="仿宋_GB2312" w:eastAsia="仿宋_GB2312"/>
          <w:b w:val="0"/>
          <w:sz w:val="32"/>
          <w:szCs w:val="32"/>
          <w:lang w:val="en-US" w:eastAsia="zh-CN"/>
        </w:rPr>
        <w:t>二是</w:t>
      </w:r>
      <w:r>
        <w:rPr>
          <w:rFonts w:ascii="仿宋_GB2312" w:eastAsia="仿宋_GB2312"/>
          <w:b w:val="0"/>
          <w:sz w:val="32"/>
          <w:szCs w:val="32"/>
        </w:rPr>
        <w:t>年中追加2024年</w:t>
      </w:r>
      <w:r>
        <w:rPr>
          <w:rFonts w:hint="eastAsia" w:ascii="仿宋_GB2312" w:eastAsia="仿宋_GB2312"/>
          <w:b w:val="0"/>
          <w:sz w:val="32"/>
          <w:szCs w:val="32"/>
          <w:lang w:val="en-US" w:eastAsia="zh-CN"/>
        </w:rPr>
        <w:t>退休人员</w:t>
      </w:r>
      <w:r>
        <w:rPr>
          <w:rFonts w:ascii="仿宋_GB2312" w:eastAsia="仿宋_GB2312"/>
          <w:b w:val="0"/>
          <w:sz w:val="32"/>
          <w:szCs w:val="32"/>
        </w:rPr>
        <w:t>职业年金；</w:t>
      </w:r>
      <w:r>
        <w:rPr>
          <w:rFonts w:hint="eastAsia" w:ascii="仿宋_GB2312" w:eastAsia="仿宋_GB2312"/>
          <w:b w:val="0"/>
          <w:sz w:val="32"/>
          <w:szCs w:val="32"/>
          <w:lang w:val="en-US" w:eastAsia="zh-CN"/>
        </w:rPr>
        <w:t>三是</w:t>
      </w:r>
      <w:r>
        <w:rPr>
          <w:rFonts w:ascii="仿宋_GB2312" w:eastAsia="仿宋_GB2312"/>
          <w:b w:val="0"/>
          <w:sz w:val="32"/>
          <w:szCs w:val="32"/>
        </w:rPr>
        <w:t>年中追加2024退休死亡人员抚恤金及丧葬费；</w:t>
      </w:r>
      <w:r>
        <w:rPr>
          <w:rFonts w:hint="eastAsia" w:ascii="仿宋_GB2312" w:eastAsia="仿宋_GB2312"/>
          <w:b w:val="0"/>
          <w:sz w:val="32"/>
          <w:szCs w:val="32"/>
          <w:lang w:val="en-US" w:eastAsia="zh-CN"/>
        </w:rPr>
        <w:t>四是</w:t>
      </w:r>
      <w:r>
        <w:rPr>
          <w:rFonts w:ascii="仿宋_GB2312" w:eastAsia="仿宋_GB2312"/>
          <w:b w:val="0"/>
          <w:sz w:val="32"/>
          <w:szCs w:val="32"/>
        </w:rPr>
        <w:t>退休人员社会保险退库，公用经费因业务原因未使用</w:t>
      </w:r>
      <w:r>
        <w:rPr>
          <w:rFonts w:hint="eastAsia" w:ascii="仿宋_GB2312" w:eastAsia="仿宋_GB2312"/>
          <w:b w:val="0"/>
          <w:sz w:val="32"/>
          <w:szCs w:val="32"/>
          <w:lang w:val="en-US" w:eastAsia="zh-CN"/>
        </w:rPr>
        <w:t>完</w:t>
      </w:r>
      <w:r>
        <w:rPr>
          <w:rFonts w:ascii="仿宋_GB2312" w:eastAsia="仿宋_GB2312"/>
          <w:b w:val="0"/>
          <w:sz w:val="32"/>
          <w:szCs w:val="32"/>
        </w:rPr>
        <w:t>退回财政。</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2024年度一般公共预算财政拨款支出1,367.06万元，占本年支出合计的100.00%。与上年相比，减少148.55万元，下降9.80%，主要原因</w:t>
      </w:r>
      <w:r>
        <w:rPr>
          <w:rFonts w:hint="eastAsia" w:ascii="仿宋_GB2312" w:eastAsia="仿宋_GB2312"/>
          <w:b w:val="0"/>
          <w:sz w:val="32"/>
          <w:szCs w:val="32"/>
          <w:lang w:val="en-US" w:eastAsia="zh-CN"/>
        </w:rPr>
        <w:t>是</w:t>
      </w:r>
      <w:r>
        <w:rPr>
          <w:rFonts w:ascii="仿宋_GB2312" w:eastAsia="仿宋_GB2312"/>
          <w:b w:val="0"/>
          <w:sz w:val="32"/>
          <w:szCs w:val="32"/>
        </w:rPr>
        <w:t>：</w:t>
      </w:r>
      <w:r>
        <w:rPr>
          <w:rFonts w:hint="eastAsia" w:ascii="仿宋_GB2312" w:eastAsia="仿宋_GB2312"/>
          <w:b w:val="0"/>
          <w:sz w:val="32"/>
          <w:szCs w:val="32"/>
          <w:lang w:val="en-US" w:eastAsia="zh-CN"/>
        </w:rPr>
        <w:t>一是</w:t>
      </w:r>
      <w:r>
        <w:rPr>
          <w:rFonts w:ascii="仿宋_GB2312" w:eastAsia="仿宋_GB2312"/>
          <w:b w:val="0"/>
          <w:sz w:val="32"/>
          <w:szCs w:val="32"/>
        </w:rPr>
        <w:t>2024年职工退休</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因此</w:t>
      </w:r>
      <w:r>
        <w:rPr>
          <w:rFonts w:ascii="仿宋_GB2312" w:eastAsia="仿宋_GB2312"/>
          <w:b w:val="0"/>
          <w:sz w:val="32"/>
          <w:szCs w:val="32"/>
        </w:rPr>
        <w:t>社会保险未使用完退回财政，公用经费因业务原因未使用完退回财政</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二是</w:t>
      </w:r>
      <w:r>
        <w:rPr>
          <w:rFonts w:ascii="仿宋_GB2312" w:eastAsia="仿宋_GB2312"/>
          <w:b w:val="0"/>
          <w:sz w:val="32"/>
          <w:szCs w:val="32"/>
        </w:rPr>
        <w:t>项目支出中房屋出租收入成本性项目资金减少120万元。与年初预算相比，年初预算数1,297.01万元，决算数1,367.06万元，预决算差异率5.40%，主要原因：</w:t>
      </w:r>
      <w:r>
        <w:rPr>
          <w:rFonts w:hint="eastAsia" w:ascii="仿宋_GB2312" w:eastAsia="仿宋_GB2312"/>
          <w:b w:val="0"/>
          <w:sz w:val="32"/>
          <w:szCs w:val="32"/>
          <w:lang w:val="en-US" w:eastAsia="zh-CN"/>
        </w:rPr>
        <w:t>一是</w:t>
      </w:r>
      <w:r>
        <w:rPr>
          <w:rFonts w:hint="eastAsia" w:ascii="仿宋_GB2312" w:eastAsia="仿宋_GB2312"/>
          <w:b w:val="0"/>
          <w:sz w:val="32"/>
          <w:szCs w:val="32"/>
          <w:highlight w:val="yellow"/>
          <w:lang w:val="en-US" w:eastAsia="zh-CN"/>
        </w:rPr>
        <w:t>2024年追加人员经费</w:t>
      </w:r>
      <w:r>
        <w:rPr>
          <w:rFonts w:ascii="仿宋_GB2312" w:eastAsia="仿宋_GB2312"/>
          <w:b w:val="0"/>
          <w:sz w:val="32"/>
          <w:szCs w:val="32"/>
        </w:rPr>
        <w:t>；</w:t>
      </w:r>
      <w:r>
        <w:rPr>
          <w:rFonts w:hint="eastAsia" w:ascii="仿宋_GB2312" w:eastAsia="仿宋_GB2312"/>
          <w:b w:val="0"/>
          <w:sz w:val="32"/>
          <w:szCs w:val="32"/>
          <w:lang w:val="en-US" w:eastAsia="zh-CN"/>
        </w:rPr>
        <w:t>二是</w:t>
      </w:r>
      <w:r>
        <w:rPr>
          <w:rFonts w:ascii="仿宋_GB2312" w:eastAsia="仿宋_GB2312"/>
          <w:b w:val="0"/>
          <w:sz w:val="32"/>
          <w:szCs w:val="32"/>
        </w:rPr>
        <w:t>年中追加2024年退休</w:t>
      </w:r>
      <w:r>
        <w:rPr>
          <w:rFonts w:hint="eastAsia" w:ascii="仿宋_GB2312" w:eastAsia="仿宋_GB2312"/>
          <w:b w:val="0"/>
          <w:sz w:val="32"/>
          <w:szCs w:val="32"/>
          <w:lang w:val="en-US" w:eastAsia="zh-CN"/>
        </w:rPr>
        <w:t>人员</w:t>
      </w:r>
      <w:r>
        <w:rPr>
          <w:rFonts w:ascii="仿宋_GB2312" w:eastAsia="仿宋_GB2312"/>
          <w:b w:val="0"/>
          <w:sz w:val="32"/>
          <w:szCs w:val="32"/>
        </w:rPr>
        <w:t>职业年金；</w:t>
      </w:r>
      <w:r>
        <w:rPr>
          <w:rFonts w:hint="eastAsia" w:ascii="仿宋_GB2312" w:eastAsia="仿宋_GB2312"/>
          <w:b w:val="0"/>
          <w:sz w:val="32"/>
          <w:szCs w:val="32"/>
          <w:lang w:val="en-US" w:eastAsia="zh-CN"/>
        </w:rPr>
        <w:t>三是</w:t>
      </w:r>
      <w:r>
        <w:rPr>
          <w:rFonts w:ascii="仿宋_GB2312" w:eastAsia="仿宋_GB2312"/>
          <w:b w:val="0"/>
          <w:sz w:val="32"/>
          <w:szCs w:val="32"/>
        </w:rPr>
        <w:t>年中追加2024退休死亡人员抚恤金及丧葬费；</w:t>
      </w:r>
      <w:r>
        <w:rPr>
          <w:rFonts w:hint="eastAsia" w:ascii="仿宋_GB2312" w:eastAsia="仿宋_GB2312"/>
          <w:b w:val="0"/>
          <w:sz w:val="32"/>
          <w:szCs w:val="32"/>
          <w:lang w:val="en-US" w:eastAsia="zh-CN"/>
        </w:rPr>
        <w:t>四是</w:t>
      </w:r>
      <w:r>
        <w:rPr>
          <w:rFonts w:ascii="仿宋_GB2312" w:eastAsia="仿宋_GB2312"/>
          <w:b w:val="0"/>
          <w:sz w:val="32"/>
          <w:szCs w:val="32"/>
        </w:rPr>
        <w:t>退休人员社会保险退库，公用经费因业务原因未使用</w:t>
      </w:r>
      <w:r>
        <w:rPr>
          <w:rFonts w:hint="eastAsia" w:ascii="仿宋_GB2312" w:eastAsia="仿宋_GB2312"/>
          <w:b w:val="0"/>
          <w:sz w:val="32"/>
          <w:szCs w:val="32"/>
          <w:lang w:val="en-US" w:eastAsia="zh-CN"/>
        </w:rPr>
        <w:t>完</w:t>
      </w:r>
      <w:r>
        <w:rPr>
          <w:rFonts w:ascii="仿宋_GB2312" w:eastAsia="仿宋_GB2312"/>
          <w:b w:val="0"/>
          <w:sz w:val="32"/>
          <w:szCs w:val="32"/>
        </w:rPr>
        <w:t>退回财政。</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社会保障和就业支出（类）399.82万元，占29.25%。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卫生健康支出（类）95.83万元，占7.01%。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资源勘探工业信息等支出（类）789.80万元，占57.77%。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住房保障支出（类）81.62万元，占5.97%。</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1、社会保障和就业支出（类）行政事业单位养老支出（款）事业单位离退休（项）：支出决算数为263.94万元，比上年决算增加2.50万元，增长0.96%，主要原因是：退休人员增加</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相应事业单位</w:t>
      </w:r>
      <w:r>
        <w:rPr>
          <w:rFonts w:ascii="仿宋_GB2312" w:eastAsia="仿宋_GB2312"/>
          <w:b w:val="0"/>
          <w:sz w:val="32"/>
          <w:szCs w:val="32"/>
        </w:rPr>
        <w:t>离退休</w:t>
      </w:r>
      <w:r>
        <w:rPr>
          <w:rFonts w:hint="eastAsia" w:ascii="仿宋_GB2312" w:eastAsia="仿宋_GB2312"/>
          <w:b w:val="0"/>
          <w:sz w:val="32"/>
          <w:szCs w:val="32"/>
          <w:lang w:val="en-US" w:eastAsia="zh-CN"/>
        </w:rPr>
        <w:t>支出</w:t>
      </w:r>
      <w:r>
        <w:rPr>
          <w:rFonts w:ascii="仿宋_GB2312" w:eastAsia="仿宋_GB2312"/>
          <w:b w:val="0"/>
          <w:sz w:val="32"/>
          <w:szCs w:val="32"/>
        </w:rPr>
        <w:t>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2、社会保障和就业支出（类）行政事业单位养老支出（款）机关事业单位基本养老保险缴费支出（项）：支出决算数为104.42万元，比上年决算增加10.14万元，增长10.76%，主要原因是：人员工资提高标准</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相应</w:t>
      </w:r>
      <w:r>
        <w:rPr>
          <w:rFonts w:ascii="仿宋_GB2312" w:eastAsia="仿宋_GB2312"/>
          <w:b w:val="0"/>
          <w:sz w:val="32"/>
          <w:szCs w:val="32"/>
        </w:rPr>
        <w:t>机关事业单位基本养老保险缴费基数增加。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3、社会保障和就业支出（类）行政事业单位养老支出（款）机关事业单位职业年金缴费支出（项）：支出决算数为31.45万元，比上年决算减少21.52万元，下降40.63%，主要原因是：在职人员</w:t>
      </w:r>
      <w:r>
        <w:rPr>
          <w:rFonts w:hint="eastAsia" w:ascii="仿宋_GB2312" w:eastAsia="仿宋_GB2312"/>
          <w:b w:val="0"/>
          <w:sz w:val="32"/>
          <w:szCs w:val="32"/>
          <w:lang w:val="en-US" w:eastAsia="zh-CN"/>
        </w:rPr>
        <w:t>转</w:t>
      </w:r>
      <w:r>
        <w:rPr>
          <w:rFonts w:ascii="仿宋_GB2312" w:eastAsia="仿宋_GB2312"/>
          <w:b w:val="0"/>
          <w:sz w:val="32"/>
          <w:szCs w:val="32"/>
        </w:rPr>
        <w:t>退休</w:t>
      </w:r>
      <w:r>
        <w:rPr>
          <w:rFonts w:hint="eastAsia" w:ascii="仿宋_GB2312" w:eastAsia="仿宋_GB2312"/>
          <w:b w:val="0"/>
          <w:sz w:val="32"/>
          <w:szCs w:val="32"/>
          <w:lang w:val="en-US" w:eastAsia="zh-CN"/>
        </w:rPr>
        <w:t>1人，</w:t>
      </w:r>
      <w:r>
        <w:rPr>
          <w:rFonts w:ascii="仿宋_GB2312" w:eastAsia="仿宋_GB2312"/>
          <w:b w:val="0"/>
          <w:sz w:val="32"/>
          <w:szCs w:val="32"/>
        </w:rPr>
        <w:t>本年退休人员比上年退休人员少，</w:t>
      </w:r>
      <w:r>
        <w:rPr>
          <w:rFonts w:hint="eastAsia" w:ascii="仿宋_GB2312" w:eastAsia="仿宋_GB2312"/>
          <w:b w:val="0"/>
          <w:sz w:val="32"/>
          <w:szCs w:val="32"/>
          <w:lang w:val="en-US" w:eastAsia="zh-CN"/>
        </w:rPr>
        <w:t>因此</w:t>
      </w:r>
      <w:r>
        <w:rPr>
          <w:rFonts w:ascii="仿宋_GB2312" w:eastAsia="仿宋_GB2312"/>
          <w:b w:val="0"/>
          <w:sz w:val="32"/>
          <w:szCs w:val="32"/>
        </w:rPr>
        <w:t>机关事业单位职业年金缴费</w:t>
      </w:r>
      <w:r>
        <w:rPr>
          <w:rFonts w:hint="eastAsia" w:ascii="仿宋_GB2312" w:eastAsia="仿宋_GB2312"/>
          <w:b w:val="0"/>
          <w:sz w:val="32"/>
          <w:szCs w:val="32"/>
          <w:lang w:val="en-US" w:eastAsia="zh-CN"/>
        </w:rPr>
        <w:t>支出减少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4、卫生健康支出（类）行政事业单位医疗（款）事业单位医疗（项）：支出决算数为49.79万元，比上年决算减少2.91万元，下降5.52%，主要原因是：退休人员增加，</w:t>
      </w:r>
      <w:r>
        <w:rPr>
          <w:rFonts w:hint="eastAsia" w:ascii="仿宋_GB2312" w:eastAsia="仿宋_GB2312"/>
          <w:b w:val="0"/>
          <w:sz w:val="32"/>
          <w:szCs w:val="32"/>
          <w:lang w:val="en-US" w:eastAsia="zh-CN"/>
        </w:rPr>
        <w:t>因此</w:t>
      </w:r>
      <w:r>
        <w:rPr>
          <w:rFonts w:ascii="仿宋_GB2312" w:eastAsia="仿宋_GB2312"/>
          <w:b w:val="0"/>
          <w:sz w:val="32"/>
          <w:szCs w:val="32"/>
        </w:rPr>
        <w:t>事业单位医疗费未使用完退回财政。</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5、卫生健康支出（类）行政事业单位医疗（款）公务员医疗补助（项）：支出决算数为46.03万元，比上年决算增加1.63万元，增长3.67%，主要原因是：人员工资调整，提高缴费基数</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因此</w:t>
      </w:r>
      <w:r>
        <w:rPr>
          <w:rFonts w:ascii="仿宋_GB2312" w:eastAsia="仿宋_GB2312"/>
          <w:b w:val="0"/>
          <w:sz w:val="32"/>
          <w:szCs w:val="32"/>
        </w:rPr>
        <w:t>费用增加。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监管（款）机关服务（项）：支出决算数为789.80万元，比上年决算减少140.59万元，下降15.11%，主要原因是：一是在职转退休，社会保险退回财政；二是公用经费因业务原因未使用退回财政；三是取消项目支出120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7、住房保障支出（类）住房改革支出（款）住房公积金（项）：支出决算数为81.62万元，比上年决算增加2.20万元，增长2.77%，主要原因是：人员工资调整，</w:t>
      </w:r>
      <w:r>
        <w:rPr>
          <w:rFonts w:hint="eastAsia" w:ascii="仿宋_GB2312" w:eastAsia="仿宋_GB2312"/>
          <w:b w:val="0"/>
          <w:sz w:val="32"/>
          <w:szCs w:val="32"/>
          <w:lang w:val="en-US" w:eastAsia="zh-CN"/>
        </w:rPr>
        <w:t>住房公积金</w:t>
      </w:r>
      <w:r>
        <w:rPr>
          <w:rFonts w:ascii="仿宋_GB2312" w:eastAsia="仿宋_GB2312"/>
          <w:b w:val="0"/>
          <w:sz w:val="32"/>
          <w:szCs w:val="32"/>
        </w:rPr>
        <w:t>缴费基数</w:t>
      </w:r>
      <w:r>
        <w:rPr>
          <w:rFonts w:hint="eastAsia" w:ascii="仿宋_GB2312" w:eastAsia="仿宋_GB2312"/>
          <w:b w:val="0"/>
          <w:sz w:val="32"/>
          <w:szCs w:val="32"/>
          <w:lang w:val="en-US" w:eastAsia="zh-CN"/>
        </w:rPr>
        <w:t>调增，因此住房公积金</w:t>
      </w:r>
      <w:r>
        <w:rPr>
          <w:rFonts w:ascii="仿宋_GB2312" w:eastAsia="仿宋_GB2312"/>
          <w:b w:val="0"/>
          <w:sz w:val="32"/>
          <w:szCs w:val="32"/>
        </w:rPr>
        <w:t>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1,367.06万元，其中：人员经费1,312.80万元，包括：基本工资、津贴补贴、奖金、绩效工资、机关事业单位基本养老保险缴费、职业年金缴费、职工基本医疗保险缴费、公务员医疗补助缴费、其他社会保障缴费、住房公积金、其他工资福利支出、离休费、退休费、抚恤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公用经费54.26万元，包括：办公费、电费、邮电费、差旅费、培训费、工会经费、福利费、公务用车运行维护费和其他商品和服务支出。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4.28万元，比上年减少0.01万元，下降0.23%，主要原因是：节约支出。其中：因公出国（境）费支出0.00万元,占0.00%，与上年相比无变化，主要原因是：无因公出国（境）费用支出；公务用车购置及运行维护费支出4.28万元，占100.00%，比上年减少0.01万元，下降0.23%，主要原因是：节约支出；公务接待费支出0.00万元，占0.00%，与上年相比无变化，主要原因是：无公务接待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因公出国（境）费支出0.00万元，开支内容包括无因公出国（境）费用支出。单位全年安排的因公出国（境）团组0个，因公出国（境）0人次。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4.28万元，其中：公务用车购置费0.00万元，公务用车运行维护费4.28万元。公务用车运行维护费开支内容包括公务用车保险费、公务用车维修费、公务用车燃油费。公务用车购置数0辆，公务用车保有量3辆。国有资产占用情况中固定资产车辆3辆，与公务用车保有量差异原因是：</w:t>
      </w:r>
      <w:r>
        <w:rPr>
          <w:rFonts w:hint="eastAsia" w:ascii="仿宋_GB2312" w:eastAsia="仿宋_GB2312"/>
          <w:b w:val="0"/>
          <w:sz w:val="32"/>
          <w:szCs w:val="32"/>
          <w:lang w:val="en-US" w:eastAsia="zh-CN"/>
        </w:rPr>
        <w:t>与</w:t>
      </w:r>
      <w:r>
        <w:rPr>
          <w:rFonts w:ascii="仿宋_GB2312" w:eastAsia="仿宋_GB2312"/>
          <w:b w:val="0"/>
          <w:sz w:val="32"/>
          <w:szCs w:val="32"/>
        </w:rPr>
        <w:t>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公务接待费0.00万元，开支内容包括无公务接待费。单位全年安排的国内公务接待0批次，0人次。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4.28万元，决算数4.28万元，预决算差异率0.00%，主要原因是：节约开支，按预算执行费用支出。其中：因公出国（境）费全年预算数0.00万元，决算数0.00万元，预决算差异率0.00%，主要原因是：无因公出国（境）费用；公务用车购置费全年预算数0.00万元，决算数0.00万元，预决算差异率0.00%，主要原因是：无公务用车购置费；公务用车运行维护费全年预算数4.28万元，决算数4.28万元，预决算差异率0.00%，主要原因是：节约开支，按预算执行费用支出；公务接待费全年预算数0.00万元，决算数0.00万元，预决算差异率0.00%，主要原因是：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2024年度新疆维吾尔自治区工业和信息化厅机关服务中心单位（事业单位）公用经费支出54.26万元，比上年减少18.80万元，下降25.73%，主要原因是：因业务变化</w:t>
      </w:r>
      <w:r>
        <w:rPr>
          <w:rFonts w:hint="eastAsia" w:ascii="仿宋_GB2312" w:eastAsia="仿宋_GB2312"/>
          <w:b w:val="0"/>
          <w:sz w:val="32"/>
          <w:szCs w:val="32"/>
          <w:lang w:val="en-US" w:eastAsia="zh-CN"/>
        </w:rPr>
        <w:t>所以</w:t>
      </w:r>
      <w:r>
        <w:rPr>
          <w:rFonts w:ascii="仿宋_GB2312" w:eastAsia="仿宋_GB2312"/>
          <w:b w:val="0"/>
          <w:sz w:val="32"/>
          <w:szCs w:val="32"/>
        </w:rPr>
        <w:t>支出减少。</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2024年度政府采购支出总额14.47万元，其中：政府采购货物支出10.19万元、政府采购工程支出0.00万元、政府采购服务支出4.28万元。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授予中小企业合同金额10.98万元，占政府采购支出总额的75.88%，其中：授予小微企业合同金额10.98万元，占政府采购支出总额的75.88%。</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3辆，价值72.14万元，其中：副部（省）级及以上领导用车0辆、主要负责人用车0辆、机要通信用车0辆、应急保障用车0辆、执法执勤用车0辆、特种专业技术用车0辆、离退休干部服务用车0辆、其他用车3辆，其他用车主要是：</w:t>
      </w:r>
      <w:r>
        <w:rPr>
          <w:rFonts w:hint="eastAsia" w:ascii="仿宋_GB2312" w:eastAsia="仿宋_GB2312"/>
          <w:b w:val="0"/>
          <w:sz w:val="32"/>
          <w:szCs w:val="32"/>
          <w:lang w:val="en-US" w:eastAsia="zh-CN"/>
        </w:rPr>
        <w:t>一般</w:t>
      </w:r>
      <w:r>
        <w:rPr>
          <w:rFonts w:ascii="仿宋_GB2312" w:eastAsia="仿宋_GB2312"/>
          <w:b w:val="0"/>
          <w:sz w:val="32"/>
          <w:szCs w:val="32"/>
        </w:rPr>
        <w:t>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0个，全年预算数0万元，全年执行数0万元。预算绩效管理取得的成效：一是严格执行《工信厅全面预算绩效管理办法》，规范和加快预算执行,积极做好绩效监控和绩效评价工作，确保预算执行的准确性、及时性和规范性,切实发挥财政资金最大效用；二是各项工作实施及资金使用情况均在绩效目标设定时限完成，在项目经费的使用上,在保证各项任务顺利完成的同时,严格落实厉行节约原则。发现的问题及原因：一是预算绩效申报个别绩效目标设置不科学；二是因为编制的项目自评指标体系不够精细,绩效目标未完全细化,分解工作任务不够具体,在经费支出过程中精确度有待提高；三是住宅小区多为老旧小区,管理成本较高,社会化管理的推进难度增加。下一步改进措施：一是完善各项内控制度，建立上下协调、科室联动、层层抓落实的工作责任制，将绩效管理责任分解落实到具体科室、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0F07AB0"/>
    <w:rsid w:val="010C0545"/>
    <w:rsid w:val="02E428E2"/>
    <w:rsid w:val="06C0340B"/>
    <w:rsid w:val="078263DC"/>
    <w:rsid w:val="08A85F65"/>
    <w:rsid w:val="0AA80814"/>
    <w:rsid w:val="0AD74D70"/>
    <w:rsid w:val="0BB107CC"/>
    <w:rsid w:val="0CD23158"/>
    <w:rsid w:val="0E356F09"/>
    <w:rsid w:val="0FCA58F7"/>
    <w:rsid w:val="122F66D5"/>
    <w:rsid w:val="12EF3115"/>
    <w:rsid w:val="14A11D1A"/>
    <w:rsid w:val="14C84CC9"/>
    <w:rsid w:val="155704BE"/>
    <w:rsid w:val="15B33677"/>
    <w:rsid w:val="15EA620F"/>
    <w:rsid w:val="17282A46"/>
    <w:rsid w:val="1A5C74AF"/>
    <w:rsid w:val="1B8C7B04"/>
    <w:rsid w:val="1DA64047"/>
    <w:rsid w:val="1E9D555B"/>
    <w:rsid w:val="20B9100A"/>
    <w:rsid w:val="20E24397"/>
    <w:rsid w:val="21C27EC4"/>
    <w:rsid w:val="27ED7B75"/>
    <w:rsid w:val="28EF72E1"/>
    <w:rsid w:val="2A6D139E"/>
    <w:rsid w:val="2FF40719"/>
    <w:rsid w:val="348D6E20"/>
    <w:rsid w:val="36020483"/>
    <w:rsid w:val="36785229"/>
    <w:rsid w:val="36CB17EB"/>
    <w:rsid w:val="3AC75343"/>
    <w:rsid w:val="3EB104B7"/>
    <w:rsid w:val="40875391"/>
    <w:rsid w:val="41B04618"/>
    <w:rsid w:val="41B240AA"/>
    <w:rsid w:val="429577BE"/>
    <w:rsid w:val="453C5544"/>
    <w:rsid w:val="47AC2F80"/>
    <w:rsid w:val="482027F9"/>
    <w:rsid w:val="48A376BD"/>
    <w:rsid w:val="48AE7BFE"/>
    <w:rsid w:val="4AE42570"/>
    <w:rsid w:val="4C3C358B"/>
    <w:rsid w:val="4C86401D"/>
    <w:rsid w:val="4CD41D5F"/>
    <w:rsid w:val="4D2D6B9A"/>
    <w:rsid w:val="4D640758"/>
    <w:rsid w:val="4E2E3C65"/>
    <w:rsid w:val="5061086C"/>
    <w:rsid w:val="51ED6B54"/>
    <w:rsid w:val="51EF0042"/>
    <w:rsid w:val="525E2A23"/>
    <w:rsid w:val="57051C10"/>
    <w:rsid w:val="58E069C7"/>
    <w:rsid w:val="5A704FE0"/>
    <w:rsid w:val="5DAB79A3"/>
    <w:rsid w:val="5EBE22AD"/>
    <w:rsid w:val="621C44D1"/>
    <w:rsid w:val="63B24284"/>
    <w:rsid w:val="66A4218F"/>
    <w:rsid w:val="670357FE"/>
    <w:rsid w:val="6752106C"/>
    <w:rsid w:val="68115B27"/>
    <w:rsid w:val="68C412E2"/>
    <w:rsid w:val="6CB50C41"/>
    <w:rsid w:val="6D2F04E1"/>
    <w:rsid w:val="6DD60C8B"/>
    <w:rsid w:val="71387ED3"/>
    <w:rsid w:val="74D0099D"/>
    <w:rsid w:val="764B0E9E"/>
    <w:rsid w:val="77297DBF"/>
    <w:rsid w:val="7A8A7498"/>
    <w:rsid w:val="7AA064BB"/>
    <w:rsid w:val="7C5C6832"/>
    <w:rsid w:val="7FA25D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Office_11.8.2.8506_F1E327BC-269C-435d-A152-05C5408002CA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2025-08-22T04:58:00Z</dcterms:created>
  <dc:creator>Administrator</dc:creator>
  <cp:lastModifiedBy>Administrator</cp:lastModifiedBy>
  <dcterms:modified xsi:type="dcterms:W3CDTF">2025-08-26T05:20:09Z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