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新疆维吾尔自治区工业和信息化培训中心（自治区计算机培训中心）</w:t>
      </w:r>
    </w:p>
    <w:p>
      <w:pPr>
        <w:widowControl/>
        <w:spacing w:before="0" w:beforeLines="0" w:beforeAutospacing="0" w:after="0" w:afterLines="0" w:afterAutospacing="0" w:line="240" w:lineRule="auto"/>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 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关于印发&lt;新疆维吾尔自治区经济和信息化委员会（新疆维吾尔自治区国防科学技术工业办公室）所属事业单位分类改革方案&gt;的通知》（新事改办〔2014〕11号）文件、《关于自治区工业和信息化厅所属事业单位机构编制调整的通知》（新党编委〔2019〕23号）文件，核定新疆维吾尔自治区工业和信息化培训中心（自治区计算机培训中心）为公益二类事业单位。主要职能是组织开展自治区计算机专业技术人才和企业经营管理人员培训工作；承担全区工业和信息化系统干部培训工作，为全区中小企业发展提供技术创新、市场开拓、信息交流、人才引进、业务培训、对外合作等服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新疆维吾尔自治区工业和信息化培训中心（自治区计算机培训中心）2024年度，实有人数20人，其中：在职人员7人，较上年无变化；离休人员0人，较上年无变化；退休人员13人，较上年无变化；</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新疆维吾尔自治区工业和信息化培训中心（自治区计算机培训中心）无下属预算单位，下设6个部门，分别是：综合部、财务部、考试鉴定部、培训部、CAD部、工程项目部。</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1"/>
        <w:rPr>
          <w:rFonts w:ascii="黑体" w:eastAsia="黑体"/>
          <w:b w:val="0"/>
          <w:sz w:val="32"/>
          <w:szCs w:val="32"/>
        </w:rPr>
      </w:pPr>
      <w:r>
        <w:rPr>
          <w:rFonts w:ascii="黑体" w:eastAsia="黑体"/>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2024年度收入总计482.45万元，其中：本年收入合计467.37万元，使用非财政拨款结余（含专用结余）0.00万元，年初结转和结余15.08万元。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2024年度支出总计482.45万元，其中：本年支出合计453.94万元，结余分配13.43万元，年末结转和结余15.08万元。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收入支出总体与上年相比，减少58.37万元，下降10.79%，主要原因是：一是一般公共预算财政拨款收</w:t>
      </w:r>
      <w:r>
        <w:rPr>
          <w:rFonts w:hint="eastAsia" w:ascii="仿宋_GB2312" w:eastAsia="仿宋_GB2312"/>
          <w:b w:val="0"/>
          <w:sz w:val="32"/>
          <w:szCs w:val="32"/>
          <w:lang w:eastAsia="zh-CN"/>
        </w:rPr>
        <w:t>入中</w:t>
      </w:r>
      <w:r>
        <w:rPr>
          <w:rFonts w:ascii="仿宋_GB2312" w:eastAsia="仿宋_GB2312"/>
          <w:b w:val="0"/>
          <w:sz w:val="32"/>
          <w:szCs w:val="32"/>
        </w:rPr>
        <w:t>离退休人员医疗费</w:t>
      </w:r>
      <w:r>
        <w:rPr>
          <w:rFonts w:hint="eastAsia" w:ascii="仿宋_GB2312" w:eastAsia="仿宋_GB2312"/>
          <w:b w:val="0"/>
          <w:sz w:val="32"/>
          <w:szCs w:val="32"/>
          <w:lang w:eastAsia="zh-CN"/>
        </w:rPr>
        <w:t>较上年减少，</w:t>
      </w:r>
      <w:r>
        <w:rPr>
          <w:rFonts w:ascii="仿宋_GB2312" w:eastAsia="仿宋_GB2312"/>
          <w:b w:val="0"/>
          <w:sz w:val="32"/>
          <w:szCs w:val="32"/>
        </w:rPr>
        <w:t>人员经费</w:t>
      </w:r>
      <w:r>
        <w:rPr>
          <w:rFonts w:hint="eastAsia" w:ascii="仿宋_GB2312" w:eastAsia="仿宋_GB2312"/>
          <w:b w:val="0"/>
          <w:sz w:val="32"/>
          <w:szCs w:val="32"/>
          <w:lang w:eastAsia="zh-CN"/>
        </w:rPr>
        <w:t>较上年减少，</w:t>
      </w:r>
      <w:r>
        <w:rPr>
          <w:rFonts w:ascii="仿宋_GB2312" w:eastAsia="仿宋_GB2312"/>
          <w:b w:val="0"/>
          <w:sz w:val="32"/>
          <w:szCs w:val="32"/>
        </w:rPr>
        <w:t>项目收入较上年增加</w:t>
      </w:r>
      <w:r>
        <w:rPr>
          <w:rFonts w:hint="eastAsia" w:ascii="仿宋_GB2312" w:eastAsia="仿宋_GB2312"/>
          <w:b w:val="0"/>
          <w:sz w:val="32"/>
          <w:szCs w:val="32"/>
          <w:lang w:eastAsia="zh-CN"/>
        </w:rPr>
        <w:t>；</w:t>
      </w:r>
      <w:r>
        <w:rPr>
          <w:rFonts w:ascii="仿宋_GB2312" w:eastAsia="仿宋_GB2312"/>
          <w:b w:val="0"/>
          <w:sz w:val="32"/>
          <w:szCs w:val="32"/>
        </w:rPr>
        <w:t>二是事业收入较上年增加</w:t>
      </w:r>
      <w:r>
        <w:rPr>
          <w:rFonts w:hint="eastAsia" w:ascii="仿宋_GB2312" w:eastAsia="仿宋_GB2312"/>
          <w:b w:val="0"/>
          <w:sz w:val="32"/>
          <w:szCs w:val="32"/>
          <w:lang w:eastAsia="zh-CN"/>
        </w:rPr>
        <w:t>；</w:t>
      </w:r>
      <w:r>
        <w:rPr>
          <w:rFonts w:ascii="仿宋_GB2312" w:eastAsia="仿宋_GB2312"/>
          <w:b w:val="0"/>
          <w:sz w:val="32"/>
          <w:szCs w:val="32"/>
        </w:rPr>
        <w:t>三是经营</w:t>
      </w:r>
      <w:r>
        <w:rPr>
          <w:rFonts w:hint="eastAsia" w:ascii="仿宋_GB2312" w:eastAsia="仿宋_GB2312"/>
          <w:b w:val="0"/>
          <w:sz w:val="32"/>
          <w:szCs w:val="32"/>
          <w:lang w:eastAsia="zh-CN"/>
        </w:rPr>
        <w:t>收入较</w:t>
      </w:r>
      <w:r>
        <w:rPr>
          <w:rFonts w:ascii="仿宋_GB2312" w:eastAsia="仿宋_GB2312"/>
          <w:b w:val="0"/>
          <w:sz w:val="32"/>
          <w:szCs w:val="32"/>
        </w:rPr>
        <w:t>上年减少</w:t>
      </w:r>
      <w:r>
        <w:rPr>
          <w:rFonts w:hint="eastAsia" w:ascii="仿宋_GB2312" w:eastAsia="仿宋_GB2312"/>
          <w:b w:val="0"/>
          <w:sz w:val="32"/>
          <w:szCs w:val="32"/>
          <w:lang w:eastAsia="zh-CN"/>
        </w:rPr>
        <w:t>；</w:t>
      </w:r>
      <w:r>
        <w:rPr>
          <w:rFonts w:ascii="仿宋_GB2312" w:eastAsia="仿宋_GB2312"/>
          <w:b w:val="0"/>
          <w:sz w:val="32"/>
          <w:szCs w:val="32"/>
        </w:rPr>
        <w:t>四是其他收入较上年减少</w:t>
      </w:r>
      <w:r>
        <w:rPr>
          <w:rFonts w:hint="eastAsia" w:ascii="仿宋_GB2312" w:eastAsia="仿宋_GB2312"/>
          <w:b w:val="0"/>
          <w:sz w:val="32"/>
          <w:szCs w:val="32"/>
          <w:lang w:eastAsia="zh-CN"/>
        </w:rPr>
        <w:t>；五</w:t>
      </w:r>
      <w:r>
        <w:rPr>
          <w:rFonts w:ascii="仿宋_GB2312" w:eastAsia="仿宋_GB2312"/>
          <w:b w:val="0"/>
          <w:sz w:val="32"/>
          <w:szCs w:val="32"/>
        </w:rPr>
        <w:t>是年初结转结余较上年增加。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本年收入467.37万元，其中：财政拨款收入206.95万元,占44.28%；上级补助收入0.00万元,占0.00%；事业收入246.99万元，占52.85%；经营收入0.00万元,占0.00%；附属单位上缴收入0.00万元，占0.00%；其他收入13.43万元，占2.87%。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本年支出453.94万元，其中：基本支出227.05万元，占50.02%；项目支出226.88万元，占49.98%；上缴上级支出0.00万元，占0.00%；经营支出0.00万元，占0.00%；对附属单位补助支出0.00万元，占0.00%。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2024年度财政拨款收入总计222.03万元，其中：年初财政拨款结转和结余15.08万元，本年财政拨款收入206.95万元。财政拨款支出总计222.03万元，其中：年末财政拨款结转和结余15.08万元，本年财政拨款支出206.95万元。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财政拨款收入支出总体与上年相比，减少21.79万元，下降8.94%，主要原因是：一是离退休人员医疗费较上年减少</w:t>
      </w:r>
      <w:r>
        <w:rPr>
          <w:rFonts w:hint="eastAsia" w:ascii="仿宋_GB2312" w:eastAsia="仿宋_GB2312"/>
          <w:b w:val="0"/>
          <w:sz w:val="32"/>
          <w:szCs w:val="32"/>
          <w:lang w:val="en-US" w:eastAsia="zh-CN"/>
        </w:rPr>
        <w:t>24.59万元</w:t>
      </w:r>
      <w:r>
        <w:rPr>
          <w:rFonts w:ascii="仿宋_GB2312" w:eastAsia="仿宋_GB2312"/>
          <w:b w:val="0"/>
          <w:sz w:val="32"/>
          <w:szCs w:val="32"/>
        </w:rPr>
        <w:t>；二是人员经费</w:t>
      </w:r>
      <w:r>
        <w:rPr>
          <w:rFonts w:hint="eastAsia" w:ascii="仿宋_GB2312" w:eastAsia="仿宋_GB2312"/>
          <w:b w:val="0"/>
          <w:sz w:val="32"/>
          <w:szCs w:val="32"/>
          <w:lang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14.65万元</w:t>
      </w:r>
      <w:r>
        <w:rPr>
          <w:rFonts w:ascii="仿宋_GB2312" w:eastAsia="仿宋_GB2312"/>
          <w:b w:val="0"/>
          <w:sz w:val="32"/>
          <w:szCs w:val="32"/>
        </w:rPr>
        <w:t>；三是项目收入较上年增加</w:t>
      </w:r>
      <w:r>
        <w:rPr>
          <w:rFonts w:hint="eastAsia" w:ascii="仿宋_GB2312" w:eastAsia="仿宋_GB2312"/>
          <w:b w:val="0"/>
          <w:sz w:val="32"/>
          <w:szCs w:val="32"/>
          <w:lang w:val="en-US" w:eastAsia="zh-CN"/>
        </w:rPr>
        <w:t>2.37</w:t>
      </w:r>
      <w:r>
        <w:rPr>
          <w:rFonts w:ascii="仿宋_GB2312" w:eastAsia="仿宋_GB2312"/>
          <w:b w:val="0"/>
          <w:sz w:val="32"/>
          <w:szCs w:val="32"/>
        </w:rPr>
        <w:t>；四是年初结转结余较上年增加</w:t>
      </w:r>
      <w:r>
        <w:rPr>
          <w:rFonts w:hint="eastAsia" w:ascii="仿宋_GB2312" w:eastAsia="仿宋_GB2312"/>
          <w:b w:val="0"/>
          <w:sz w:val="32"/>
          <w:szCs w:val="32"/>
          <w:lang w:val="en-US" w:eastAsia="zh-CN"/>
        </w:rPr>
        <w:t>15.08</w:t>
      </w:r>
      <w:r>
        <w:rPr>
          <w:rFonts w:ascii="仿宋_GB2312" w:eastAsia="仿宋_GB2312"/>
          <w:b w:val="0"/>
          <w:sz w:val="32"/>
          <w:szCs w:val="32"/>
        </w:rPr>
        <w:t>。与年初预算相比，年初预算数205.58万元，决算数222.03万元，预决算差异率8.00%，主要原因是：一是</w:t>
      </w:r>
      <w:r>
        <w:rPr>
          <w:rFonts w:hint="eastAsia" w:ascii="仿宋_GB2312" w:eastAsia="仿宋_GB2312"/>
          <w:b w:val="0"/>
          <w:sz w:val="32"/>
          <w:szCs w:val="32"/>
          <w:lang w:val="en-US" w:eastAsia="zh-CN"/>
        </w:rPr>
        <w:t>2024年度</w:t>
      </w:r>
      <w:r>
        <w:rPr>
          <w:rFonts w:hint="eastAsia" w:ascii="仿宋_GB2312" w:eastAsia="仿宋_GB2312"/>
          <w:b w:val="0"/>
          <w:sz w:val="32"/>
          <w:szCs w:val="32"/>
          <w:lang w:eastAsia="zh-CN"/>
        </w:rPr>
        <w:t>人员经费追加</w:t>
      </w:r>
      <w:r>
        <w:rPr>
          <w:rFonts w:hint="eastAsia" w:ascii="仿宋_GB2312" w:eastAsia="仿宋_GB2312"/>
          <w:b w:val="0"/>
          <w:sz w:val="32"/>
          <w:szCs w:val="32"/>
          <w:lang w:val="en-US" w:eastAsia="zh-CN"/>
        </w:rPr>
        <w:t>1.37万元</w:t>
      </w:r>
      <w:r>
        <w:rPr>
          <w:rFonts w:ascii="仿宋_GB2312" w:eastAsia="仿宋_GB2312"/>
          <w:b w:val="0"/>
          <w:sz w:val="32"/>
          <w:szCs w:val="32"/>
        </w:rPr>
        <w:t>；二是年初结转结余较上年增加</w:t>
      </w:r>
      <w:r>
        <w:rPr>
          <w:rFonts w:hint="eastAsia" w:ascii="仿宋_GB2312" w:eastAsia="仿宋_GB2312"/>
          <w:b w:val="0"/>
          <w:sz w:val="32"/>
          <w:szCs w:val="32"/>
          <w:lang w:val="en-US" w:eastAsia="zh-CN"/>
        </w:rPr>
        <w:t>15.08万元</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206.95万元，占本年支出合计的45.59%。与上年相比，减少36.87万元，下降15.12%，主要原因是：一是基本支出人员经费减少38.35万元，在职人员调资及社保、公积金相应基数增加，退休人员</w:t>
      </w:r>
      <w:r>
        <w:rPr>
          <w:rFonts w:hint="eastAsia" w:ascii="仿宋_GB2312" w:eastAsia="仿宋_GB2312"/>
          <w:b w:val="0"/>
          <w:sz w:val="32"/>
          <w:szCs w:val="32"/>
          <w:lang w:eastAsia="zh-CN"/>
        </w:rPr>
        <w:t>经费</w:t>
      </w:r>
      <w:r>
        <w:rPr>
          <w:rFonts w:ascii="仿宋_GB2312" w:eastAsia="仿宋_GB2312"/>
          <w:b w:val="0"/>
          <w:sz w:val="32"/>
          <w:szCs w:val="32"/>
        </w:rPr>
        <w:t>调整，故年初预算减少；二是公用经费减少0.89万元，差旅费预算减少，故年初预算减少。三是项目支出一般公共预算项目计算机技术与软件专业技术资格水平新疆区考试收费项目2024年较上年增加2.37万元。与年初预算相比，年初预算数205.58万元，决算数206.95万元，预决算差异率0.67%，主要原因是：一是</w:t>
      </w:r>
      <w:r>
        <w:rPr>
          <w:rFonts w:hint="eastAsia" w:ascii="仿宋_GB2312" w:eastAsia="仿宋_GB2312"/>
          <w:b w:val="0"/>
          <w:sz w:val="32"/>
          <w:szCs w:val="32"/>
          <w:lang w:eastAsia="zh-CN"/>
        </w:rPr>
        <w:t>人员经费调增</w:t>
      </w:r>
      <w:r>
        <w:rPr>
          <w:rFonts w:hint="eastAsia" w:ascii="仿宋_GB2312" w:eastAsia="仿宋_GB2312"/>
          <w:b w:val="0"/>
          <w:sz w:val="32"/>
          <w:szCs w:val="32"/>
          <w:lang w:val="en-US" w:eastAsia="zh-CN"/>
        </w:rPr>
        <w:t>1.37万元。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教育支出（类）155.92万元，占75.34%。</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社会保障和就业支出（类）29.78万元，占14.39%。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卫生健康支出（类）11.91万元，占5.76%。</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住房保障支出（类）9.34万元，占4.51%。</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1、教育支出（类）其他教育支出（款）其他教育支出（项）：支出决算数为155.92万元，比上年决算减少11.71万元，下降6.99%，主要原因是：</w:t>
      </w:r>
      <w:r>
        <w:rPr>
          <w:rFonts w:hint="eastAsia" w:ascii="仿宋_GB2312" w:eastAsia="仿宋_GB2312"/>
          <w:b w:val="0"/>
          <w:sz w:val="32"/>
          <w:szCs w:val="32"/>
          <w:lang w:val="en-US" w:eastAsia="zh-CN"/>
        </w:rPr>
        <w:t>2024年</w:t>
      </w:r>
      <w:r>
        <w:rPr>
          <w:rFonts w:ascii="仿宋_GB2312" w:eastAsia="仿宋_GB2312"/>
          <w:b w:val="0"/>
          <w:sz w:val="32"/>
          <w:szCs w:val="32"/>
        </w:rPr>
        <w:t>人员经费财政拨款</w:t>
      </w:r>
      <w:r>
        <w:rPr>
          <w:rFonts w:hint="eastAsia" w:ascii="仿宋_GB2312" w:eastAsia="仿宋_GB2312"/>
          <w:b w:val="0"/>
          <w:sz w:val="32"/>
          <w:szCs w:val="32"/>
          <w:lang w:eastAsia="zh-CN"/>
        </w:rPr>
        <w:t>较上年</w:t>
      </w:r>
      <w:r>
        <w:rPr>
          <w:rFonts w:ascii="仿宋_GB2312" w:eastAsia="仿宋_GB2312"/>
          <w:b w:val="0"/>
          <w:sz w:val="32"/>
          <w:szCs w:val="32"/>
        </w:rPr>
        <w:t>减少</w:t>
      </w:r>
      <w:r>
        <w:rPr>
          <w:rFonts w:hint="eastAsia" w:ascii="仿宋_GB2312" w:eastAsia="仿宋_GB2312"/>
          <w:b w:val="0"/>
          <w:sz w:val="32"/>
          <w:szCs w:val="32"/>
          <w:lang w:val="en-US" w:eastAsia="zh-CN"/>
        </w:rPr>
        <w:t>11.71万元</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2、社会保障和就业支出（类）行政事业单位养老支出（款）事业单位离退休（项）：支出决算数为11.09万元，比上年决算减少24.59万元，下降68.92%，主要原因是：2024年离退休人员医疗费较上年减少24.59万元。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3、社会保障和就业支出（类）行政事业单位养老支出（款）机关事业单位基本养老保险缴费支出（项）：支出决算数为12.46万元，比上年决算减少0.17万元，下降1.35%，主要原因是：2024年</w:t>
      </w:r>
      <w:r>
        <w:rPr>
          <w:rFonts w:hint="eastAsia" w:ascii="仿宋_GB2312" w:eastAsia="仿宋_GB2312"/>
          <w:b w:val="0"/>
          <w:sz w:val="32"/>
          <w:szCs w:val="32"/>
          <w:lang w:eastAsia="zh-CN"/>
        </w:rPr>
        <w:t>因人员变动，</w:t>
      </w:r>
      <w:r>
        <w:rPr>
          <w:rFonts w:hint="eastAsia" w:ascii="仿宋_GB2312" w:eastAsia="仿宋_GB2312"/>
          <w:b w:val="0"/>
          <w:sz w:val="32"/>
          <w:szCs w:val="32"/>
        </w:rPr>
        <w:t>退休1人，新调入1人，缴费基数</w:t>
      </w:r>
      <w:r>
        <w:rPr>
          <w:rFonts w:hint="eastAsia" w:ascii="仿宋_GB2312" w:eastAsia="仿宋_GB2312"/>
          <w:b w:val="0"/>
          <w:sz w:val="32"/>
          <w:szCs w:val="32"/>
          <w:lang w:eastAsia="zh-CN"/>
        </w:rPr>
        <w:t>不同，导致费用减少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4、社会保障和就业支出（类）行政事业单位养老支出（款）机关事业单位职业年金缴费支出（项）：支出决算数为6.23万元，比上年决算减少0.09万元，下降1.42%，主要原因是：2024年</w:t>
      </w:r>
      <w:r>
        <w:rPr>
          <w:rFonts w:hint="eastAsia" w:ascii="仿宋_GB2312" w:eastAsia="仿宋_GB2312"/>
          <w:b w:val="0"/>
          <w:sz w:val="32"/>
          <w:szCs w:val="32"/>
          <w:lang w:eastAsia="zh-CN"/>
        </w:rPr>
        <w:t>因人员变动，</w:t>
      </w:r>
      <w:r>
        <w:rPr>
          <w:rFonts w:hint="eastAsia" w:ascii="仿宋_GB2312" w:eastAsia="仿宋_GB2312"/>
          <w:b w:val="0"/>
          <w:sz w:val="32"/>
          <w:szCs w:val="32"/>
        </w:rPr>
        <w:t>退休1人，新调入1人，缴费基数</w:t>
      </w:r>
      <w:r>
        <w:rPr>
          <w:rFonts w:hint="eastAsia" w:ascii="仿宋_GB2312" w:eastAsia="仿宋_GB2312"/>
          <w:b w:val="0"/>
          <w:sz w:val="32"/>
          <w:szCs w:val="32"/>
          <w:lang w:eastAsia="zh-CN"/>
        </w:rPr>
        <w:t>不同，导致费用减少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b w:val="0"/>
          <w:sz w:val="32"/>
          <w:szCs w:val="32"/>
        </w:rPr>
      </w:pPr>
      <w:r>
        <w:rPr>
          <w:rFonts w:ascii="仿宋_GB2312" w:eastAsia="仿宋_GB2312"/>
          <w:b w:val="0"/>
          <w:sz w:val="32"/>
          <w:szCs w:val="32"/>
        </w:rPr>
        <w:t>5、卫生健康支出（类）行政事业单位医疗（款）事业单位医疗（项）：支出决算数为6.46万元，比上年决算减少0.09万元，下降1.37%，主要原因是：2024年</w:t>
      </w:r>
      <w:r>
        <w:rPr>
          <w:rFonts w:hint="eastAsia" w:ascii="仿宋_GB2312" w:eastAsia="仿宋_GB2312"/>
          <w:b w:val="0"/>
          <w:sz w:val="32"/>
          <w:szCs w:val="32"/>
          <w:lang w:eastAsia="zh-CN"/>
        </w:rPr>
        <w:t>因人员变动，</w:t>
      </w:r>
      <w:r>
        <w:rPr>
          <w:rFonts w:hint="eastAsia" w:ascii="仿宋_GB2312" w:eastAsia="仿宋_GB2312"/>
          <w:b w:val="0"/>
          <w:sz w:val="32"/>
          <w:szCs w:val="32"/>
        </w:rPr>
        <w:t>退休1人，新调入1人，缴费基数</w:t>
      </w:r>
      <w:r>
        <w:rPr>
          <w:rFonts w:hint="eastAsia" w:ascii="仿宋_GB2312" w:eastAsia="仿宋_GB2312"/>
          <w:b w:val="0"/>
          <w:sz w:val="32"/>
          <w:szCs w:val="32"/>
          <w:lang w:eastAsia="zh-CN"/>
        </w:rPr>
        <w:t>不同，导致费用减少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b w:val="0"/>
          <w:sz w:val="32"/>
          <w:szCs w:val="32"/>
        </w:rPr>
      </w:pPr>
      <w:r>
        <w:rPr>
          <w:rFonts w:ascii="仿宋_GB2312" w:eastAsia="仿宋_GB2312"/>
          <w:b w:val="0"/>
          <w:sz w:val="32"/>
          <w:szCs w:val="32"/>
        </w:rPr>
        <w:t>6、卫生健康支出（类）行政事业单位医疗（款）公务员医疗补助（项）：支出决算数为5.45万元，比上年决算减少0.08万元，下降1.45%，主要原因是：2024年</w:t>
      </w:r>
      <w:r>
        <w:rPr>
          <w:rFonts w:hint="eastAsia" w:ascii="仿宋_GB2312" w:eastAsia="仿宋_GB2312"/>
          <w:b w:val="0"/>
          <w:sz w:val="32"/>
          <w:szCs w:val="32"/>
          <w:lang w:eastAsia="zh-CN"/>
        </w:rPr>
        <w:t>因人员变动，</w:t>
      </w:r>
      <w:r>
        <w:rPr>
          <w:rFonts w:hint="eastAsia" w:ascii="仿宋_GB2312" w:eastAsia="仿宋_GB2312"/>
          <w:b w:val="0"/>
          <w:sz w:val="32"/>
          <w:szCs w:val="32"/>
        </w:rPr>
        <w:t>退休1人，新调入1人，缴费基数</w:t>
      </w:r>
      <w:r>
        <w:rPr>
          <w:rFonts w:hint="eastAsia" w:ascii="仿宋_GB2312" w:eastAsia="仿宋_GB2312"/>
          <w:b w:val="0"/>
          <w:sz w:val="32"/>
          <w:szCs w:val="32"/>
          <w:lang w:eastAsia="zh-CN"/>
        </w:rPr>
        <w:t>不同，导致费用减少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7、住房保障支出（类）住房改革支出（款）住房公积金（项）：支出决算数为9.34万元，比上年决算减少0.13万元，下降1.37%，主要原因是：2024年</w:t>
      </w:r>
      <w:r>
        <w:rPr>
          <w:rFonts w:hint="eastAsia" w:ascii="仿宋_GB2312" w:eastAsia="仿宋_GB2312"/>
          <w:b w:val="0"/>
          <w:sz w:val="32"/>
          <w:szCs w:val="32"/>
          <w:lang w:eastAsia="zh-CN"/>
        </w:rPr>
        <w:t>因人员变动，</w:t>
      </w:r>
      <w:r>
        <w:rPr>
          <w:rFonts w:hint="eastAsia" w:ascii="仿宋_GB2312" w:eastAsia="仿宋_GB2312"/>
          <w:b w:val="0"/>
          <w:sz w:val="32"/>
          <w:szCs w:val="32"/>
        </w:rPr>
        <w:t>退休1 人，新调入1人，缴费基数</w:t>
      </w:r>
      <w:r>
        <w:rPr>
          <w:rFonts w:hint="eastAsia" w:ascii="仿宋_GB2312" w:eastAsia="仿宋_GB2312"/>
          <w:b w:val="0"/>
          <w:sz w:val="32"/>
          <w:szCs w:val="32"/>
          <w:lang w:eastAsia="zh-CN"/>
        </w:rPr>
        <w:t>不同，导致费用减少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141.95万元，其中：人员经费126.71万元，包括：基本工资、津贴补贴、奖金、绩效工资、机关事业单位基本养老保险缴费、职业年金缴费、职工基本医疗保险缴费、公务员医疗补助缴费、其他社会保障缴费、住房公积金、退休费和奖励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公用经费15.24万元，包括：办公费、水费、邮电费、取暖费、差旅费、工会经费、福利费和其他商品和服务支出。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eastAsia="zh-CN"/>
        </w:rPr>
        <w:t>我单位无</w:t>
      </w:r>
      <w:r>
        <w:rPr>
          <w:rFonts w:ascii="仿宋_GB2312" w:eastAsia="仿宋_GB2312"/>
          <w:b w:val="0"/>
          <w:sz w:val="32"/>
          <w:szCs w:val="32"/>
        </w:rPr>
        <w:t>财政</w:t>
      </w:r>
      <w:r>
        <w:rPr>
          <w:rFonts w:hint="eastAsia" w:ascii="仿宋_GB2312" w:eastAsia="仿宋_GB2312"/>
          <w:b w:val="0"/>
          <w:sz w:val="32"/>
          <w:szCs w:val="32"/>
          <w:lang w:eastAsia="zh-CN"/>
        </w:rPr>
        <w:t>拨款</w:t>
      </w:r>
      <w:r>
        <w:rPr>
          <w:rFonts w:ascii="仿宋_GB2312" w:eastAsia="仿宋_GB2312"/>
          <w:b w:val="0"/>
          <w:sz w:val="32"/>
          <w:szCs w:val="32"/>
        </w:rPr>
        <w:t>“三公”经费支出。其中：因公出国（境）费支出0.00万元,占0.00%，与上年相比无变化，主要原因是：</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因公出国（境）费；公务用车购置及运行维护费支出0.00万元，占0.00%，与上年相比无变化，主要原因是：</w:t>
      </w:r>
      <w:r>
        <w:rPr>
          <w:rFonts w:hint="eastAsia" w:ascii="仿宋_GB2312" w:eastAsia="仿宋_GB2312"/>
          <w:b w:val="0"/>
          <w:sz w:val="32"/>
          <w:szCs w:val="32"/>
          <w:lang w:eastAsia="zh-CN"/>
        </w:rPr>
        <w:t>我单位无</w:t>
      </w:r>
      <w:r>
        <w:rPr>
          <w:rFonts w:ascii="仿宋_GB2312" w:eastAsia="仿宋_GB2312"/>
          <w:b w:val="0"/>
          <w:sz w:val="32"/>
          <w:szCs w:val="32"/>
        </w:rPr>
        <w:t>公务用车购置及运行维护费；公务接待费支出0.00万元，占0.00%，与上年相比无变化，主要原因是：</w:t>
      </w:r>
      <w:r>
        <w:rPr>
          <w:rFonts w:hint="eastAsia" w:ascii="仿宋_GB2312" w:eastAsia="仿宋_GB2312"/>
          <w:b w:val="0"/>
          <w:sz w:val="32"/>
          <w:szCs w:val="32"/>
          <w:lang w:eastAsia="zh-CN"/>
        </w:rPr>
        <w:t>我单位无</w:t>
      </w:r>
      <w:r>
        <w:rPr>
          <w:rFonts w:ascii="仿宋_GB2312" w:eastAsia="仿宋_GB2312"/>
          <w:b w:val="0"/>
          <w:sz w:val="32"/>
          <w:szCs w:val="32"/>
        </w:rPr>
        <w:t>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我单位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eastAsia="zh-CN"/>
        </w:rPr>
        <w:t>我单位无</w:t>
      </w:r>
      <w:r>
        <w:rPr>
          <w:rFonts w:ascii="仿宋_GB2312" w:eastAsia="仿宋_GB2312"/>
          <w:b w:val="0"/>
          <w:sz w:val="32"/>
          <w:szCs w:val="32"/>
        </w:rPr>
        <w:t>公务用车购置及运行维护费。公务用车购置数0辆，公务用车保有量0辆。国有资产占用情况中固定资产车辆2辆，与公务用车保有量差异原因是：</w:t>
      </w:r>
      <w:r>
        <w:rPr>
          <w:rFonts w:hint="eastAsia" w:ascii="仿宋_GB2312" w:eastAsia="仿宋_GB2312"/>
          <w:b w:val="0"/>
          <w:sz w:val="32"/>
          <w:szCs w:val="32"/>
          <w:lang w:val="en-US" w:eastAsia="zh-CN"/>
        </w:rPr>
        <w:t>1</w:t>
      </w:r>
      <w:r>
        <w:rPr>
          <w:rFonts w:ascii="仿宋_GB2312" w:eastAsia="仿宋_GB2312"/>
          <w:b w:val="0"/>
          <w:sz w:val="32"/>
          <w:szCs w:val="32"/>
        </w:rPr>
        <w:t>辆信息化推广大篷车（2008年5月工信部捐赠，现待报废状态），</w:t>
      </w:r>
      <w:r>
        <w:rPr>
          <w:rFonts w:hint="eastAsia" w:ascii="仿宋_GB2312" w:eastAsia="仿宋_GB2312"/>
          <w:b w:val="0"/>
          <w:sz w:val="32"/>
          <w:szCs w:val="32"/>
          <w:lang w:val="en-US" w:eastAsia="zh-CN"/>
        </w:rPr>
        <w:t>1</w:t>
      </w:r>
      <w:r>
        <w:rPr>
          <w:rFonts w:ascii="仿宋_GB2312" w:eastAsia="仿宋_GB2312"/>
          <w:b w:val="0"/>
          <w:sz w:val="32"/>
          <w:szCs w:val="32"/>
        </w:rPr>
        <w:t>辆载货小汽车。</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我单位无</w:t>
      </w:r>
      <w:r>
        <w:rPr>
          <w:rFonts w:ascii="仿宋_GB2312" w:eastAsia="仿宋_GB2312"/>
          <w:b w:val="0"/>
          <w:sz w:val="32"/>
          <w:szCs w:val="32"/>
        </w:rPr>
        <w:t>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财政</w:t>
      </w:r>
      <w:r>
        <w:rPr>
          <w:rFonts w:hint="eastAsia" w:ascii="仿宋_GB2312" w:eastAsia="仿宋_GB2312"/>
          <w:b w:val="0"/>
          <w:sz w:val="32"/>
          <w:szCs w:val="32"/>
          <w:lang w:eastAsia="zh-CN"/>
        </w:rPr>
        <w:t>拨款</w:t>
      </w:r>
      <w:r>
        <w:rPr>
          <w:rFonts w:ascii="仿宋_GB2312" w:eastAsia="仿宋_GB2312"/>
          <w:b w:val="0"/>
          <w:sz w:val="32"/>
          <w:szCs w:val="32"/>
        </w:rPr>
        <w:t>“三公”经费支出。其中：因公出国（境）费全年预算数0.00万元，决算数0.00万元，预决算差异率0.00%，主要原因是：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因公出国（境）费；公务用车购置费全年预算数0.00万元，决算数0.00万元，预决算差异率0.00%，主要原因是：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2024年度新疆维吾尔自治区工业和信息化培训中心（自治区计算机培训中心）单位（事业单位）公用经费支出15.24万元，比上年减少0.89万元，下降5.52%，主要原因是：</w:t>
      </w:r>
      <w:r>
        <w:rPr>
          <w:rFonts w:hint="eastAsia" w:ascii="仿宋_GB2312" w:eastAsia="仿宋_GB2312"/>
          <w:b w:val="0"/>
          <w:sz w:val="32"/>
          <w:szCs w:val="32"/>
          <w:lang w:val="en-US" w:eastAsia="zh-CN"/>
        </w:rPr>
        <w:t>2024年</w:t>
      </w:r>
      <w:r>
        <w:rPr>
          <w:rFonts w:ascii="仿宋_GB2312" w:eastAsia="仿宋_GB2312"/>
          <w:b w:val="0"/>
          <w:sz w:val="32"/>
          <w:szCs w:val="32"/>
        </w:rPr>
        <w:t>公用经费差旅费预算减少0.89万元。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（二）政府采购情况</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2024年度政府采购支出总额44.85万元，其中：政府采购货物支出11.52万元、政府采购工程支出0.00万元、政府采购服务支出33.34万元。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授予中小企业合同金额38.35万元，占政府采购支出总额的85.51%，其中：授予小微企业合同金额38.35万元，占政府采购支出总额的85.51%。</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2辆，价值38.93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b w:val="0"/>
          <w:sz w:val="32"/>
          <w:szCs w:val="32"/>
          <w:lang w:val="en-US" w:eastAsia="zh-CN"/>
        </w:rPr>
        <w:t>1</w:t>
      </w:r>
      <w:r>
        <w:rPr>
          <w:rFonts w:ascii="仿宋_GB2312" w:eastAsia="仿宋_GB2312"/>
          <w:b w:val="0"/>
          <w:sz w:val="32"/>
          <w:szCs w:val="32"/>
        </w:rPr>
        <w:t>辆信息化推广大篷车（2008年5月工信部捐赠，现待报废状态），</w:t>
      </w:r>
      <w:r>
        <w:rPr>
          <w:rFonts w:hint="eastAsia" w:ascii="仿宋_GB2312" w:eastAsia="仿宋_GB2312"/>
          <w:b w:val="0"/>
          <w:sz w:val="32"/>
          <w:szCs w:val="32"/>
          <w:lang w:val="en-US" w:eastAsia="zh-CN"/>
        </w:rPr>
        <w:t>1</w:t>
      </w:r>
      <w:r>
        <w:rPr>
          <w:rFonts w:ascii="仿宋_GB2312" w:eastAsia="仿宋_GB2312"/>
          <w:b w:val="0"/>
          <w:sz w:val="32"/>
          <w:szCs w:val="32"/>
        </w:rPr>
        <w:t>辆载货小汽车;单价100万元（含）以上设备（不含车辆）0台（套）。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3个，全年预算数245.88万元，全年执行数226.88万元。预算绩效管理取得的成效：一是严格执行《工信厅全面预算绩效管理办法》，规范和加快预算执行，积极做好绩效监控和绩效评价工作，确保预算执行的准确性和规范性,切实发挥财政资金最大效用；二是各项工作实施及资金使用情况均在绩效目标设定时限完成，在项目经费的使用上，在保证各项任务顺利完成的同时，严格落实厉行节约原则；三是突出做好培训和考试考务工作，确保项目质量和效益，助力经济高质量发展，维护社会稳定和长治久安。发现的问题及原因：根据重点工作安排，在项目支出绩效监控工作中，存在预算整体支出绩效目标与产出的数量指标、质量指标缺乏对应性，关联性和可操作性不强。存在对项目绩效目标的设定和各项指标的理解、认识不到位的问题，导致项目绩效目标不够明确、不够细化、不够量化、缺乏可衡量性和可实现性。执行周期较长，影响了该项目的预算执行率，降低了绩效监控及绩效评价报告工作质量。下一步改进措施：一是建成单位内控体系，进一步规范资金使用管理全流程，依程序高质量完成各项工作任务。二是在今后的绩效目标设定过程中，注意考虑突发事件的影响，制定出更加符合实际的绩效目标，加强绩效目标对管理工作的指导作用。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jc w:val="both"/>
        <w:rPr>
          <w:rFonts w:ascii="仿宋_GB2312" w:eastAsia="仿宋_GB2312"/>
          <w:b w:val="0"/>
          <w:sz w:val="32"/>
          <w:szCs w:val="32"/>
        </w:rPr>
      </w:pPr>
    </w:p>
    <w:p>
      <w:pPr>
        <w:widowControl/>
        <w:spacing w:before="0" w:beforeLines="0" w:beforeAutospacing="0" w:after="0" w:afterLines="0" w:afterAutospacing="0" w:line="240" w:lineRule="auto"/>
        <w:jc w:val="both"/>
        <w:rPr>
          <w:rFonts w:ascii="仿宋_GB2312" w:eastAsia="仿宋_GB2312"/>
          <w:b w:val="0"/>
          <w:sz w:val="32"/>
          <w:szCs w:val="32"/>
        </w:rPr>
        <w:sectPr>
          <w:pgSz w:w="12240" w:h="15840"/>
          <w:pgMar w:top="1440" w:right="1800" w:bottom="1440" w:left="1800" w:header="720" w:footer="720" w:gutter="0"/>
          <w:cols w:space="720" w:num="1"/>
        </w:sect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3" w:bottom="1440" w:left="1803" w:header="720" w:footer="72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158D2"/>
    <w:rsid w:val="0F5C68CB"/>
    <w:rsid w:val="13FD0EAC"/>
    <w:rsid w:val="159D4040"/>
    <w:rsid w:val="21B20FFE"/>
    <w:rsid w:val="29BF5EC0"/>
    <w:rsid w:val="2D845CC3"/>
    <w:rsid w:val="32127360"/>
    <w:rsid w:val="37B06AEB"/>
    <w:rsid w:val="44F55167"/>
    <w:rsid w:val="476B549C"/>
    <w:rsid w:val="4E0F4E9D"/>
    <w:rsid w:val="4FAF0890"/>
    <w:rsid w:val="651E301B"/>
    <w:rsid w:val="6B4D1C11"/>
    <w:rsid w:val="6FDA446C"/>
    <w:rsid w:val="71D17EFF"/>
    <w:rsid w:val="7ADC3975"/>
    <w:rsid w:val="7F5177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7356</Words>
  <Characters>8422</Characters>
  <TotalTime>5</TotalTime>
  <ScaleCrop>false</ScaleCrop>
  <LinksUpToDate>false</LinksUpToDate>
  <CharactersWithSpaces>8445</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2025-08-27T04:02:00Z</dcterms:created>
  <dc:creator>Administrator.SC-202106051622</dc:creator>
  <cp:lastModifiedBy>Administrator</cp:lastModifiedBy>
  <dcterms:modified xsi:type="dcterms:W3CDTF">2025-08-27T05:09:05Z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eyJoZGlkIjoiMmNmM2RhNDQ5NzBjM2VjZjY4ZDUyZjdlYzNiZWQ0NWYiLCJ1c2VySWQiOiI5Mzc2MTU5MTQifQ==</vt:lpwstr>
  </property>
  <property fmtid="{D5CDD505-2E9C-101B-9397-08002B2CF9AE}" pid="3" name="KSOProductBuildVer">
    <vt:lpwstr>2052-11.8.2.8506</vt:lpwstr>
  </property>
  <property fmtid="{D5CDD505-2E9C-101B-9397-08002B2CF9AE}" pid="4" name="ICV">
    <vt:lpwstr>B299A9589A89414B9FD036878A261AAA_13</vt:lpwstr>
  </property>
</Properties>
</file>