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eastAsia="方正小标宋_GBK"/>
          <w:kern w:val="0"/>
          <w:sz w:val="48"/>
          <w:szCs w:val="48"/>
        </w:rPr>
      </w:pPr>
      <w:r>
        <w:rPr>
          <w:rFonts w:eastAsia="方正小标宋_GBK"/>
          <w:kern w:val="0"/>
          <w:sz w:val="48"/>
          <w:szCs w:val="48"/>
        </w:rPr>
        <w:t>全疆考试考务运维工作经费项目支出</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eastAsia="方正小标宋_GBK"/>
          <w:kern w:val="0"/>
          <w:sz w:val="48"/>
          <w:szCs w:val="48"/>
        </w:rPr>
      </w:pPr>
      <w:r>
        <w:rPr>
          <w:rFonts w:eastAsia="方正小标宋_GBK"/>
          <w:kern w:val="0"/>
          <w:sz w:val="48"/>
          <w:szCs w:val="48"/>
        </w:rPr>
        <w:t>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（2024年度）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2"/>
        <w:rPr>
          <w:rFonts w:ascii="Times New Roman" w:hAnsi="Times New Roman"/>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firstLine="720" w:firstLineChars="200"/>
        <w:jc w:val="left"/>
        <w:rPr>
          <w:rFonts w:eastAsia="仿宋_GB2312"/>
          <w:kern w:val="0"/>
          <w:sz w:val="36"/>
          <w:szCs w:val="36"/>
        </w:rPr>
      </w:pPr>
      <w:r>
        <w:rPr>
          <w:rFonts w:eastAsia="仿宋_GB2312"/>
          <w:kern w:val="0"/>
          <w:sz w:val="36"/>
          <w:szCs w:val="36"/>
        </w:rPr>
        <w:t>项目名称：全疆考试考务运维工作经费</w:t>
      </w:r>
    </w:p>
    <w:p>
      <w:pPr>
        <w:keepNext w:val="0"/>
        <w:keepLines w:val="0"/>
        <w:pageBreakBefore w:val="0"/>
        <w:widowControl w:val="0"/>
        <w:kinsoku/>
        <w:wordWrap/>
        <w:overflowPunct/>
        <w:topLinePunct w:val="0"/>
        <w:autoSpaceDE/>
        <w:autoSpaceDN/>
        <w:bidi w:val="0"/>
        <w:adjustRightInd/>
        <w:snapToGrid/>
        <w:spacing w:line="700" w:lineRule="exact"/>
        <w:ind w:left="3886" w:leftChars="342" w:hanging="3168" w:hangingChars="880"/>
        <w:jc w:val="left"/>
        <w:textAlignment w:val="auto"/>
        <w:rPr>
          <w:rFonts w:eastAsia="仿宋_GB2312"/>
          <w:kern w:val="0"/>
          <w:sz w:val="36"/>
          <w:szCs w:val="36"/>
        </w:rPr>
      </w:pPr>
      <w:r>
        <w:rPr>
          <w:rFonts w:eastAsia="仿宋_GB2312"/>
          <w:kern w:val="0"/>
          <w:sz w:val="36"/>
          <w:szCs w:val="36"/>
        </w:rPr>
        <w:t>实施单位（公章）：新疆维吾尔自治区工业和信息化培训中心</w:t>
      </w:r>
    </w:p>
    <w:p>
      <w:pPr>
        <w:spacing w:line="700" w:lineRule="exact"/>
        <w:ind w:firstLine="720" w:firstLineChars="200"/>
        <w:jc w:val="left"/>
        <w:rPr>
          <w:rFonts w:hint="eastAsia" w:eastAsia="仿宋_GB2312"/>
          <w:kern w:val="0"/>
          <w:sz w:val="36"/>
          <w:szCs w:val="36"/>
          <w:lang w:eastAsia="zh-CN"/>
        </w:rPr>
      </w:pPr>
      <w:r>
        <w:rPr>
          <w:rFonts w:eastAsia="仿宋_GB2312"/>
          <w:kern w:val="0"/>
          <w:sz w:val="36"/>
          <w:szCs w:val="36"/>
        </w:rPr>
        <w:t>项目负责人（签章）：</w:t>
      </w:r>
      <w:r>
        <w:rPr>
          <w:rFonts w:hint="eastAsia" w:eastAsia="仿宋_GB2312"/>
          <w:kern w:val="0"/>
          <w:sz w:val="36"/>
          <w:szCs w:val="36"/>
          <w:lang w:eastAsia="zh-CN"/>
        </w:rPr>
        <w:t>樊矾</w:t>
      </w:r>
    </w:p>
    <w:p>
      <w:pPr>
        <w:spacing w:line="700" w:lineRule="exact"/>
        <w:ind w:firstLine="720" w:firstLineChars="2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2025</w:t>
      </w:r>
      <w:r>
        <w:rPr>
          <w:rFonts w:eastAsia="仿宋_GB2312"/>
          <w:kern w:val="0"/>
          <w:sz w:val="36"/>
          <w:szCs w:val="36"/>
        </w:rPr>
        <w:t>年</w:t>
      </w:r>
      <w:r>
        <w:rPr>
          <w:rFonts w:hint="eastAsia" w:eastAsia="仿宋_GB2312"/>
          <w:kern w:val="0"/>
          <w:sz w:val="36"/>
          <w:szCs w:val="36"/>
        </w:rPr>
        <w:t>3</w:t>
      </w:r>
      <w:r>
        <w:rPr>
          <w:rFonts w:eastAsia="仿宋_GB2312"/>
          <w:kern w:val="0"/>
          <w:sz w:val="36"/>
          <w:szCs w:val="36"/>
        </w:rPr>
        <w:t>月</w:t>
      </w:r>
      <w:r>
        <w:rPr>
          <w:rFonts w:hint="eastAsia" w:eastAsia="仿宋_GB2312"/>
          <w:kern w:val="0"/>
          <w:sz w:val="36"/>
          <w:szCs w:val="36"/>
        </w:rPr>
        <w:t>11</w:t>
      </w:r>
      <w:r>
        <w:rPr>
          <w:rFonts w:eastAsia="仿宋_GB2312"/>
          <w:kern w:val="0"/>
          <w:sz w:val="36"/>
          <w:szCs w:val="36"/>
        </w:rPr>
        <w:t>日</w:t>
      </w:r>
    </w:p>
    <w:p>
      <w:pPr>
        <w:spacing w:line="540" w:lineRule="exact"/>
        <w:jc w:val="center"/>
        <w:rPr>
          <w:rFonts w:eastAsia="仿宋_GB2312"/>
          <w:kern w:val="0"/>
          <w:sz w:val="30"/>
          <w:szCs w:val="30"/>
        </w:rPr>
      </w:pPr>
    </w:p>
    <w:p>
      <w:pPr>
        <w:spacing w:line="540" w:lineRule="exact"/>
        <w:rPr>
          <w:rStyle w:val="16"/>
          <w:rFonts w:eastAsia="黑体"/>
          <w:b w:val="0"/>
          <w:spacing w:val="-4"/>
          <w:sz w:val="32"/>
          <w:szCs w:val="32"/>
        </w:rPr>
      </w:pPr>
    </w:p>
    <w:p>
      <w:pPr>
        <w:spacing w:line="540" w:lineRule="exact"/>
        <w:ind w:firstLine="640"/>
        <w:rPr>
          <w:rStyle w:val="16"/>
          <w:rFonts w:eastAsia="黑体"/>
          <w:b w:val="0"/>
          <w:spacing w:val="-4"/>
          <w:sz w:val="32"/>
          <w:szCs w:val="32"/>
        </w:rPr>
      </w:pPr>
    </w:p>
    <w:p>
      <w:pPr>
        <w:spacing w:line="540" w:lineRule="exact"/>
        <w:rPr>
          <w:rStyle w:val="16"/>
          <w:rFonts w:eastAsia="黑体"/>
          <w:b w:val="0"/>
          <w:spacing w:val="-4"/>
          <w:sz w:val="32"/>
          <w:szCs w:val="32"/>
        </w:rPr>
      </w:pPr>
    </w:p>
    <w:p>
      <w:pPr>
        <w:spacing w:line="560" w:lineRule="exact"/>
        <w:ind w:firstLine="640" w:firstLineChars="200"/>
        <w:rPr>
          <w:rFonts w:eastAsia="黑体"/>
          <w:bCs/>
          <w:sz w:val="32"/>
          <w:szCs w:val="32"/>
        </w:rPr>
        <w:sectPr>
          <w:pgSz w:w="11906" w:h="16838"/>
          <w:pgMar w:top="1440" w:right="1558" w:bottom="1440" w:left="180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一、基本情况</w:t>
      </w:r>
    </w:p>
    <w:p>
      <w:pPr>
        <w:pageBreakBefore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rPr>
      </w:pPr>
      <w:r>
        <w:rPr>
          <w:rFonts w:ascii="Times New Roman" w:hAnsi="Times New Roman" w:eastAsia="仿宋_GB2312"/>
          <w:b/>
          <w:bCs/>
          <w:sz w:val="32"/>
          <w:szCs w:val="32"/>
        </w:rPr>
        <w:t>（一）项目概况</w:t>
      </w:r>
    </w:p>
    <w:p>
      <w:pPr>
        <w:pageBreakBefore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rPr>
      </w:pPr>
      <w:r>
        <w:rPr>
          <w:rFonts w:ascii="Times New Roman" w:hAnsi="Times New Roman" w:eastAsia="仿宋_GB2312"/>
          <w:b/>
          <w:bCs/>
          <w:sz w:val="32"/>
          <w:szCs w:val="32"/>
        </w:rPr>
        <w:t>1.</w:t>
      </w:r>
      <w:r>
        <w:rPr>
          <w:rFonts w:hint="eastAsia" w:ascii="Times New Roman" w:hAnsi="Times New Roman" w:eastAsia="仿宋_GB2312"/>
          <w:b/>
          <w:bCs/>
          <w:sz w:val="32"/>
          <w:szCs w:val="32"/>
        </w:rPr>
        <w:t xml:space="preserve"> </w:t>
      </w:r>
      <w:r>
        <w:rPr>
          <w:rFonts w:ascii="Times New Roman" w:hAnsi="Times New Roman" w:eastAsia="仿宋_GB2312"/>
          <w:b/>
          <w:bCs/>
          <w:sz w:val="32"/>
          <w:szCs w:val="32"/>
        </w:rPr>
        <w:t>项目背景</w:t>
      </w:r>
    </w:p>
    <w:p>
      <w:pPr>
        <w:pageBreakBefore w:val="0"/>
        <w:kinsoku/>
        <w:wordWrap/>
        <w:overflowPunct/>
        <w:topLinePunct w:val="0"/>
        <w:autoSpaceDE/>
        <w:autoSpaceDN/>
        <w:bidi w:val="0"/>
        <w:adjustRightInd/>
        <w:snapToGrid/>
        <w:spacing w:line="560" w:lineRule="exact"/>
        <w:ind w:firstLine="640"/>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根据教育部《关于进一步推进职业教育信息化发展的指导意见》（教职成〔2017〕4号）文件要求和根据自治区教育厅《新疆维吾尔自治区中等职业学校学生计算机应用能力等级考试管理规则》（新教职成〔2003〕14号）</w:t>
      </w:r>
      <w:r>
        <w:rPr>
          <w:rFonts w:hint="eastAsia" w:eastAsia="仿宋_GB2312" w:cs="仿宋_GB2312"/>
          <w:sz w:val="32"/>
          <w:szCs w:val="32"/>
          <w:lang w:eastAsia="zh-CN"/>
        </w:rPr>
        <w:t>、</w:t>
      </w:r>
      <w:r>
        <w:rPr>
          <w:rFonts w:hint="eastAsia" w:ascii="Times New Roman" w:hAnsi="Times New Roman" w:eastAsia="仿宋_GB2312" w:cs="仿宋_GB2312"/>
          <w:sz w:val="32"/>
          <w:szCs w:val="32"/>
        </w:rPr>
        <w:t>《新疆维吾尔自治区中等职业学校学生计算机应用能力等级考试管理规则》（新教职成〔2003〕14号）文件要求，新疆维吾尔自治区工业和信息化培训中心（自治区计算机培训中心）（以下简称自治区工业和信息化培训中心）负责组织实施2024年新疆维吾尔自治区计算机应用技术中级考核工作。</w:t>
      </w:r>
    </w:p>
    <w:p>
      <w:pPr>
        <w:pStyle w:val="2"/>
        <w:pageBreakBefore w:val="0"/>
        <w:numPr>
          <w:ilvl w:val="0"/>
          <w:numId w:val="1"/>
        </w:numPr>
        <w:kinsoku/>
        <w:wordWrap/>
        <w:overflowPunct/>
        <w:topLinePunct w:val="0"/>
        <w:autoSpaceDE/>
        <w:autoSpaceDN/>
        <w:bidi w:val="0"/>
        <w:adjustRightInd/>
        <w:snapToGrid/>
        <w:spacing w:before="0" w:after="0" w:line="560" w:lineRule="exact"/>
        <w:ind w:firstLine="643" w:firstLineChars="200"/>
        <w:jc w:val="both"/>
        <w:textAlignment w:val="auto"/>
        <w:rPr>
          <w:rFonts w:ascii="Times New Roman" w:hAnsi="Times New Roman" w:eastAsia="仿宋_GB2312"/>
          <w:kern w:val="2"/>
          <w:sz w:val="32"/>
        </w:rPr>
      </w:pPr>
      <w:r>
        <w:rPr>
          <w:rFonts w:ascii="Times New Roman" w:hAnsi="Times New Roman" w:eastAsia="仿宋_GB2312"/>
          <w:kern w:val="2"/>
          <w:sz w:val="32"/>
        </w:rPr>
        <w:t>项目主要内容</w:t>
      </w:r>
      <w:r>
        <w:rPr>
          <w:rFonts w:hint="eastAsia" w:ascii="Times New Roman" w:hAnsi="Times New Roman" w:eastAsia="仿宋_GB2312"/>
          <w:kern w:val="2"/>
          <w:sz w:val="32"/>
        </w:rPr>
        <w:t>及实施情况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仿宋_GB2312"/>
          <w:bCs/>
          <w:sz w:val="32"/>
          <w:szCs w:val="32"/>
        </w:rPr>
      </w:pPr>
      <w:r>
        <w:rPr>
          <w:rFonts w:ascii="Times New Roman" w:hAnsi="Times New Roman" w:eastAsia="仿宋_GB2312"/>
          <w:sz w:val="32"/>
          <w:szCs w:val="30"/>
        </w:rPr>
        <w:t>项目主要内容：</w:t>
      </w:r>
      <w:r>
        <w:rPr>
          <w:rFonts w:hint="eastAsia" w:ascii="Times New Roman" w:hAnsi="Times New Roman" w:eastAsia="仿宋_GB2312" w:cs="仿宋_GB2312"/>
          <w:bCs/>
          <w:sz w:val="32"/>
          <w:szCs w:val="32"/>
        </w:rPr>
        <w:t>自治区工业和信息化培训中心为提高各职业院校学生提高信息化应用水平，提升职业技能和就业创业能力，按照《自治区计算机应用技术中级考核通知》安排部署，计划于202</w:t>
      </w:r>
      <w:r>
        <w:rPr>
          <w:rFonts w:hint="eastAsia" w:ascii="Times New Roman" w:hAnsi="Times New Roman" w:eastAsia="仿宋_GB2312" w:cs="仿宋_GB2312"/>
          <w:bCs/>
          <w:sz w:val="32"/>
          <w:szCs w:val="32"/>
          <w:lang w:val="en-US" w:eastAsia="zh-CN"/>
        </w:rPr>
        <w:t>4</w:t>
      </w:r>
      <w:r>
        <w:rPr>
          <w:rFonts w:hint="eastAsia" w:ascii="Times New Roman" w:hAnsi="Times New Roman" w:eastAsia="仿宋_GB2312" w:cs="仿宋_GB2312"/>
          <w:bCs/>
          <w:sz w:val="32"/>
          <w:szCs w:val="32"/>
        </w:rPr>
        <w:t>年开展自治区计算机应用技术中级考核考试。</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rPr>
      </w:pPr>
      <w:r>
        <w:rPr>
          <w:rFonts w:ascii="Times New Roman" w:hAnsi="Times New Roman" w:eastAsia="仿宋_GB2312"/>
          <w:sz w:val="32"/>
          <w:szCs w:val="30"/>
        </w:rPr>
        <w:t>项目实施情况</w:t>
      </w:r>
      <w:r>
        <w:rPr>
          <w:rFonts w:ascii="Times New Roman" w:hAnsi="Times New Roman" w:eastAsia="仿宋_GB2312"/>
          <w:sz w:val="32"/>
          <w:szCs w:val="32"/>
        </w:rPr>
        <w:t>：</w:t>
      </w:r>
      <w:r>
        <w:rPr>
          <w:rFonts w:hint="eastAsia" w:ascii="Times New Roman" w:hAnsi="Times New Roman" w:eastAsia="仿宋_GB2312" w:cs="仿宋_GB2312"/>
          <w:bCs/>
          <w:sz w:val="32"/>
          <w:szCs w:val="32"/>
        </w:rPr>
        <w:t>项目目前已经</w:t>
      </w:r>
      <w:r>
        <w:rPr>
          <w:rFonts w:hint="eastAsia" w:ascii="Times New Roman" w:hAnsi="Times New Roman" w:eastAsia="仿宋_GB2312" w:cs="仿宋_GB2312"/>
          <w:sz w:val="32"/>
          <w:szCs w:val="32"/>
        </w:rPr>
        <w:t>完成实际设立的目标，项目在实施过程中严格按照目标设立的各阶段任务进行开展工作，在前期立项过程中严格把质量关，建立安全防护机制，保证项目实施各阶段安全顺利进行。</w:t>
      </w:r>
    </w:p>
    <w:p>
      <w:pPr>
        <w:pageBreakBefore w:val="0"/>
        <w:numPr>
          <w:ilvl w:val="0"/>
          <w:numId w:val="1"/>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rPr>
      </w:pPr>
      <w:r>
        <w:rPr>
          <w:rFonts w:ascii="Times New Roman" w:hAnsi="Times New Roman" w:eastAsia="仿宋_GB2312"/>
          <w:b/>
          <w:bCs/>
          <w:sz w:val="32"/>
          <w:szCs w:val="32"/>
        </w:rPr>
        <w:t>资金投入和使用情况</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（1）资金投入情况</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color w:val="FF0000"/>
          <w:sz w:val="32"/>
          <w:szCs w:val="32"/>
        </w:rPr>
      </w:pPr>
      <w:r>
        <w:rPr>
          <w:rFonts w:ascii="Times New Roman" w:hAnsi="Times New Roman" w:eastAsia="仿宋_GB2312"/>
          <w:sz w:val="32"/>
          <w:szCs w:val="32"/>
        </w:rPr>
        <w:t>该项目年初预算数</w:t>
      </w:r>
      <w:r>
        <w:rPr>
          <w:rFonts w:hint="eastAsia" w:ascii="Times New Roman" w:hAnsi="Times New Roman" w:eastAsia="仿宋_GB2312"/>
          <w:sz w:val="32"/>
          <w:szCs w:val="32"/>
        </w:rPr>
        <w:t>95.02</w:t>
      </w:r>
      <w:r>
        <w:rPr>
          <w:rFonts w:ascii="Times New Roman" w:hAnsi="Times New Roman" w:eastAsia="仿宋_GB2312"/>
          <w:sz w:val="32"/>
          <w:szCs w:val="32"/>
        </w:rPr>
        <w:t>万元，全年预算数</w:t>
      </w:r>
      <w:r>
        <w:rPr>
          <w:rFonts w:hint="eastAsia" w:ascii="Times New Roman" w:hAnsi="Times New Roman" w:eastAsia="仿宋_GB2312"/>
          <w:sz w:val="32"/>
          <w:szCs w:val="32"/>
        </w:rPr>
        <w:t>95.02</w:t>
      </w:r>
      <w:r>
        <w:rPr>
          <w:rFonts w:ascii="Times New Roman" w:hAnsi="Times New Roman" w:eastAsia="仿宋_GB2312"/>
          <w:sz w:val="32"/>
          <w:szCs w:val="32"/>
        </w:rPr>
        <w:t>万元，该项目资金已全部落实到位，资金来源为</w:t>
      </w:r>
      <w:r>
        <w:rPr>
          <w:rFonts w:hint="eastAsia" w:eastAsia="仿宋_GB2312"/>
          <w:sz w:val="32"/>
          <w:szCs w:val="32"/>
          <w:lang w:val="en-US" w:eastAsia="zh-CN"/>
        </w:rPr>
        <w:t>其他</w:t>
      </w:r>
      <w:commentRangeStart w:id="0"/>
      <w:r>
        <w:rPr>
          <w:rFonts w:hint="eastAsia" w:ascii="Times New Roman" w:hAnsi="Times New Roman" w:eastAsia="仿宋_GB2312"/>
          <w:sz w:val="32"/>
          <w:szCs w:val="32"/>
        </w:rPr>
        <w:t>资金</w:t>
      </w:r>
      <w:commentRangeEnd w:id="0"/>
      <w:r>
        <w:commentReference w:id="0"/>
      </w:r>
      <w:r>
        <w:rPr>
          <w:rFonts w:ascii="Times New Roman" w:hAnsi="Times New Roman" w:eastAsia="仿宋_GB2312"/>
          <w:sz w:val="32"/>
          <w:szCs w:val="32"/>
        </w:rPr>
        <w:t>。</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（2）资金使用情况</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该项目年初预算数</w:t>
      </w:r>
      <w:r>
        <w:rPr>
          <w:rFonts w:hint="eastAsia" w:ascii="Times New Roman" w:hAnsi="Times New Roman" w:eastAsia="仿宋_GB2312"/>
          <w:sz w:val="32"/>
          <w:szCs w:val="32"/>
        </w:rPr>
        <w:t>95.02</w:t>
      </w:r>
      <w:r>
        <w:rPr>
          <w:rFonts w:ascii="Times New Roman" w:hAnsi="Times New Roman" w:eastAsia="仿宋_GB2312"/>
          <w:sz w:val="32"/>
          <w:szCs w:val="32"/>
        </w:rPr>
        <w:t>万元，全年预算数</w:t>
      </w:r>
      <w:r>
        <w:rPr>
          <w:rFonts w:hint="eastAsia" w:ascii="Times New Roman" w:hAnsi="Times New Roman" w:eastAsia="仿宋_GB2312"/>
          <w:sz w:val="32"/>
          <w:szCs w:val="32"/>
        </w:rPr>
        <w:t>95.02</w:t>
      </w:r>
      <w:r>
        <w:rPr>
          <w:rFonts w:ascii="Times New Roman" w:hAnsi="Times New Roman" w:eastAsia="仿宋_GB2312"/>
          <w:sz w:val="32"/>
          <w:szCs w:val="32"/>
        </w:rPr>
        <w:t>万元</w:t>
      </w:r>
      <w:r>
        <w:rPr>
          <w:rFonts w:hint="eastAsia" w:ascii="Times New Roman" w:hAnsi="Times New Roman" w:eastAsia="仿宋_GB2312"/>
          <w:sz w:val="32"/>
          <w:szCs w:val="32"/>
        </w:rPr>
        <w:t>，</w:t>
      </w:r>
      <w:r>
        <w:rPr>
          <w:rFonts w:ascii="Times New Roman" w:hAnsi="Times New Roman" w:eastAsia="仿宋_GB2312"/>
          <w:sz w:val="32"/>
          <w:szCs w:val="32"/>
        </w:rPr>
        <w:t>全年执行</w:t>
      </w:r>
      <w:r>
        <w:rPr>
          <w:rFonts w:ascii="Times New Roman" w:hAnsi="Times New Roman" w:eastAsia="仿宋_GB2312"/>
          <w:color w:val="auto"/>
          <w:sz w:val="32"/>
          <w:szCs w:val="32"/>
        </w:rPr>
        <w:t>数</w:t>
      </w:r>
      <w:r>
        <w:rPr>
          <w:rFonts w:hint="eastAsia" w:ascii="Times New Roman" w:hAnsi="Times New Roman" w:eastAsia="仿宋_GB2312"/>
          <w:color w:val="auto"/>
          <w:sz w:val="32"/>
          <w:szCs w:val="32"/>
        </w:rPr>
        <w:t>76.02</w:t>
      </w:r>
      <w:r>
        <w:rPr>
          <w:rFonts w:ascii="Times New Roman" w:hAnsi="Times New Roman" w:eastAsia="仿宋_GB2312"/>
          <w:color w:val="auto"/>
          <w:sz w:val="32"/>
          <w:szCs w:val="32"/>
        </w:rPr>
        <w:t>万元，</w:t>
      </w:r>
      <w:r>
        <w:rPr>
          <w:rFonts w:ascii="Times New Roman" w:hAnsi="Times New Roman" w:eastAsia="仿宋_GB2312"/>
          <w:sz w:val="32"/>
          <w:szCs w:val="32"/>
        </w:rPr>
        <w:t>预算执行率为</w:t>
      </w:r>
      <w:r>
        <w:rPr>
          <w:rFonts w:hint="eastAsia" w:ascii="Times New Roman" w:hAnsi="Times New Roman" w:eastAsia="仿宋_GB2312"/>
          <w:sz w:val="32"/>
          <w:szCs w:val="32"/>
        </w:rPr>
        <w:t>80</w:t>
      </w:r>
      <w:r>
        <w:rPr>
          <w:rFonts w:ascii="Times New Roman" w:hAnsi="Times New Roman" w:eastAsia="仿宋_GB2312"/>
          <w:sz w:val="32"/>
          <w:szCs w:val="32"/>
        </w:rPr>
        <w:t>%，主要用于：</w:t>
      </w:r>
      <w:r>
        <w:rPr>
          <w:rFonts w:hint="eastAsia" w:ascii="Times New Roman" w:hAnsi="Times New Roman" w:eastAsia="仿宋_GB2312" w:cs="仿宋_GB2312"/>
          <w:sz w:val="32"/>
          <w:szCs w:val="32"/>
        </w:rPr>
        <w:t>支付项目实施进程中的各项费用</w:t>
      </w:r>
      <w:r>
        <w:rPr>
          <w:rFonts w:ascii="Times New Roman" w:hAnsi="Times New Roman" w:eastAsia="仿宋_GB2312"/>
          <w:sz w:val="32"/>
          <w:szCs w:val="32"/>
        </w:rPr>
        <w:t>。</w:t>
      </w:r>
    </w:p>
    <w:p>
      <w:pPr>
        <w:pageBreakBefore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rPr>
      </w:pPr>
      <w:r>
        <w:rPr>
          <w:rFonts w:ascii="Times New Roman" w:hAnsi="Times New Roman" w:eastAsia="仿宋_GB2312"/>
          <w:b/>
          <w:bCs/>
          <w:sz w:val="32"/>
          <w:szCs w:val="32"/>
        </w:rPr>
        <w:t>（二）项目绩效目标</w:t>
      </w:r>
    </w:p>
    <w:p>
      <w:pPr>
        <w:pageBreakBefore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rPr>
      </w:pPr>
      <w:r>
        <w:rPr>
          <w:rFonts w:ascii="Times New Roman" w:hAnsi="Times New Roman" w:eastAsia="仿宋_GB2312"/>
          <w:b/>
          <w:bCs/>
          <w:sz w:val="32"/>
          <w:szCs w:val="32"/>
        </w:rPr>
        <w:t>1.</w:t>
      </w:r>
      <w:r>
        <w:rPr>
          <w:rFonts w:hint="eastAsia" w:ascii="Times New Roman" w:hAnsi="Times New Roman" w:eastAsia="仿宋_GB2312"/>
          <w:b/>
          <w:bCs/>
          <w:sz w:val="32"/>
          <w:szCs w:val="32"/>
        </w:rPr>
        <w:t xml:space="preserve"> </w:t>
      </w:r>
      <w:r>
        <w:rPr>
          <w:rFonts w:ascii="Times New Roman" w:hAnsi="Times New Roman" w:eastAsia="仿宋_GB2312"/>
          <w:b/>
          <w:bCs/>
          <w:sz w:val="32"/>
          <w:szCs w:val="32"/>
        </w:rPr>
        <w:t>总体目标</w:t>
      </w:r>
    </w:p>
    <w:p>
      <w:pPr>
        <w:pageBreakBefore w:val="0"/>
        <w:kinsoku/>
        <w:wordWrap/>
        <w:overflowPunct/>
        <w:topLinePunct w:val="0"/>
        <w:autoSpaceDE/>
        <w:autoSpaceDN/>
        <w:bidi w:val="0"/>
        <w:adjustRightInd/>
        <w:snapToGrid/>
        <w:spacing w:line="560" w:lineRule="exact"/>
        <w:ind w:firstLine="640"/>
        <w:textAlignment w:val="auto"/>
        <w:rPr>
          <w:rFonts w:ascii="Times New Roman" w:hAnsi="Times New Roman" w:eastAsia="仿宋_GB2312" w:cs="仿宋_GB2312"/>
          <w:bCs/>
          <w:sz w:val="32"/>
          <w:szCs w:val="32"/>
        </w:rPr>
      </w:pPr>
      <w:r>
        <w:rPr>
          <w:rFonts w:hint="eastAsia" w:ascii="Times New Roman" w:hAnsi="Times New Roman" w:eastAsia="仿宋_GB2312" w:cs="仿宋_GB2312"/>
          <w:bCs/>
          <w:sz w:val="32"/>
          <w:szCs w:val="32"/>
        </w:rPr>
        <w:t>2024年</w:t>
      </w:r>
      <w:r>
        <w:rPr>
          <w:rFonts w:ascii="Times New Roman" w:hAnsi="Times New Roman" w:eastAsia="仿宋_GB2312" w:cs="仿宋_GB2312"/>
          <w:bCs/>
          <w:sz w:val="32"/>
          <w:szCs w:val="32"/>
        </w:rPr>
        <w:t>全疆考试考务运维工作，主要是开展全疆“全国计算机等级考试新疆考区”和“全疆中职院校计算机应用能力测试”等考试业务，“全国计算机等级考试新疆考区”是经原国家教育部批准，面向社会，用于考查应试人员计算机应用知识与技能的全国性计算机水平考试体系。为推进我区信息技术应用水平，特针对全疆40多所中职院校及大中专学生开展计算机等级考试和计算机应用能力测试，以提升信息技术操作水平和能力，提高学生毕业后就业保障，推动电子数据处理能力，适应不断高速发展的信息技术。</w:t>
      </w:r>
    </w:p>
    <w:p>
      <w:pPr>
        <w:pageBreakBefore w:val="0"/>
        <w:numPr>
          <w:ilvl w:val="0"/>
          <w:numId w:val="2"/>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rPr>
      </w:pPr>
      <w:r>
        <w:rPr>
          <w:rFonts w:ascii="Times New Roman" w:hAnsi="Times New Roman" w:eastAsia="仿宋_GB2312"/>
          <w:b/>
          <w:bCs/>
          <w:sz w:val="32"/>
          <w:szCs w:val="32"/>
        </w:rPr>
        <w:t>阶段性目标</w:t>
      </w:r>
    </w:p>
    <w:p>
      <w:pPr>
        <w:pageBreakBefore w:val="0"/>
        <w:kinsoku/>
        <w:wordWrap/>
        <w:overflowPunct/>
        <w:topLinePunct w:val="0"/>
        <w:autoSpaceDE/>
        <w:autoSpaceDN/>
        <w:bidi w:val="0"/>
        <w:adjustRightInd/>
        <w:snapToGrid/>
        <w:spacing w:line="560" w:lineRule="exact"/>
        <w:ind w:firstLine="640"/>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（1）前期准备：通过制定项目实施方案，经项目负责人审核通过后，有序开展后续工作。</w:t>
      </w:r>
    </w:p>
    <w:p>
      <w:pPr>
        <w:pageBreakBefore w:val="0"/>
        <w:kinsoku/>
        <w:wordWrap/>
        <w:overflowPunct/>
        <w:topLinePunct w:val="0"/>
        <w:autoSpaceDE/>
        <w:autoSpaceDN/>
        <w:bidi w:val="0"/>
        <w:adjustRightInd/>
        <w:snapToGrid/>
        <w:spacing w:line="560" w:lineRule="exact"/>
        <w:ind w:firstLine="640"/>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（2）组织实施：资金一到位，立即根据项目要求实施项目。项目责任人按照项目实施方案要求逐一进行项目部署安排，提高项目质量及效率性。</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二、绩效评价工作开展情况</w:t>
      </w:r>
    </w:p>
    <w:p>
      <w:pPr>
        <w:pageBreakBefore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rPr>
      </w:pPr>
      <w:r>
        <w:rPr>
          <w:rFonts w:ascii="Times New Roman" w:hAnsi="Times New Roman" w:eastAsia="仿宋_GB2312"/>
          <w:b/>
          <w:bCs/>
          <w:sz w:val="32"/>
          <w:szCs w:val="32"/>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Times New Roman" w:hAnsi="Times New Roman" w:eastAsia="仿宋_GB2312"/>
          <w:sz w:val="32"/>
        </w:rPr>
      </w:pPr>
      <w:r>
        <w:rPr>
          <w:rFonts w:ascii="Times New Roman" w:hAnsi="Times New Roman" w:eastAsia="仿宋_GB2312"/>
          <w:sz w:val="32"/>
        </w:rPr>
        <w:t>1.</w:t>
      </w:r>
      <w:r>
        <w:rPr>
          <w:rFonts w:hint="eastAsia" w:ascii="Times New Roman" w:hAnsi="Times New Roman" w:eastAsia="仿宋_GB2312"/>
          <w:sz w:val="32"/>
        </w:rPr>
        <w:t xml:space="preserve"> </w:t>
      </w:r>
      <w:r>
        <w:rPr>
          <w:rFonts w:ascii="Times New Roman" w:hAnsi="Times New Roman" w:eastAsia="仿宋_GB2312"/>
          <w:sz w:val="32"/>
        </w:rPr>
        <w:t>绩效评价完整性</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在评价指标体系的构建上，充分考虑了项目的性质、目标以及预期成果，选取了具有代表性和可衡量性的关键指标，涵盖了社会效益</w:t>
      </w:r>
      <w:r>
        <w:rPr>
          <w:rFonts w:hint="eastAsia" w:ascii="Times New Roman" w:hAnsi="Times New Roman" w:eastAsia="仿宋_GB2312"/>
          <w:sz w:val="32"/>
          <w:szCs w:val="32"/>
          <w:lang w:eastAsia="zh-CN"/>
        </w:rPr>
        <w:t>等</w:t>
      </w:r>
      <w:r>
        <w:rPr>
          <w:rFonts w:ascii="Times New Roman" w:hAnsi="Times New Roman" w:eastAsia="仿宋_GB2312"/>
          <w:sz w:val="32"/>
          <w:szCs w:val="32"/>
        </w:rPr>
        <w:t>多个维度，力求全方位反映项目的绩效状况。同时，对于每个指标的评价标准和数据来源均进行了明确说明，确保评价结果的客观性和可追溯性。</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ageBreakBefore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rPr>
      </w:pPr>
      <w:r>
        <w:rPr>
          <w:rFonts w:ascii="Times New Roman" w:hAnsi="Times New Roman" w:eastAsia="仿宋_GB2312"/>
          <w:b/>
          <w:bCs/>
          <w:sz w:val="32"/>
          <w:szCs w:val="32"/>
        </w:rPr>
        <w:t>2.</w:t>
      </w:r>
      <w:r>
        <w:rPr>
          <w:rFonts w:hint="eastAsia" w:ascii="Times New Roman" w:hAnsi="Times New Roman" w:eastAsia="仿宋_GB2312"/>
          <w:b/>
          <w:bCs/>
          <w:sz w:val="32"/>
          <w:szCs w:val="32"/>
        </w:rPr>
        <w:t xml:space="preserve"> </w:t>
      </w:r>
      <w:r>
        <w:rPr>
          <w:rFonts w:ascii="Times New Roman" w:hAnsi="Times New Roman" w:eastAsia="仿宋_GB2312"/>
          <w:b/>
          <w:bCs/>
          <w:sz w:val="32"/>
          <w:szCs w:val="32"/>
        </w:rPr>
        <w:t>绩效评价的目的</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（1）评估项目实施效果</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通过对项目预算执行情况及各项绩效目标达成程度的系统性分析，全面、客观地评估项目在预定周期内的实施效果，包括社会效益等多维度指标，为项目后续的改进与优化提供科学依据。</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（2）提升资源利用效率</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（3）强化项目管理责任</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（4）为决策提供支持</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（5）促进项目持续改进</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2"/>
        <w:pageBreakBefore w:val="0"/>
        <w:widowControl w:val="0"/>
        <w:numPr>
          <w:ilvl w:val="0"/>
          <w:numId w:val="2"/>
        </w:numPr>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Times New Roman" w:hAnsi="Times New Roman" w:eastAsia="仿宋_GB2312"/>
          <w:sz w:val="32"/>
        </w:rPr>
      </w:pPr>
      <w:r>
        <w:rPr>
          <w:rFonts w:ascii="Times New Roman" w:hAnsi="Times New Roman" w:eastAsia="仿宋_GB2312"/>
          <w:sz w:val="32"/>
        </w:rPr>
        <w:t>绩效评价的对象</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cs="仿宋_GB2312"/>
          <w:b w:val="0"/>
          <w:bCs w:val="0"/>
          <w:sz w:val="32"/>
        </w:rPr>
      </w:pPr>
      <w:r>
        <w:rPr>
          <w:rFonts w:hint="eastAsia" w:ascii="Times New Roman" w:hAnsi="Times New Roman" w:eastAsia="仿宋_GB2312" w:cs="仿宋_GB2312"/>
          <w:b w:val="0"/>
          <w:bCs w:val="0"/>
          <w:sz w:val="32"/>
        </w:rPr>
        <w:t>本项目预算绩效评价报告的评价对象是全疆考试考务运维工作经费项目及其预算执行情况。该项目由新疆维吾尔工业和信息化培训中心负责实施，旨在推进我区信息技术应用水平，以提升信息技术操作水平和能力，提高学生毕业后就业保障，推动电子数据处理能力，适应不断高速发展的信息技术。项目预算涵盖从2024年1月1日至2024年12月25日的全部资金投入与支出，涉及资金总额为76.02万元。</w:t>
      </w:r>
    </w:p>
    <w:p>
      <w:pPr>
        <w:pStyle w:val="2"/>
        <w:pageBreakBefore w:val="0"/>
        <w:widowControl w:val="0"/>
        <w:numPr>
          <w:ilvl w:val="0"/>
          <w:numId w:val="2"/>
        </w:numPr>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Times New Roman" w:hAnsi="Times New Roman" w:eastAsia="仿宋_GB2312"/>
          <w:sz w:val="32"/>
        </w:rPr>
      </w:pPr>
      <w:r>
        <w:rPr>
          <w:rFonts w:ascii="Times New Roman" w:hAnsi="Times New Roman" w:eastAsia="仿宋_GB2312"/>
          <w:sz w:val="32"/>
        </w:rPr>
        <w:t>绩效评价的范围</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rPr>
      </w:pPr>
      <w:r>
        <w:rPr>
          <w:rFonts w:ascii="Times New Roman" w:hAnsi="Times New Roman" w:eastAsia="仿宋_GB2312"/>
          <w:b w:val="0"/>
          <w:bCs w:val="0"/>
          <w:sz w:val="32"/>
        </w:rPr>
        <w:t>本项目预算绩效评价报告的评价范围广泛而全面，涵盖了从项目立项至评价时点期间的所有关键预算活动和财务流程。具体而言，评价范围包括但不限于以下几个方面：</w:t>
      </w:r>
    </w:p>
    <w:p>
      <w:pPr>
        <w:pStyle w:val="2"/>
        <w:pageBreakBefore w:val="0"/>
        <w:widowControl w:val="0"/>
        <w:numPr>
          <w:ilvl w:val="0"/>
          <w:numId w:val="3"/>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rPr>
      </w:pPr>
      <w:r>
        <w:rPr>
          <w:rFonts w:ascii="Times New Roman" w:hAnsi="Times New Roman" w:eastAsia="仿宋_GB2312"/>
          <w:b w:val="0"/>
          <w:bCs w:val="0"/>
          <w:sz w:val="32"/>
        </w:rPr>
        <w:t>项目预算编制与执行：全面审视项目预算的编制依据、合理性、科学性以及实际执行情况，包括预算调整的原因和效果。</w:t>
      </w:r>
    </w:p>
    <w:p>
      <w:pPr>
        <w:pStyle w:val="2"/>
        <w:pageBreakBefore w:val="0"/>
        <w:widowControl w:val="0"/>
        <w:numPr>
          <w:ilvl w:val="0"/>
          <w:numId w:val="3"/>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rPr>
      </w:pPr>
      <w:r>
        <w:rPr>
          <w:rFonts w:ascii="Times New Roman" w:hAnsi="Times New Roman" w:eastAsia="仿宋_GB2312"/>
          <w:b w:val="0"/>
          <w:bCs w:val="0"/>
          <w:sz w:val="32"/>
        </w:rPr>
        <w:t>资金管理：深入分析项目资金的分配、使用和监管情况，确保资金使用的合规性、高效性和透明度。</w:t>
      </w:r>
    </w:p>
    <w:p>
      <w:pPr>
        <w:pStyle w:val="2"/>
        <w:pageBreakBefore w:val="0"/>
        <w:widowControl w:val="0"/>
        <w:numPr>
          <w:ilvl w:val="0"/>
          <w:numId w:val="3"/>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rPr>
      </w:pPr>
      <w:r>
        <w:rPr>
          <w:rFonts w:ascii="Times New Roman" w:hAnsi="Times New Roman" w:eastAsia="仿宋_GB2312"/>
          <w:b w:val="0"/>
          <w:bCs w:val="0"/>
          <w:sz w:val="32"/>
        </w:rPr>
        <w:t>项目实施进度与产出：评估项目是否按照既定计划顺利推进，各项任务是否按时完成，以及项目产出的数量、质量和时效性是否符合预期。</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rPr>
      </w:pPr>
      <w:r>
        <w:rPr>
          <w:rFonts w:hint="eastAsia" w:ascii="Times New Roman" w:hAnsi="Times New Roman" w:eastAsia="仿宋_GB2312"/>
          <w:b w:val="0"/>
          <w:bCs w:val="0"/>
          <w:sz w:val="32"/>
        </w:rPr>
        <w:t>（4）</w:t>
      </w:r>
      <w:r>
        <w:rPr>
          <w:rFonts w:ascii="Times New Roman" w:hAnsi="Times New Roman" w:eastAsia="仿宋_GB2312"/>
          <w:b w:val="0"/>
          <w:bCs w:val="0"/>
          <w:sz w:val="32"/>
        </w:rPr>
        <w:t>社会、</w:t>
      </w:r>
      <w:r>
        <w:rPr>
          <w:rFonts w:hint="eastAsia" w:ascii="Times New Roman" w:hAnsi="Times New Roman" w:eastAsia="仿宋_GB2312"/>
          <w:b w:val="0"/>
          <w:bCs w:val="0"/>
          <w:sz w:val="32"/>
        </w:rPr>
        <w:t>生态</w:t>
      </w:r>
      <w:r>
        <w:rPr>
          <w:rFonts w:ascii="Times New Roman" w:hAnsi="Times New Roman" w:eastAsia="仿宋_GB2312"/>
          <w:b w:val="0"/>
          <w:bCs w:val="0"/>
          <w:sz w:val="32"/>
        </w:rPr>
        <w:t>等影响：</w:t>
      </w:r>
      <w:r>
        <w:rPr>
          <w:rFonts w:hint="eastAsia" w:ascii="Times New Roman" w:hAnsi="Times New Roman" w:eastAsia="仿宋_GB2312"/>
          <w:b w:val="0"/>
          <w:bCs w:val="0"/>
          <w:sz w:val="32"/>
        </w:rPr>
        <w:t>该项目用于考查应试人员计算机应用知识与技能水平。为推进我区信息技术应用水平，开展计算机等级考试和计算机应用能力测试，以提升信息技术操作水平和能力，提高学生毕业后就业保障，推动电子数据处理能力，适应不断高速发展的信息技术。</w:t>
      </w:r>
    </w:p>
    <w:p>
      <w:pPr>
        <w:pageBreakBefore w:val="0"/>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sz w:val="32"/>
        </w:rPr>
      </w:pPr>
      <w:r>
        <w:rPr>
          <w:rFonts w:ascii="Times New Roman" w:hAnsi="Times New Roman" w:eastAsia="仿宋_GB2312"/>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Times New Roman" w:hAnsi="Times New Roman" w:eastAsia="仿宋_GB2312"/>
          <w:sz w:val="32"/>
        </w:rPr>
      </w:pPr>
      <w:r>
        <w:rPr>
          <w:rFonts w:ascii="Times New Roman" w:hAnsi="Times New Roman" w:eastAsia="仿宋_GB2312"/>
          <w:sz w:val="32"/>
        </w:rPr>
        <w:t>1.</w:t>
      </w:r>
      <w:r>
        <w:rPr>
          <w:rFonts w:hint="eastAsia" w:ascii="Times New Roman" w:hAnsi="Times New Roman" w:eastAsia="仿宋_GB2312"/>
          <w:sz w:val="32"/>
        </w:rPr>
        <w:t xml:space="preserve"> </w:t>
      </w:r>
      <w:r>
        <w:rPr>
          <w:rFonts w:ascii="Times New Roman" w:hAnsi="Times New Roman" w:eastAsia="仿宋_GB2312"/>
          <w:sz w:val="32"/>
        </w:rPr>
        <w:t>绩效评价原则</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olor w:val="000000"/>
          <w:sz w:val="32"/>
          <w:szCs w:val="32"/>
        </w:rPr>
      </w:pPr>
      <w:r>
        <w:rPr>
          <w:rFonts w:ascii="Times New Roman" w:hAnsi="Times New Roman" w:eastAsia="仿宋_GB2312"/>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rPr>
      </w:pPr>
      <w:r>
        <w:rPr>
          <w:rFonts w:ascii="Times New Roman" w:hAnsi="Times New Roman" w:eastAsia="仿宋_GB2312"/>
          <w:b w:val="0"/>
          <w:bCs w:val="0"/>
          <w:sz w:val="32"/>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rPr>
      </w:pPr>
      <w:r>
        <w:rPr>
          <w:rFonts w:ascii="Times New Roman" w:hAnsi="Times New Roman" w:eastAsia="仿宋_GB2312"/>
          <w:b w:val="0"/>
          <w:bCs w:val="0"/>
          <w:sz w:val="32"/>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rPr>
      </w:pPr>
      <w:r>
        <w:rPr>
          <w:rFonts w:ascii="Times New Roman" w:hAnsi="Times New Roman" w:eastAsia="仿宋_GB2312"/>
          <w:b w:val="0"/>
          <w:bCs w:val="0"/>
          <w:sz w:val="32"/>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rPr>
      </w:pPr>
      <w:r>
        <w:rPr>
          <w:rFonts w:ascii="Times New Roman" w:hAnsi="Times New Roman" w:eastAsia="仿宋_GB2312"/>
          <w:b w:val="0"/>
          <w:bCs w:val="0"/>
          <w:sz w:val="32"/>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Times New Roman" w:hAnsi="Times New Roman" w:eastAsia="仿宋_GB2312"/>
          <w:sz w:val="32"/>
        </w:rPr>
      </w:pPr>
      <w:r>
        <w:rPr>
          <w:rFonts w:ascii="Times New Roman" w:hAnsi="Times New Roman" w:eastAsia="仿宋_GB2312"/>
          <w:sz w:val="32"/>
        </w:rPr>
        <w:t>2.</w:t>
      </w:r>
      <w:r>
        <w:rPr>
          <w:rFonts w:hint="eastAsia" w:ascii="Times New Roman" w:hAnsi="Times New Roman" w:eastAsia="仿宋_GB2312"/>
          <w:sz w:val="32"/>
        </w:rPr>
        <w:t xml:space="preserve"> </w:t>
      </w:r>
      <w:r>
        <w:rPr>
          <w:rFonts w:ascii="Times New Roman" w:hAnsi="Times New Roman" w:eastAsia="仿宋_GB2312"/>
          <w:sz w:val="32"/>
        </w:rPr>
        <w:t>评价指标体系</w:t>
      </w:r>
    </w:p>
    <w:p>
      <w:pPr>
        <w:pageBreakBefore w:val="0"/>
        <w:kinsoku/>
        <w:wordWrap/>
        <w:overflowPunct/>
        <w:topLinePunct w:val="0"/>
        <w:autoSpaceDE/>
        <w:autoSpaceDN/>
        <w:bidi w:val="0"/>
        <w:adjustRightInd/>
        <w:snapToGrid/>
        <w:spacing w:line="560" w:lineRule="exact"/>
        <w:ind w:firstLine="708" w:firstLineChars="200"/>
        <w:textAlignment w:val="auto"/>
        <w:rPr>
          <w:rFonts w:ascii="Times New Roman" w:hAnsi="Times New Roman" w:eastAsia="仿宋_GB2312"/>
          <w:color w:val="000000"/>
          <w:spacing w:val="17"/>
          <w:sz w:val="32"/>
          <w:szCs w:val="32"/>
        </w:rPr>
      </w:pPr>
      <w:r>
        <w:rPr>
          <w:rFonts w:ascii="Times New Roman" w:hAnsi="Times New Roman"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708" w:firstLineChars="200"/>
        <w:textAlignment w:val="auto"/>
        <w:rPr>
          <w:rFonts w:ascii="Times New Roman" w:hAnsi="Times New Roman" w:eastAsia="仿宋_GB2312"/>
          <w:color w:val="000000"/>
          <w:spacing w:val="17"/>
          <w:sz w:val="32"/>
          <w:szCs w:val="32"/>
        </w:rPr>
      </w:pPr>
      <w:r>
        <w:rPr>
          <w:rFonts w:ascii="Times New Roman" w:hAnsi="Times New Roman" w:eastAsia="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exact"/>
        <w:ind w:firstLine="708" w:firstLineChars="200"/>
        <w:textAlignment w:val="auto"/>
        <w:rPr>
          <w:rFonts w:ascii="Times New Roman" w:hAnsi="Times New Roman" w:eastAsia="仿宋_GB2312"/>
          <w:color w:val="000000"/>
          <w:spacing w:val="17"/>
          <w:sz w:val="32"/>
          <w:szCs w:val="32"/>
        </w:rPr>
      </w:pPr>
      <w:r>
        <w:rPr>
          <w:rFonts w:ascii="Times New Roman" w:hAnsi="Times New Roman"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708" w:firstLineChars="200"/>
        <w:textAlignment w:val="auto"/>
        <w:rPr>
          <w:rFonts w:ascii="Times New Roman" w:hAnsi="Times New Roman" w:eastAsia="仿宋_GB2312"/>
          <w:color w:val="000000"/>
          <w:spacing w:val="17"/>
          <w:sz w:val="32"/>
          <w:szCs w:val="32"/>
        </w:rPr>
      </w:pPr>
      <w:r>
        <w:rPr>
          <w:rFonts w:ascii="Times New Roman" w:hAnsi="Times New Roman" w:eastAsia="仿宋_GB2312"/>
          <w:color w:val="000000"/>
          <w:spacing w:val="17"/>
          <w:sz w:val="32"/>
          <w:szCs w:val="32"/>
        </w:rPr>
        <w:t>（2）确定权重</w:t>
      </w:r>
    </w:p>
    <w:p>
      <w:pPr>
        <w:pageBreakBefore w:val="0"/>
        <w:kinsoku/>
        <w:wordWrap/>
        <w:overflowPunct/>
        <w:topLinePunct w:val="0"/>
        <w:autoSpaceDE/>
        <w:autoSpaceDN/>
        <w:bidi w:val="0"/>
        <w:adjustRightInd/>
        <w:snapToGrid/>
        <w:spacing w:line="560" w:lineRule="exact"/>
        <w:ind w:firstLine="708" w:firstLineChars="200"/>
        <w:textAlignment w:val="auto"/>
        <w:rPr>
          <w:rFonts w:ascii="Times New Roman" w:hAnsi="Times New Roman" w:eastAsia="仿宋_GB2312"/>
          <w:color w:val="FF0000"/>
          <w:spacing w:val="17"/>
          <w:sz w:val="32"/>
          <w:szCs w:val="32"/>
        </w:rPr>
      </w:pPr>
      <w:r>
        <w:rPr>
          <w:rFonts w:ascii="Times New Roman" w:hAnsi="Times New Roman"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firstLine="708" w:firstLineChars="200"/>
        <w:textAlignment w:val="auto"/>
        <w:rPr>
          <w:rFonts w:ascii="Times New Roman" w:hAnsi="Times New Roman" w:eastAsia="仿宋_GB2312"/>
          <w:color w:val="000000"/>
          <w:spacing w:val="17"/>
          <w:sz w:val="32"/>
          <w:szCs w:val="32"/>
        </w:rPr>
      </w:pPr>
      <w:r>
        <w:rPr>
          <w:rFonts w:ascii="Times New Roman" w:hAnsi="Times New Roman" w:eastAsia="仿宋_GB2312"/>
          <w:color w:val="000000"/>
          <w:spacing w:val="17"/>
          <w:sz w:val="32"/>
          <w:szCs w:val="32"/>
        </w:rPr>
        <w:t>（3）确定指标标准值</w:t>
      </w:r>
    </w:p>
    <w:p>
      <w:pPr>
        <w:pageBreakBefore w:val="0"/>
        <w:kinsoku/>
        <w:wordWrap/>
        <w:overflowPunct/>
        <w:topLinePunct w:val="0"/>
        <w:autoSpaceDE/>
        <w:autoSpaceDN/>
        <w:bidi w:val="0"/>
        <w:adjustRightInd/>
        <w:snapToGrid/>
        <w:spacing w:line="560" w:lineRule="exact"/>
        <w:ind w:firstLine="708" w:firstLineChars="200"/>
        <w:textAlignment w:val="auto"/>
        <w:rPr>
          <w:rFonts w:ascii="Times New Roman" w:hAnsi="Times New Roman" w:eastAsia="仿宋_GB2312"/>
          <w:color w:val="000000"/>
          <w:spacing w:val="17"/>
          <w:sz w:val="32"/>
          <w:szCs w:val="32"/>
        </w:rPr>
      </w:pPr>
      <w:r>
        <w:rPr>
          <w:rFonts w:ascii="Times New Roman" w:hAnsi="Times New Roman"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ascii="Times New Roman" w:hAnsi="Times New Roman" w:eastAsia="仿宋_GB2312"/>
          <w:b w:val="0"/>
          <w:bCs w:val="0"/>
          <w:color w:val="000000"/>
          <w:spacing w:val="17"/>
          <w:kern w:val="2"/>
          <w:sz w:val="32"/>
        </w:rPr>
      </w:pPr>
      <w:r>
        <w:rPr>
          <w:rFonts w:ascii="Times New Roman" w:hAnsi="Times New Roman" w:eastAsia="仿宋_GB2312"/>
          <w:b w:val="0"/>
          <w:bCs w:val="0"/>
          <w:color w:val="000000"/>
          <w:spacing w:val="17"/>
          <w:kern w:val="2"/>
          <w:sz w:val="32"/>
        </w:rPr>
        <w:t>绩效评价总分值100分，根据综合评分结果，90（含）-100分为优、80（含）-90分为良、60（含）-80分为中、60分以下为差。</w:t>
      </w:r>
    </w:p>
    <w:p>
      <w:pPr>
        <w:pStyle w:val="2"/>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ascii="Times New Roman" w:hAnsi="Times New Roman" w:eastAsia="仿宋_GB2312"/>
          <w:b w:val="0"/>
          <w:bCs w:val="0"/>
          <w:color w:val="000000"/>
          <w:spacing w:val="17"/>
          <w:sz w:val="32"/>
        </w:rPr>
      </w:pPr>
      <w:r>
        <w:rPr>
          <w:rFonts w:ascii="Times New Roman" w:hAnsi="Times New Roman" w:eastAsia="仿宋_GB2312"/>
          <w:b w:val="0"/>
          <w:bCs w:val="0"/>
          <w:color w:val="000000"/>
          <w:spacing w:val="17"/>
          <w:sz w:val="32"/>
        </w:rPr>
        <w:t>具体评价指标体系详情见附件1</w:t>
      </w:r>
    </w:p>
    <w:p>
      <w:pPr>
        <w:pStyle w:val="2"/>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Times New Roman" w:hAnsi="Times New Roman" w:eastAsia="仿宋_GB2312"/>
          <w:sz w:val="32"/>
        </w:rPr>
      </w:pPr>
      <w:r>
        <w:rPr>
          <w:rFonts w:ascii="Times New Roman" w:hAnsi="Times New Roman" w:eastAsia="仿宋_GB2312"/>
          <w:sz w:val="32"/>
        </w:rPr>
        <w:t>3.</w:t>
      </w:r>
      <w:r>
        <w:rPr>
          <w:rFonts w:hint="eastAsia" w:ascii="Times New Roman" w:hAnsi="Times New Roman" w:eastAsia="仿宋_GB2312"/>
          <w:sz w:val="32"/>
        </w:rPr>
        <w:t xml:space="preserve"> </w:t>
      </w:r>
      <w:r>
        <w:rPr>
          <w:rFonts w:ascii="Times New Roman" w:hAnsi="Times New Roman" w:eastAsia="仿宋_GB2312"/>
          <w:sz w:val="32"/>
        </w:rPr>
        <w:t>绩效评价方法</w:t>
      </w:r>
    </w:p>
    <w:p>
      <w:pPr>
        <w:pageBreakBefore w:val="0"/>
        <w:kinsoku/>
        <w:wordWrap/>
        <w:overflowPunct/>
        <w:topLinePunct w:val="0"/>
        <w:autoSpaceDE/>
        <w:autoSpaceDN/>
        <w:bidi w:val="0"/>
        <w:adjustRightInd/>
        <w:snapToGrid/>
        <w:spacing w:line="560" w:lineRule="exact"/>
        <w:ind w:firstLine="708" w:firstLineChars="200"/>
        <w:textAlignment w:val="auto"/>
        <w:rPr>
          <w:rFonts w:ascii="Times New Roman" w:hAnsi="Times New Roman" w:eastAsia="仿宋_GB2312"/>
          <w:color w:val="000000"/>
          <w:spacing w:val="17"/>
          <w:sz w:val="32"/>
          <w:szCs w:val="32"/>
        </w:rPr>
      </w:pPr>
      <w:r>
        <w:rPr>
          <w:rFonts w:ascii="Times New Roman" w:hAnsi="Times New Roman"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firstLine="708" w:firstLineChars="200"/>
        <w:textAlignment w:val="auto"/>
        <w:rPr>
          <w:rFonts w:ascii="Times New Roman" w:hAnsi="Times New Roman" w:eastAsia="仿宋_GB2312"/>
          <w:color w:val="000000"/>
          <w:spacing w:val="17"/>
          <w:sz w:val="32"/>
          <w:szCs w:val="32"/>
        </w:rPr>
      </w:pPr>
      <w:r>
        <w:rPr>
          <w:rFonts w:ascii="Times New Roman" w:hAnsi="Times New Roman"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仿宋_GB2312"/>
          <w:color w:val="000000"/>
          <w:spacing w:val="17"/>
          <w:sz w:val="32"/>
          <w:szCs w:val="32"/>
        </w:rPr>
      </w:pPr>
      <w:r>
        <w:rPr>
          <w:rFonts w:hint="eastAsia" w:ascii="Times New Roman" w:hAnsi="Times New Roman" w:eastAsia="仿宋_GB2312"/>
          <w:sz w:val="32"/>
          <w:szCs w:val="32"/>
        </w:rPr>
        <w:t>（一）成本效益分析法。</w:t>
      </w:r>
      <w:r>
        <w:rPr>
          <w:rFonts w:hint="eastAsia" w:ascii="Times New Roman" w:hAnsi="Times New Roman" w:eastAsia="仿宋_GB2312" w:cs="仿宋_GB2312"/>
          <w:color w:val="000000"/>
          <w:spacing w:val="17"/>
          <w:sz w:val="32"/>
          <w:szCs w:val="32"/>
        </w:rPr>
        <w:t xml:space="preserve">是指将投入与产出、效益进行关联性分析的方法。 </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仿宋_GB2312"/>
          <w:color w:val="000000"/>
          <w:spacing w:val="17"/>
          <w:sz w:val="32"/>
          <w:szCs w:val="32"/>
        </w:rPr>
      </w:pPr>
      <w:r>
        <w:rPr>
          <w:rFonts w:hint="eastAsia" w:ascii="Times New Roman" w:hAnsi="Times New Roman" w:eastAsia="仿宋_GB2312"/>
          <w:sz w:val="32"/>
          <w:szCs w:val="32"/>
        </w:rPr>
        <w:t>（二）比较法。</w:t>
      </w:r>
      <w:r>
        <w:rPr>
          <w:rFonts w:hint="eastAsia" w:ascii="Times New Roman" w:hAnsi="Times New Roman" w:eastAsia="仿宋_GB2312" w:cs="仿宋_GB2312"/>
          <w:color w:val="000000"/>
          <w:spacing w:val="17"/>
          <w:sz w:val="32"/>
          <w:szCs w:val="32"/>
        </w:rPr>
        <w:t>是指将实施情况与绩效目标、历史情况、不同部门和地区同类支出情况进行比较的方法。</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仿宋_GB2312"/>
          <w:color w:val="000000"/>
          <w:spacing w:val="17"/>
          <w:sz w:val="32"/>
          <w:szCs w:val="32"/>
        </w:rPr>
      </w:pPr>
      <w:r>
        <w:rPr>
          <w:rFonts w:hint="eastAsia" w:ascii="Times New Roman" w:hAnsi="Times New Roman" w:eastAsia="仿宋_GB2312"/>
          <w:sz w:val="32"/>
          <w:szCs w:val="32"/>
        </w:rPr>
        <w:t>（三）因素分析法。</w:t>
      </w:r>
      <w:r>
        <w:rPr>
          <w:rFonts w:hint="eastAsia" w:ascii="Times New Roman" w:hAnsi="Times New Roman" w:eastAsia="仿宋_GB2312" w:cs="仿宋_GB2312"/>
          <w:color w:val="000000"/>
          <w:spacing w:val="17"/>
          <w:sz w:val="32"/>
          <w:szCs w:val="32"/>
        </w:rPr>
        <w:t>是指综合分析影响绩效目标实现、实施效果的内外部因素的方法。</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仿宋_GB2312"/>
          <w:color w:val="000000"/>
          <w:spacing w:val="17"/>
          <w:sz w:val="32"/>
          <w:szCs w:val="32"/>
        </w:rPr>
      </w:pPr>
      <w:r>
        <w:rPr>
          <w:rFonts w:hint="eastAsia" w:ascii="Times New Roman" w:hAnsi="Times New Roman" w:eastAsia="仿宋_GB2312"/>
          <w:sz w:val="32"/>
          <w:szCs w:val="32"/>
        </w:rPr>
        <w:t>（四）最低成本法。</w:t>
      </w:r>
      <w:r>
        <w:rPr>
          <w:rFonts w:hint="eastAsia" w:ascii="Times New Roman" w:hAnsi="Times New Roman" w:eastAsia="仿宋_GB2312" w:cs="仿宋_GB2312"/>
          <w:color w:val="000000"/>
          <w:spacing w:val="17"/>
          <w:sz w:val="32"/>
          <w:szCs w:val="32"/>
        </w:rPr>
        <w:t>是指在绩效目标确定的前提下，成本最小者为优的方法。</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仿宋_GB2312"/>
          <w:color w:val="000000"/>
          <w:spacing w:val="17"/>
          <w:sz w:val="32"/>
          <w:szCs w:val="32"/>
        </w:rPr>
      </w:pPr>
      <w:r>
        <w:rPr>
          <w:rFonts w:hint="eastAsia" w:ascii="Times New Roman" w:hAnsi="Times New Roman" w:eastAsia="仿宋_GB2312"/>
          <w:sz w:val="32"/>
          <w:szCs w:val="32"/>
        </w:rPr>
        <w:t>（五）公众评判法。</w:t>
      </w:r>
      <w:r>
        <w:rPr>
          <w:rFonts w:hint="eastAsia" w:ascii="Times New Roman" w:hAnsi="Times New Roman" w:eastAsia="仿宋_GB2312" w:cs="仿宋_GB2312"/>
          <w:color w:val="000000"/>
          <w:spacing w:val="17"/>
          <w:sz w:val="32"/>
          <w:szCs w:val="32"/>
        </w:rPr>
        <w:t>是指通过专家评估、公众问卷及抽样调查等方式进行评判的方法。</w:t>
      </w:r>
    </w:p>
    <w:p>
      <w:pPr>
        <w:pStyle w:val="2"/>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ascii="Times New Roman" w:hAnsi="Times New Roman" w:eastAsia="仿宋_GB2312"/>
          <w:sz w:val="32"/>
        </w:rPr>
      </w:pPr>
      <w:r>
        <w:rPr>
          <w:rFonts w:ascii="Times New Roman" w:hAnsi="Times New Roman" w:eastAsia="仿宋_GB2312"/>
          <w:sz w:val="32"/>
        </w:rPr>
        <w:t>4.</w:t>
      </w:r>
      <w:r>
        <w:rPr>
          <w:rFonts w:hint="eastAsia" w:ascii="Times New Roman" w:hAnsi="Times New Roman" w:eastAsia="仿宋_GB2312"/>
          <w:sz w:val="32"/>
        </w:rPr>
        <w:t xml:space="preserve"> </w:t>
      </w:r>
      <w:r>
        <w:rPr>
          <w:rFonts w:ascii="Times New Roman" w:hAnsi="Times New Roman" w:eastAsia="仿宋_GB2312"/>
          <w:sz w:val="32"/>
        </w:rPr>
        <w:t>评价标准</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rPr>
      </w:pPr>
      <w:r>
        <w:rPr>
          <w:rFonts w:ascii="Times New Roman" w:hAnsi="Times New Roman" w:eastAsia="仿宋_GB2312"/>
          <w:b w:val="0"/>
          <w:bCs w:val="0"/>
          <w:sz w:val="32"/>
        </w:rPr>
        <w:t>绩效评价标准通常包括计划标准、行业标准、历史标准等，用于对绩效指标完成情况进行比较、分析、评价。本次评价主要采用了</w:t>
      </w:r>
      <w:r>
        <w:rPr>
          <w:rFonts w:hint="eastAsia" w:ascii="Times New Roman" w:hAnsi="Times New Roman" w:eastAsia="仿宋_GB2312"/>
          <w:b w:val="0"/>
          <w:bCs w:val="0"/>
          <w:sz w:val="32"/>
        </w:rPr>
        <w:t>历史</w:t>
      </w:r>
      <w:r>
        <w:rPr>
          <w:rFonts w:ascii="Times New Roman" w:hAnsi="Times New Roman" w:eastAsia="仿宋_GB2312"/>
          <w:b w:val="0"/>
          <w:bCs w:val="0"/>
          <w:sz w:val="32"/>
        </w:rPr>
        <w:t>标准。</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rPr>
      </w:pPr>
      <w:r>
        <w:rPr>
          <w:rFonts w:ascii="Times New Roman" w:hAnsi="Times New Roman" w:eastAsia="仿宋_GB2312"/>
          <w:b w:val="0"/>
          <w:bCs w:val="0"/>
          <w:sz w:val="32"/>
        </w:rPr>
        <w:t>（1）计划标准。指以预先制定的目标、计划、预算、定额等作为评价标准。</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rPr>
      </w:pPr>
      <w:r>
        <w:rPr>
          <w:rFonts w:ascii="Times New Roman" w:hAnsi="Times New Roman" w:eastAsia="仿宋_GB2312"/>
          <w:b w:val="0"/>
          <w:bCs w:val="0"/>
          <w:sz w:val="32"/>
        </w:rPr>
        <w:t>（2）行业标准。指参照国家公布的行业指标数据制定的评价标准。</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rPr>
      </w:pPr>
      <w:r>
        <w:rPr>
          <w:rFonts w:ascii="Times New Roman" w:hAnsi="Times New Roman" w:eastAsia="仿宋_GB2312"/>
          <w:b w:val="0"/>
          <w:bCs w:val="0"/>
          <w:sz w:val="32"/>
        </w:rPr>
        <w:t>（3）历史标准。指参照历史数据制定的评价标准，为体现绩效改进的原则，在可实现的条件下应当确定相对较高的评价标准。</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rPr>
      </w:pPr>
      <w:r>
        <w:rPr>
          <w:rFonts w:ascii="Times New Roman" w:hAnsi="Times New Roman" w:eastAsia="仿宋_GB2312"/>
          <w:b w:val="0"/>
          <w:bCs w:val="0"/>
          <w:sz w:val="32"/>
        </w:rPr>
        <w:t>（4）财政部门和预算部门确认或认可的其他标准。</w:t>
      </w:r>
    </w:p>
    <w:p>
      <w:pPr>
        <w:pStyle w:val="2"/>
        <w:pageBreakBefore w:val="0"/>
        <w:numPr>
          <w:ilvl w:val="0"/>
          <w:numId w:val="4"/>
        </w:numPr>
        <w:kinsoku/>
        <w:wordWrap/>
        <w:overflowPunct/>
        <w:topLinePunct w:val="0"/>
        <w:autoSpaceDE/>
        <w:autoSpaceDN/>
        <w:bidi w:val="0"/>
        <w:adjustRightInd/>
        <w:snapToGrid/>
        <w:spacing w:before="0" w:after="0" w:line="560" w:lineRule="exact"/>
        <w:ind w:firstLine="711" w:firstLineChars="200"/>
        <w:jc w:val="both"/>
        <w:textAlignment w:val="auto"/>
        <w:rPr>
          <w:rFonts w:ascii="Times New Roman" w:hAnsi="Times New Roman" w:eastAsia="仿宋_GB2312"/>
          <w:color w:val="000000"/>
          <w:spacing w:val="17"/>
          <w:sz w:val="32"/>
        </w:rPr>
      </w:pPr>
      <w:r>
        <w:rPr>
          <w:rFonts w:ascii="Times New Roman" w:hAnsi="Times New Roman" w:eastAsia="仿宋_GB2312"/>
          <w:color w:val="000000"/>
          <w:spacing w:val="17"/>
          <w:sz w:val="32"/>
        </w:rPr>
        <w:t>绩效评价工作过程</w:t>
      </w:r>
    </w:p>
    <w:p>
      <w:pPr>
        <w:pageBreakBefore w:val="0"/>
        <w:numPr>
          <w:ilvl w:val="0"/>
          <w:numId w:val="5"/>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rPr>
      </w:pPr>
      <w:r>
        <w:rPr>
          <w:rFonts w:ascii="Times New Roman" w:hAnsi="Times New Roman" w:eastAsia="仿宋_GB2312"/>
          <w:b/>
          <w:bCs/>
          <w:sz w:val="32"/>
          <w:szCs w:val="32"/>
        </w:rPr>
        <w:t>前期准备与规划</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pageBreakBefore w:val="0"/>
        <w:numPr>
          <w:ilvl w:val="0"/>
          <w:numId w:val="5"/>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rPr>
      </w:pPr>
      <w:r>
        <w:rPr>
          <w:rFonts w:ascii="Times New Roman" w:hAnsi="Times New Roman" w:eastAsia="仿宋_GB2312"/>
          <w:b/>
          <w:bCs/>
          <w:sz w:val="32"/>
          <w:szCs w:val="32"/>
        </w:rPr>
        <w:t>指标体系构建</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依据项目的性质、目标以及预期成果，构建了科学合理的绩效评价指标体系。该指标体系涵盖了</w:t>
      </w:r>
      <w:r>
        <w:rPr>
          <w:rFonts w:ascii="Times New Roman" w:hAnsi="Times New Roman" w:eastAsia="仿宋_GB2312"/>
          <w:color w:val="000000"/>
          <w:spacing w:val="17"/>
          <w:sz w:val="32"/>
          <w:szCs w:val="32"/>
        </w:rPr>
        <w:t>项目决策、项目过程、项目产出、项目效益四个维度</w:t>
      </w:r>
      <w:r>
        <w:rPr>
          <w:rFonts w:ascii="Times New Roman" w:hAnsi="Times New Roman" w:eastAsia="仿宋_GB2312"/>
          <w:sz w:val="32"/>
          <w:szCs w:val="32"/>
        </w:rPr>
        <w:t>，选取了具有代表性和可衡量性的关键指标，并为每个指标设定了明确的评价标准与权重，确保评价结果能够全面、准确地反映项目的绩效状况。</w:t>
      </w:r>
    </w:p>
    <w:p>
      <w:pPr>
        <w:pageBreakBefore w:val="0"/>
        <w:numPr>
          <w:ilvl w:val="0"/>
          <w:numId w:val="5"/>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rPr>
      </w:pPr>
      <w:r>
        <w:rPr>
          <w:rFonts w:ascii="Times New Roman" w:hAnsi="Times New Roman" w:eastAsia="仿宋_GB2312"/>
          <w:b/>
          <w:bCs/>
          <w:sz w:val="32"/>
          <w:szCs w:val="32"/>
        </w:rPr>
        <w:t>数据收集与整理</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pageBreakBefore w:val="0"/>
        <w:numPr>
          <w:ilvl w:val="0"/>
          <w:numId w:val="5"/>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rPr>
      </w:pPr>
      <w:r>
        <w:rPr>
          <w:rFonts w:ascii="Times New Roman" w:hAnsi="Times New Roman" w:eastAsia="仿宋_GB2312"/>
          <w:b/>
          <w:bCs/>
          <w:sz w:val="32"/>
          <w:szCs w:val="32"/>
        </w:rPr>
        <w:t>数据分析与评估</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pageBreakBefore w:val="0"/>
        <w:numPr>
          <w:ilvl w:val="0"/>
          <w:numId w:val="5"/>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rPr>
      </w:pPr>
      <w:r>
        <w:rPr>
          <w:rFonts w:ascii="Times New Roman" w:hAnsi="Times New Roman" w:eastAsia="仿宋_GB2312"/>
          <w:b/>
          <w:bCs/>
          <w:sz w:val="32"/>
          <w:szCs w:val="32"/>
        </w:rPr>
        <w:t>报告撰写与反馈</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pageBreakBefore w:val="0"/>
        <w:numPr>
          <w:ilvl w:val="0"/>
          <w:numId w:val="5"/>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rPr>
      </w:pPr>
      <w:r>
        <w:rPr>
          <w:rFonts w:ascii="Times New Roman" w:hAnsi="Times New Roman" w:eastAsia="仿宋_GB2312"/>
          <w:b/>
          <w:bCs/>
          <w:sz w:val="32"/>
          <w:szCs w:val="32"/>
        </w:rPr>
        <w:t>后续跟踪与改进</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pageBreakBefore w:val="0"/>
        <w:numPr>
          <w:ilvl w:val="0"/>
          <w:numId w:val="6"/>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综合评价情况及评价结论（附相关评分表）</w:t>
      </w:r>
    </w:p>
    <w:p>
      <w:pPr>
        <w:pStyle w:val="2"/>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ascii="Times New Roman" w:hAnsi="Times New Roman" w:eastAsia="仿宋_GB2312"/>
          <w:sz w:val="32"/>
        </w:rPr>
      </w:pPr>
      <w:r>
        <w:rPr>
          <w:rFonts w:ascii="Times New Roman" w:hAnsi="Times New Roman" w:eastAsia="仿宋_GB2312"/>
          <w:sz w:val="32"/>
        </w:rPr>
        <w:t>（一）评价情况</w:t>
      </w:r>
    </w:p>
    <w:p>
      <w:pPr>
        <w:pageBreakBefore w:val="0"/>
        <w:kinsoku/>
        <w:wordWrap/>
        <w:overflowPunct/>
        <w:topLinePunct w:val="0"/>
        <w:autoSpaceDE/>
        <w:autoSpaceDN/>
        <w:bidi w:val="0"/>
        <w:adjustRightInd/>
        <w:snapToGrid/>
        <w:spacing w:line="560" w:lineRule="exact"/>
        <w:ind w:firstLine="640"/>
        <w:textAlignment w:val="auto"/>
        <w:rPr>
          <w:rFonts w:ascii="Times New Roman" w:hAnsi="Times New Roman" w:eastAsia="仿宋_GB2312"/>
          <w:color w:val="0000FF"/>
          <w:sz w:val="32"/>
        </w:rPr>
      </w:pPr>
      <w:r>
        <w:rPr>
          <w:rFonts w:ascii="Times New Roman" w:hAnsi="Times New Roman" w:eastAsia="仿宋_GB2312"/>
          <w:sz w:val="32"/>
          <w:szCs w:val="32"/>
        </w:rPr>
        <w:t>本项目的综合评价基于对项目各方面绩效的深入分析与评估。从项目目标的达成情况来看，</w:t>
      </w:r>
      <w:r>
        <w:rPr>
          <w:rFonts w:hint="eastAsia" w:ascii="Times New Roman" w:hAnsi="Times New Roman" w:eastAsia="仿宋_GB2312"/>
          <w:sz w:val="32"/>
          <w:szCs w:val="32"/>
        </w:rPr>
        <w:t>全疆考试考务运维工作经费项目在数量指标、质量指标、时效指标</w:t>
      </w:r>
      <w:r>
        <w:rPr>
          <w:rFonts w:ascii="Times New Roman" w:hAnsi="Times New Roman" w:eastAsia="仿宋_GB2312"/>
          <w:sz w:val="32"/>
          <w:szCs w:val="32"/>
        </w:rPr>
        <w:t>等方面表现出色，达到了预期的标准与要求。同时，项目也在</w:t>
      </w:r>
      <w:r>
        <w:rPr>
          <w:rFonts w:hint="eastAsia" w:ascii="Times New Roman" w:hAnsi="Times New Roman" w:eastAsia="仿宋_GB2312"/>
          <w:sz w:val="32"/>
          <w:szCs w:val="32"/>
        </w:rPr>
        <w:t>面向社会及</w:t>
      </w:r>
      <w:r>
        <w:rPr>
          <w:rFonts w:hint="eastAsia" w:ascii="Times New Roman" w:hAnsi="Times New Roman" w:eastAsia="仿宋_GB2312" w:cs="仿宋_GB2312"/>
          <w:sz w:val="32"/>
          <w:szCs w:val="32"/>
        </w:rPr>
        <w:t>全疆40多所中职院校及大中专学生中</w:t>
      </w:r>
      <w:r>
        <w:rPr>
          <w:rFonts w:ascii="Times New Roman" w:hAnsi="Times New Roman" w:eastAsia="仿宋_GB2312"/>
          <w:sz w:val="32"/>
          <w:szCs w:val="32"/>
        </w:rPr>
        <w:t>取得了显著的成效，</w:t>
      </w:r>
      <w:r>
        <w:rPr>
          <w:rFonts w:hint="eastAsia" w:ascii="Times New Roman" w:hAnsi="Times New Roman" w:eastAsia="仿宋_GB2312" w:cs="仿宋_GB2312"/>
          <w:sz w:val="32"/>
          <w:szCs w:val="32"/>
        </w:rPr>
        <w:t>提升信息技术操作水平和能力，提高学生毕业后就业保障，推动电子数据处理能力，适应不断高速发展的信息技术。</w:t>
      </w:r>
    </w:p>
    <w:p>
      <w:pPr>
        <w:pStyle w:val="1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在项目管理方面，</w:t>
      </w:r>
      <w:r>
        <w:rPr>
          <w:rFonts w:hint="eastAsia" w:ascii="Times New Roman" w:hAnsi="Times New Roman" w:eastAsia="仿宋_GB2312"/>
          <w:sz w:val="32"/>
          <w:szCs w:val="32"/>
        </w:rPr>
        <w:t>新疆维吾尔自治区工业和信息化培训中心</w:t>
      </w:r>
      <w:r>
        <w:rPr>
          <w:rFonts w:ascii="Times New Roman" w:hAnsi="Times New Roman" w:eastAsia="仿宋_GB2312"/>
          <w:sz w:val="32"/>
          <w:szCs w:val="32"/>
        </w:rPr>
        <w:t>通过有效的规划、组织与协调，项目得以顺利实施，并在预算与时间上保持了良好的控制。</w:t>
      </w:r>
    </w:p>
    <w:p>
      <w:pPr>
        <w:pStyle w:val="1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从项目效益的角度来看，本项目不仅实现了预期的社会效益、</w:t>
      </w:r>
      <w:r>
        <w:rPr>
          <w:rFonts w:hint="eastAsia" w:ascii="Times New Roman" w:hAnsi="Times New Roman" w:eastAsia="仿宋_GB2312"/>
          <w:sz w:val="32"/>
          <w:szCs w:val="32"/>
        </w:rPr>
        <w:t>经济效益</w:t>
      </w:r>
      <w:r>
        <w:rPr>
          <w:rFonts w:ascii="Times New Roman" w:hAnsi="Times New Roman" w:eastAsia="仿宋_GB2312"/>
          <w:sz w:val="32"/>
          <w:szCs w:val="32"/>
        </w:rPr>
        <w:t>等方面产生了积极的影响。具体而言，</w:t>
      </w:r>
      <w:r>
        <w:rPr>
          <w:rFonts w:hint="eastAsia" w:ascii="Times New Roman" w:hAnsi="Times New Roman" w:eastAsia="仿宋_GB2312"/>
          <w:sz w:val="32"/>
          <w:szCs w:val="32"/>
        </w:rPr>
        <w:t>信息技术应用水平、提高学生毕业后的就业保障</w:t>
      </w:r>
      <w:r>
        <w:rPr>
          <w:rFonts w:ascii="Times New Roman" w:hAnsi="Times New Roman" w:eastAsia="仿宋_GB2312"/>
          <w:sz w:val="32"/>
          <w:szCs w:val="32"/>
        </w:rPr>
        <w:t>等方面的提升，为项目的利益相关者带来了实实在在的利益。</w:t>
      </w:r>
    </w:p>
    <w:p>
      <w:pPr>
        <w:pStyle w:val="10"/>
        <w:pageBreakBefore w:val="0"/>
        <w:widowControl/>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eastAsia="仿宋_GB2312"/>
          <w:sz w:val="32"/>
        </w:rPr>
      </w:pPr>
      <w:r>
        <w:rPr>
          <w:rFonts w:ascii="Times New Roman" w:hAnsi="Times New Roman" w:eastAsia="仿宋_GB2312"/>
          <w:sz w:val="32"/>
          <w:szCs w:val="32"/>
        </w:rPr>
        <w:t>综上所述，</w:t>
      </w:r>
      <w:r>
        <w:rPr>
          <w:rFonts w:hint="eastAsia" w:ascii="Times New Roman" w:hAnsi="Times New Roman" w:eastAsia="仿宋_GB2312"/>
          <w:sz w:val="32"/>
          <w:szCs w:val="32"/>
        </w:rPr>
        <w:t>全疆考试考务运维工作经费项目</w:t>
      </w:r>
      <w:r>
        <w:rPr>
          <w:rFonts w:ascii="Times New Roman" w:hAnsi="Times New Roman" w:eastAsia="仿宋_GB2312"/>
          <w:sz w:val="32"/>
          <w:szCs w:val="32"/>
        </w:rPr>
        <w:t>在绩效评价中表现出色，达到了项目的预期目标，并在多个方面取得了显著的成效。</w:t>
      </w:r>
    </w:p>
    <w:p>
      <w:pPr>
        <w:pStyle w:val="2"/>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ascii="Times New Roman" w:hAnsi="Times New Roman" w:eastAsia="仿宋_GB2312"/>
          <w:sz w:val="32"/>
        </w:rPr>
      </w:pPr>
      <w:r>
        <w:rPr>
          <w:rFonts w:ascii="Times New Roman" w:hAnsi="Times New Roman" w:eastAsia="仿宋_GB2312"/>
          <w:sz w:val="32"/>
        </w:rPr>
        <w:t>（二）评价结论</w:t>
      </w:r>
    </w:p>
    <w:p>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sz w:val="32"/>
        </w:rPr>
      </w:pPr>
      <w:r>
        <w:rPr>
          <w:rFonts w:ascii="Times New Roman" w:hAnsi="Times New Roman" w:eastAsia="仿宋_GB2312"/>
          <w:b w:val="0"/>
          <w:bCs w:val="0"/>
          <w:sz w:val="32"/>
        </w:rPr>
        <w:t>运用绩效评价组制定的评价指标体系以及财政部《项目支出绩效评价管理办法》（财预〔2020〕10号）文件的评分标准，通过数据采集、问卷调查及访谈等方式，对本项目进行客</w:t>
      </w:r>
      <w:r>
        <w:rPr>
          <w:rFonts w:ascii="Times New Roman" w:hAnsi="Times New Roman" w:eastAsia="仿宋_GB2312"/>
          <w:b w:val="0"/>
          <w:bCs w:val="0"/>
          <w:sz w:val="32"/>
          <w:highlight w:val="none"/>
        </w:rPr>
        <w:t>观评价，最终评分结果：总得分为</w:t>
      </w:r>
      <w:r>
        <w:rPr>
          <w:rFonts w:hint="eastAsia" w:ascii="Times New Roman" w:hAnsi="Times New Roman" w:eastAsia="仿宋_GB2312"/>
          <w:b w:val="0"/>
          <w:bCs w:val="0"/>
          <w:sz w:val="32"/>
          <w:highlight w:val="none"/>
        </w:rPr>
        <w:t>98</w:t>
      </w:r>
      <w:r>
        <w:rPr>
          <w:rFonts w:ascii="Times New Roman" w:hAnsi="Times New Roman" w:eastAsia="仿宋_GB2312"/>
          <w:b w:val="0"/>
          <w:bCs w:val="0"/>
          <w:sz w:val="32"/>
          <w:highlight w:val="none"/>
        </w:rPr>
        <w:t xml:space="preserve">分，属于“优”。其中，项目决策类指标权重为20分，得分为 </w:t>
      </w:r>
      <w:r>
        <w:rPr>
          <w:rFonts w:hint="eastAsia" w:ascii="Times New Roman" w:hAnsi="Times New Roman" w:eastAsia="仿宋_GB2312"/>
          <w:b w:val="0"/>
          <w:bCs w:val="0"/>
          <w:sz w:val="32"/>
          <w:highlight w:val="none"/>
        </w:rPr>
        <w:t>20</w:t>
      </w:r>
      <w:r>
        <w:rPr>
          <w:rFonts w:ascii="Times New Roman" w:hAnsi="Times New Roman" w:eastAsia="仿宋_GB2312"/>
          <w:b w:val="0"/>
          <w:bCs w:val="0"/>
          <w:sz w:val="32"/>
          <w:highlight w:val="none"/>
        </w:rPr>
        <w:t xml:space="preserve">分，得分率为 </w:t>
      </w:r>
      <w:r>
        <w:rPr>
          <w:rFonts w:hint="eastAsia" w:ascii="Times New Roman" w:hAnsi="Times New Roman" w:eastAsia="仿宋_GB2312"/>
          <w:b w:val="0"/>
          <w:bCs w:val="0"/>
          <w:sz w:val="32"/>
          <w:highlight w:val="none"/>
        </w:rPr>
        <w:t>100</w:t>
      </w:r>
      <w:r>
        <w:rPr>
          <w:rFonts w:ascii="Times New Roman" w:hAnsi="Times New Roman" w:eastAsia="仿宋_GB2312"/>
          <w:b w:val="0"/>
          <w:bCs w:val="0"/>
          <w:sz w:val="32"/>
          <w:highlight w:val="none"/>
        </w:rPr>
        <w:t>%。项目过程类指标权重为20分，得分为</w:t>
      </w:r>
      <w:r>
        <w:rPr>
          <w:rFonts w:hint="eastAsia" w:ascii="Times New Roman" w:hAnsi="Times New Roman" w:eastAsia="仿宋_GB2312"/>
          <w:b w:val="0"/>
          <w:bCs w:val="0"/>
          <w:sz w:val="32"/>
          <w:highlight w:val="none"/>
        </w:rPr>
        <w:t>1</w:t>
      </w:r>
      <w:r>
        <w:rPr>
          <w:rFonts w:hint="eastAsia" w:ascii="Times New Roman" w:hAnsi="Times New Roman" w:eastAsia="仿宋_GB2312"/>
          <w:b w:val="0"/>
          <w:bCs w:val="0"/>
          <w:sz w:val="32"/>
          <w:highlight w:val="none"/>
          <w:lang w:val="en-US" w:eastAsia="zh-CN"/>
        </w:rPr>
        <w:t>8</w:t>
      </w:r>
      <w:r>
        <w:rPr>
          <w:rFonts w:ascii="Times New Roman" w:hAnsi="Times New Roman" w:eastAsia="仿宋_GB2312"/>
          <w:b w:val="0"/>
          <w:bCs w:val="0"/>
          <w:sz w:val="32"/>
          <w:highlight w:val="none"/>
        </w:rPr>
        <w:t>分，得分率为</w:t>
      </w:r>
      <w:r>
        <w:rPr>
          <w:rFonts w:hint="eastAsia" w:ascii="Times New Roman" w:hAnsi="Times New Roman" w:eastAsia="仿宋_GB2312"/>
          <w:b w:val="0"/>
          <w:bCs w:val="0"/>
          <w:sz w:val="32"/>
          <w:highlight w:val="none"/>
          <w:lang w:val="en-US" w:eastAsia="zh-CN"/>
        </w:rPr>
        <w:t>90</w:t>
      </w:r>
      <w:r>
        <w:rPr>
          <w:rFonts w:ascii="Times New Roman" w:hAnsi="Times New Roman" w:eastAsia="仿宋_GB2312"/>
          <w:b w:val="0"/>
          <w:bCs w:val="0"/>
          <w:sz w:val="32"/>
          <w:highlight w:val="none"/>
        </w:rPr>
        <w:t>%。项目产出类指标权重为40分，得分为</w:t>
      </w:r>
      <w:r>
        <w:rPr>
          <w:rFonts w:hint="eastAsia" w:ascii="Times New Roman" w:hAnsi="Times New Roman" w:eastAsia="仿宋_GB2312"/>
          <w:b w:val="0"/>
          <w:bCs w:val="0"/>
          <w:sz w:val="32"/>
          <w:highlight w:val="none"/>
          <w:lang w:val="en-US" w:eastAsia="zh-CN"/>
        </w:rPr>
        <w:t>40</w:t>
      </w:r>
      <w:r>
        <w:rPr>
          <w:rFonts w:ascii="Times New Roman" w:hAnsi="Times New Roman" w:eastAsia="仿宋_GB2312"/>
          <w:b w:val="0"/>
          <w:bCs w:val="0"/>
          <w:sz w:val="32"/>
          <w:highlight w:val="none"/>
        </w:rPr>
        <w:t>分，得分率为</w:t>
      </w:r>
      <w:r>
        <w:rPr>
          <w:rFonts w:hint="eastAsia" w:ascii="Times New Roman" w:hAnsi="Times New Roman" w:eastAsia="仿宋_GB2312"/>
          <w:b w:val="0"/>
          <w:bCs w:val="0"/>
          <w:sz w:val="32"/>
          <w:highlight w:val="none"/>
          <w:lang w:val="en-US" w:eastAsia="zh-CN"/>
        </w:rPr>
        <w:t>100</w:t>
      </w:r>
      <w:r>
        <w:rPr>
          <w:rFonts w:ascii="Times New Roman" w:hAnsi="Times New Roman" w:eastAsia="仿宋_GB2312"/>
          <w:b w:val="0"/>
          <w:bCs w:val="0"/>
          <w:sz w:val="32"/>
          <w:highlight w:val="none"/>
        </w:rPr>
        <w:t>%。项目效益类指标权重为20分，得分为</w:t>
      </w:r>
      <w:r>
        <w:rPr>
          <w:rFonts w:hint="eastAsia" w:ascii="Times New Roman" w:hAnsi="Times New Roman" w:eastAsia="仿宋_GB2312"/>
          <w:b w:val="0"/>
          <w:bCs w:val="0"/>
          <w:sz w:val="32"/>
          <w:highlight w:val="none"/>
        </w:rPr>
        <w:t>20</w:t>
      </w:r>
      <w:r>
        <w:rPr>
          <w:rFonts w:ascii="Times New Roman" w:hAnsi="Times New Roman" w:eastAsia="仿宋_GB2312"/>
          <w:b w:val="0"/>
          <w:bCs w:val="0"/>
          <w:sz w:val="32"/>
          <w:highlight w:val="none"/>
        </w:rPr>
        <w:t>分，得分率为</w:t>
      </w:r>
      <w:r>
        <w:rPr>
          <w:rFonts w:hint="eastAsia" w:ascii="Times New Roman" w:hAnsi="Times New Roman" w:eastAsia="仿宋_GB2312"/>
          <w:b w:val="0"/>
          <w:bCs w:val="0"/>
          <w:sz w:val="32"/>
          <w:highlight w:val="none"/>
        </w:rPr>
        <w:t>100</w:t>
      </w:r>
      <w:r>
        <w:rPr>
          <w:rFonts w:ascii="Times New Roman" w:hAnsi="Times New Roman" w:eastAsia="仿宋_GB2312"/>
          <w:b w:val="0"/>
          <w:bCs w:val="0"/>
          <w:sz w:val="32"/>
          <w:highlight w:val="none"/>
        </w:rPr>
        <w:t>%。</w:t>
      </w:r>
      <w:r>
        <w:rPr>
          <w:rFonts w:ascii="Times New Roman" w:hAnsi="Times New Roman" w:eastAsia="仿宋_GB2312"/>
          <w:b w:val="0"/>
          <w:bCs w:val="0"/>
          <w:sz w:val="32"/>
        </w:rPr>
        <w:t>具体打分情况详见：附件1综合评分表。</w:t>
      </w:r>
    </w:p>
    <w:p>
      <w:pPr>
        <w:pStyle w:val="2"/>
        <w:pageBreakBefore w:val="0"/>
        <w:kinsoku/>
        <w:wordWrap/>
        <w:overflowPunct/>
        <w:topLinePunct w:val="0"/>
        <w:autoSpaceDE/>
        <w:autoSpaceDN/>
        <w:bidi w:val="0"/>
        <w:adjustRightInd/>
        <w:snapToGrid/>
        <w:spacing w:before="0" w:after="0" w:line="560" w:lineRule="exact"/>
        <w:textAlignment w:val="auto"/>
        <w:rPr>
          <w:rFonts w:ascii="Times New Roman" w:hAnsi="Times New Roman" w:eastAsia="仿宋_GB2312"/>
          <w:sz w:val="32"/>
          <w:szCs w:val="21"/>
        </w:rPr>
      </w:pPr>
      <w:r>
        <w:rPr>
          <w:rFonts w:ascii="Times New Roman" w:hAnsi="Times New Roman" w:eastAsia="仿宋_GB2312"/>
          <w:sz w:val="32"/>
          <w:szCs w:val="21"/>
        </w:rPr>
        <w:t>表1综合评分表</w:t>
      </w:r>
    </w:p>
    <w:tbl>
      <w:tblPr>
        <w:tblStyle w:val="14"/>
        <w:tblW w:w="9059" w:type="dxa"/>
        <w:jc w:val="center"/>
        <w:tblInd w:w="0" w:type="dxa"/>
        <w:tblLayout w:type="fixed"/>
        <w:tblCellMar>
          <w:top w:w="0" w:type="dxa"/>
          <w:left w:w="108" w:type="dxa"/>
          <w:bottom w:w="0" w:type="dxa"/>
          <w:right w:w="108" w:type="dxa"/>
        </w:tblCellMar>
      </w:tblPr>
      <w:tblGrid>
        <w:gridCol w:w="3747"/>
        <w:gridCol w:w="2590"/>
        <w:gridCol w:w="2722"/>
      </w:tblGrid>
      <w:tr>
        <w:tblPrEx>
          <w:tblLayout w:type="fixed"/>
          <w:tblCellMar>
            <w:top w:w="0" w:type="dxa"/>
            <w:left w:w="108" w:type="dxa"/>
            <w:bottom w:w="0" w:type="dxa"/>
            <w:right w:w="108" w:type="dxa"/>
          </w:tblCellMar>
        </w:tblPrEx>
        <w:trPr>
          <w:trHeight w:val="90" w:hRule="atLeast"/>
          <w:tblHeader/>
          <w:jc w:val="center"/>
        </w:trPr>
        <w:tc>
          <w:tcPr>
            <w:tcW w:w="374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b/>
                <w:bCs/>
                <w:color w:val="000000"/>
                <w:sz w:val="32"/>
                <w:szCs w:val="21"/>
              </w:rPr>
            </w:pPr>
            <w:r>
              <w:rPr>
                <w:rFonts w:ascii="Times New Roman" w:hAnsi="Times New Roman" w:eastAsia="仿宋_GB2312"/>
                <w:b/>
                <w:bCs/>
                <w:color w:val="000000"/>
                <w:sz w:val="32"/>
                <w:szCs w:val="21"/>
              </w:rPr>
              <w:t>一级指标</w:t>
            </w:r>
          </w:p>
        </w:tc>
        <w:tc>
          <w:tcPr>
            <w:tcW w:w="2590"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b/>
                <w:bCs/>
                <w:color w:val="000000"/>
                <w:sz w:val="32"/>
                <w:szCs w:val="21"/>
              </w:rPr>
            </w:pPr>
            <w:r>
              <w:rPr>
                <w:rFonts w:ascii="Times New Roman" w:hAnsi="Times New Roman" w:eastAsia="仿宋_GB2312"/>
                <w:b/>
                <w:bCs/>
                <w:color w:val="000000"/>
                <w:sz w:val="32"/>
                <w:szCs w:val="21"/>
              </w:rPr>
              <w:t>权重分</w:t>
            </w:r>
          </w:p>
        </w:tc>
        <w:tc>
          <w:tcPr>
            <w:tcW w:w="2722"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b/>
                <w:bCs/>
                <w:color w:val="000000"/>
                <w:sz w:val="32"/>
                <w:szCs w:val="21"/>
              </w:rPr>
            </w:pPr>
            <w:r>
              <w:rPr>
                <w:rFonts w:ascii="Times New Roman" w:hAnsi="Times New Roman" w:eastAsia="仿宋_GB2312"/>
                <w:b/>
                <w:bCs/>
                <w:color w:val="000000"/>
                <w:sz w:val="32"/>
                <w:szCs w:val="21"/>
              </w:rPr>
              <w:t>得分</w:t>
            </w:r>
          </w:p>
        </w:tc>
      </w:tr>
      <w:tr>
        <w:tblPrEx>
          <w:tblLayout w:type="fixed"/>
          <w:tblCellMar>
            <w:top w:w="0" w:type="dxa"/>
            <w:left w:w="108" w:type="dxa"/>
            <w:bottom w:w="0" w:type="dxa"/>
            <w:right w:w="108" w:type="dxa"/>
          </w:tblCellMar>
        </w:tblPrEx>
        <w:trPr>
          <w:trHeight w:val="340" w:hRule="atLeast"/>
          <w:jc w:val="center"/>
        </w:trPr>
        <w:tc>
          <w:tcPr>
            <w:tcW w:w="374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olor w:val="000000"/>
                <w:sz w:val="32"/>
                <w:szCs w:val="21"/>
              </w:rPr>
            </w:pPr>
            <w:r>
              <w:rPr>
                <w:rFonts w:ascii="Times New Roman" w:hAnsi="Times New Roman" w:eastAsia="仿宋_GB2312"/>
                <w:color w:val="000000"/>
                <w:sz w:val="32"/>
                <w:szCs w:val="21"/>
              </w:rPr>
              <w:t>项目决策</w:t>
            </w:r>
          </w:p>
        </w:tc>
        <w:tc>
          <w:tcPr>
            <w:tcW w:w="2590"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olor w:val="000000"/>
                <w:sz w:val="32"/>
                <w:szCs w:val="21"/>
              </w:rPr>
            </w:pPr>
            <w:r>
              <w:rPr>
                <w:rFonts w:ascii="Times New Roman" w:hAnsi="Times New Roman" w:eastAsia="仿宋_GB2312"/>
                <w:color w:val="000000"/>
                <w:sz w:val="32"/>
                <w:szCs w:val="21"/>
              </w:rPr>
              <w:t>20</w:t>
            </w:r>
          </w:p>
        </w:tc>
        <w:tc>
          <w:tcPr>
            <w:tcW w:w="2722"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olor w:val="000000"/>
                <w:sz w:val="32"/>
                <w:szCs w:val="21"/>
              </w:rPr>
            </w:pPr>
            <w:r>
              <w:rPr>
                <w:rFonts w:hint="eastAsia" w:ascii="Times New Roman" w:hAnsi="Times New Roman" w:eastAsia="仿宋_GB2312"/>
                <w:color w:val="000000"/>
                <w:sz w:val="32"/>
                <w:szCs w:val="21"/>
              </w:rPr>
              <w:t>20</w:t>
            </w:r>
          </w:p>
        </w:tc>
      </w:tr>
      <w:tr>
        <w:tblPrEx>
          <w:tblLayout w:type="fixed"/>
          <w:tblCellMar>
            <w:top w:w="0" w:type="dxa"/>
            <w:left w:w="108" w:type="dxa"/>
            <w:bottom w:w="0" w:type="dxa"/>
            <w:right w:w="108" w:type="dxa"/>
          </w:tblCellMar>
        </w:tblPrEx>
        <w:trPr>
          <w:trHeight w:val="340" w:hRule="atLeast"/>
          <w:jc w:val="center"/>
        </w:trPr>
        <w:tc>
          <w:tcPr>
            <w:tcW w:w="374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olor w:val="000000"/>
                <w:sz w:val="32"/>
                <w:szCs w:val="21"/>
              </w:rPr>
            </w:pPr>
            <w:r>
              <w:rPr>
                <w:rFonts w:ascii="Times New Roman" w:hAnsi="Times New Roman" w:eastAsia="仿宋_GB2312"/>
                <w:color w:val="000000"/>
                <w:sz w:val="32"/>
                <w:szCs w:val="21"/>
              </w:rPr>
              <w:t>项目过程</w:t>
            </w:r>
          </w:p>
        </w:tc>
        <w:tc>
          <w:tcPr>
            <w:tcW w:w="2590"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olor w:val="000000"/>
                <w:sz w:val="32"/>
                <w:szCs w:val="21"/>
              </w:rPr>
            </w:pPr>
            <w:r>
              <w:rPr>
                <w:rFonts w:ascii="Times New Roman" w:hAnsi="Times New Roman" w:eastAsia="仿宋_GB2312"/>
                <w:color w:val="000000"/>
                <w:sz w:val="32"/>
                <w:szCs w:val="21"/>
              </w:rPr>
              <w:t>20</w:t>
            </w:r>
          </w:p>
        </w:tc>
        <w:tc>
          <w:tcPr>
            <w:tcW w:w="2722"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olor w:val="000000"/>
                <w:sz w:val="32"/>
                <w:szCs w:val="21"/>
                <w:lang w:val="en-US" w:eastAsia="zh-CN"/>
              </w:rPr>
            </w:pPr>
            <w:r>
              <w:rPr>
                <w:rFonts w:hint="eastAsia" w:ascii="Times New Roman" w:hAnsi="Times New Roman" w:eastAsia="仿宋_GB2312"/>
                <w:color w:val="000000"/>
                <w:sz w:val="32"/>
                <w:szCs w:val="21"/>
              </w:rPr>
              <w:t>1</w:t>
            </w:r>
            <w:r>
              <w:rPr>
                <w:rFonts w:hint="eastAsia" w:ascii="Times New Roman" w:hAnsi="Times New Roman" w:eastAsia="仿宋_GB2312"/>
                <w:color w:val="000000"/>
                <w:sz w:val="32"/>
                <w:szCs w:val="21"/>
                <w:lang w:val="en-US" w:eastAsia="zh-CN"/>
              </w:rPr>
              <w:t>8</w:t>
            </w:r>
          </w:p>
        </w:tc>
      </w:tr>
      <w:tr>
        <w:tblPrEx>
          <w:tblLayout w:type="fixed"/>
          <w:tblCellMar>
            <w:top w:w="0" w:type="dxa"/>
            <w:left w:w="108" w:type="dxa"/>
            <w:bottom w:w="0" w:type="dxa"/>
            <w:right w:w="108" w:type="dxa"/>
          </w:tblCellMar>
        </w:tblPrEx>
        <w:trPr>
          <w:trHeight w:val="340" w:hRule="atLeast"/>
          <w:jc w:val="center"/>
        </w:trPr>
        <w:tc>
          <w:tcPr>
            <w:tcW w:w="374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olor w:val="000000"/>
                <w:sz w:val="32"/>
                <w:szCs w:val="21"/>
              </w:rPr>
            </w:pPr>
            <w:r>
              <w:rPr>
                <w:rFonts w:ascii="Times New Roman" w:hAnsi="Times New Roman" w:eastAsia="仿宋_GB2312"/>
                <w:color w:val="000000"/>
                <w:sz w:val="32"/>
                <w:szCs w:val="21"/>
              </w:rPr>
              <w:t>项目产出</w:t>
            </w:r>
          </w:p>
        </w:tc>
        <w:tc>
          <w:tcPr>
            <w:tcW w:w="2590"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olor w:val="000000"/>
                <w:sz w:val="32"/>
                <w:szCs w:val="21"/>
              </w:rPr>
            </w:pPr>
            <w:r>
              <w:rPr>
                <w:rFonts w:ascii="Times New Roman" w:hAnsi="Times New Roman" w:eastAsia="仿宋_GB2312"/>
                <w:color w:val="000000"/>
                <w:sz w:val="32"/>
                <w:szCs w:val="21"/>
              </w:rPr>
              <w:t>40</w:t>
            </w:r>
          </w:p>
        </w:tc>
        <w:tc>
          <w:tcPr>
            <w:tcW w:w="2722"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olor w:val="000000"/>
                <w:sz w:val="32"/>
                <w:szCs w:val="21"/>
                <w:lang w:val="en-US" w:eastAsia="zh-CN"/>
              </w:rPr>
            </w:pPr>
            <w:r>
              <w:rPr>
                <w:rFonts w:hint="eastAsia" w:ascii="Times New Roman" w:hAnsi="Times New Roman" w:eastAsia="仿宋_GB2312"/>
                <w:color w:val="000000"/>
                <w:sz w:val="32"/>
                <w:szCs w:val="21"/>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74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olor w:val="000000"/>
                <w:sz w:val="32"/>
                <w:szCs w:val="21"/>
              </w:rPr>
            </w:pPr>
            <w:r>
              <w:rPr>
                <w:rFonts w:ascii="Times New Roman" w:hAnsi="Times New Roman" w:eastAsia="仿宋_GB2312"/>
                <w:color w:val="000000"/>
                <w:sz w:val="32"/>
                <w:szCs w:val="21"/>
              </w:rPr>
              <w:t>项目效益</w:t>
            </w:r>
          </w:p>
        </w:tc>
        <w:tc>
          <w:tcPr>
            <w:tcW w:w="2590"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olor w:val="000000"/>
                <w:sz w:val="32"/>
                <w:szCs w:val="21"/>
              </w:rPr>
            </w:pPr>
            <w:r>
              <w:rPr>
                <w:rFonts w:ascii="Times New Roman" w:hAnsi="Times New Roman" w:eastAsia="仿宋_GB2312"/>
                <w:color w:val="000000"/>
                <w:sz w:val="32"/>
                <w:szCs w:val="21"/>
              </w:rPr>
              <w:t>20</w:t>
            </w:r>
          </w:p>
        </w:tc>
        <w:tc>
          <w:tcPr>
            <w:tcW w:w="2722"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olor w:val="000000"/>
                <w:sz w:val="32"/>
                <w:szCs w:val="21"/>
              </w:rPr>
            </w:pPr>
            <w:r>
              <w:rPr>
                <w:rFonts w:hint="eastAsia" w:ascii="Times New Roman" w:hAnsi="Times New Roman" w:eastAsia="仿宋_GB2312"/>
                <w:color w:val="000000"/>
                <w:sz w:val="32"/>
                <w:szCs w:val="21"/>
              </w:rPr>
              <w:t>20</w:t>
            </w:r>
          </w:p>
        </w:tc>
      </w:tr>
      <w:tr>
        <w:tblPrEx>
          <w:tblLayout w:type="fixed"/>
          <w:tblCellMar>
            <w:top w:w="0" w:type="dxa"/>
            <w:left w:w="108" w:type="dxa"/>
            <w:bottom w:w="0" w:type="dxa"/>
            <w:right w:w="108" w:type="dxa"/>
          </w:tblCellMar>
        </w:tblPrEx>
        <w:trPr>
          <w:trHeight w:val="340" w:hRule="atLeast"/>
          <w:jc w:val="center"/>
        </w:trPr>
        <w:tc>
          <w:tcPr>
            <w:tcW w:w="374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b/>
                <w:bCs/>
                <w:color w:val="000000"/>
                <w:sz w:val="32"/>
                <w:szCs w:val="21"/>
              </w:rPr>
            </w:pPr>
            <w:r>
              <w:rPr>
                <w:rFonts w:ascii="Times New Roman" w:hAnsi="Times New Roman" w:eastAsia="仿宋_GB2312"/>
                <w:b/>
                <w:bCs/>
                <w:color w:val="000000"/>
                <w:sz w:val="32"/>
                <w:szCs w:val="21"/>
              </w:rPr>
              <w:t>合计</w:t>
            </w:r>
          </w:p>
        </w:tc>
        <w:tc>
          <w:tcPr>
            <w:tcW w:w="2590"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b/>
                <w:bCs/>
                <w:color w:val="000000"/>
                <w:sz w:val="32"/>
                <w:szCs w:val="21"/>
              </w:rPr>
            </w:pPr>
            <w:r>
              <w:rPr>
                <w:rFonts w:ascii="Times New Roman" w:hAnsi="Times New Roman" w:eastAsia="仿宋_GB2312"/>
                <w:b/>
                <w:bCs/>
                <w:color w:val="000000"/>
                <w:sz w:val="32"/>
                <w:szCs w:val="21"/>
              </w:rPr>
              <w:t>100</w:t>
            </w:r>
          </w:p>
        </w:tc>
        <w:tc>
          <w:tcPr>
            <w:tcW w:w="2722"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b/>
                <w:bCs/>
                <w:color w:val="000000"/>
                <w:sz w:val="32"/>
                <w:szCs w:val="21"/>
              </w:rPr>
            </w:pPr>
            <w:r>
              <w:rPr>
                <w:rFonts w:hint="eastAsia" w:ascii="Times New Roman" w:hAnsi="Times New Roman" w:eastAsia="仿宋_GB2312"/>
                <w:b/>
                <w:bCs/>
                <w:color w:val="000000"/>
                <w:sz w:val="32"/>
                <w:szCs w:val="21"/>
              </w:rPr>
              <w:t>98</w:t>
            </w:r>
          </w:p>
        </w:tc>
      </w:tr>
    </w:tbl>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四、绩效评价指标分析</w:t>
      </w:r>
    </w:p>
    <w:p>
      <w:pPr>
        <w:pStyle w:val="2"/>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ascii="Times New Roman" w:hAnsi="Times New Roman" w:eastAsia="仿宋_GB2312"/>
          <w:sz w:val="32"/>
        </w:rPr>
      </w:pPr>
      <w:r>
        <w:rPr>
          <w:rFonts w:ascii="Times New Roman" w:hAnsi="Times New Roman" w:eastAsia="仿宋_GB2312"/>
          <w:sz w:val="32"/>
        </w:rPr>
        <w:t>（一）项目决策情况</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项目决策类指标包括项目立项、绩效目标和资金投入三方面的内容，由</w:t>
      </w:r>
      <w:r>
        <w:rPr>
          <w:rFonts w:hint="eastAsia" w:ascii="Times New Roman" w:hAnsi="Times New Roman" w:eastAsia="仿宋_GB2312"/>
          <w:sz w:val="32"/>
          <w:szCs w:val="32"/>
          <w:lang w:val="en-US" w:eastAsia="zh-CN"/>
        </w:rPr>
        <w:t>6</w:t>
      </w:r>
      <w:r>
        <w:rPr>
          <w:rFonts w:ascii="Times New Roman" w:hAnsi="Times New Roman" w:eastAsia="仿宋_GB2312"/>
          <w:sz w:val="32"/>
          <w:szCs w:val="32"/>
        </w:rPr>
        <w:t>个三级指标构成，权重分值为20分，实际得分</w:t>
      </w:r>
      <w:r>
        <w:rPr>
          <w:rFonts w:hint="eastAsia" w:ascii="Times New Roman" w:hAnsi="Times New Roman" w:eastAsia="仿宋_GB2312"/>
          <w:sz w:val="32"/>
          <w:szCs w:val="32"/>
        </w:rPr>
        <w:t>20</w:t>
      </w:r>
      <w:r>
        <w:rPr>
          <w:rFonts w:ascii="Times New Roman" w:hAnsi="Times New Roman" w:eastAsia="仿宋_GB2312"/>
          <w:sz w:val="32"/>
          <w:szCs w:val="32"/>
        </w:rPr>
        <w:t>分，得分率为</w:t>
      </w:r>
      <w:r>
        <w:rPr>
          <w:rFonts w:hint="eastAsia" w:ascii="Times New Roman" w:hAnsi="Times New Roman" w:eastAsia="仿宋_GB2312"/>
          <w:sz w:val="32"/>
          <w:szCs w:val="32"/>
        </w:rPr>
        <w:t>100</w:t>
      </w:r>
      <w:r>
        <w:rPr>
          <w:rFonts w:ascii="Times New Roman" w:hAnsi="Times New Roman" w:eastAsia="仿宋_GB2312"/>
          <w:sz w:val="32"/>
          <w:szCs w:val="32"/>
        </w:rPr>
        <w:t>%。</w:t>
      </w:r>
    </w:p>
    <w:p>
      <w:pPr>
        <w:pStyle w:val="19"/>
        <w:pageBreakBefore w:val="0"/>
        <w:numPr>
          <w:ilvl w:val="0"/>
          <w:numId w:val="7"/>
        </w:numPr>
        <w:kinsoku/>
        <w:wordWrap/>
        <w:overflowPunct/>
        <w:topLinePunct w:val="0"/>
        <w:autoSpaceDE/>
        <w:autoSpaceDN/>
        <w:bidi w:val="0"/>
        <w:adjustRightInd/>
        <w:snapToGrid/>
        <w:spacing w:line="560" w:lineRule="exact"/>
        <w:ind w:firstLine="640"/>
        <w:textAlignment w:val="auto"/>
        <w:rPr>
          <w:rFonts w:ascii="Times New Roman" w:hAnsi="Times New Roman" w:eastAsia="仿宋_GB2312"/>
          <w:b/>
          <w:bCs/>
          <w:sz w:val="32"/>
          <w:szCs w:val="32"/>
        </w:rPr>
      </w:pPr>
      <w:r>
        <w:rPr>
          <w:rFonts w:ascii="Times New Roman" w:hAnsi="Times New Roman" w:eastAsia="仿宋_GB2312"/>
          <w:b/>
          <w:bCs/>
          <w:sz w:val="32"/>
          <w:szCs w:val="32"/>
        </w:rPr>
        <w:t>项目立项</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（1）立项依据充分性</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（2）立项程序规范性</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项目申请、设立过程符合相关要求，</w:t>
      </w:r>
      <w:r>
        <w:rPr>
          <w:rFonts w:ascii="Times New Roman" w:hAnsi="Times New Roman" w:eastAsia="仿宋_GB2312"/>
          <w:sz w:val="32"/>
          <w:szCs w:val="32"/>
          <w:lang w:eastAsia="zh-Hans"/>
        </w:rPr>
        <w:t>严格按照审批流程准备符合要求的文件、材料；</w:t>
      </w:r>
      <w:r>
        <w:rPr>
          <w:rFonts w:ascii="Times New Roman" w:hAnsi="Times New Roman" w:eastAsia="仿宋_GB2312"/>
          <w:sz w:val="32"/>
          <w:szCs w:val="32"/>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19"/>
        <w:pageBreakBefore w:val="0"/>
        <w:numPr>
          <w:ilvl w:val="0"/>
          <w:numId w:val="7"/>
        </w:numPr>
        <w:kinsoku/>
        <w:wordWrap/>
        <w:overflowPunct/>
        <w:topLinePunct w:val="0"/>
        <w:autoSpaceDE/>
        <w:autoSpaceDN/>
        <w:bidi w:val="0"/>
        <w:adjustRightInd/>
        <w:snapToGrid/>
        <w:spacing w:line="560" w:lineRule="exact"/>
        <w:ind w:firstLine="640"/>
        <w:textAlignment w:val="auto"/>
        <w:rPr>
          <w:rFonts w:ascii="Times New Roman" w:hAnsi="Times New Roman" w:eastAsia="仿宋_GB2312"/>
          <w:b/>
          <w:bCs/>
          <w:sz w:val="32"/>
          <w:szCs w:val="32"/>
        </w:rPr>
      </w:pPr>
      <w:r>
        <w:rPr>
          <w:rFonts w:ascii="Times New Roman" w:hAnsi="Times New Roman" w:eastAsia="仿宋_GB2312"/>
          <w:b/>
          <w:bCs/>
          <w:sz w:val="32"/>
          <w:szCs w:val="32"/>
        </w:rPr>
        <w:t>绩效目标</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（1）绩效目标合理性</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lang w:eastAsia="zh-Hans"/>
        </w:rPr>
        <w:t>年初结合实际工作内容</w:t>
      </w:r>
      <w:r>
        <w:rPr>
          <w:rFonts w:ascii="Times New Roman" w:hAnsi="Times New Roman" w:eastAsia="仿宋_GB2312"/>
          <w:sz w:val="32"/>
          <w:szCs w:val="32"/>
        </w:rPr>
        <w:t>设定绩效目标</w:t>
      </w:r>
      <w:r>
        <w:rPr>
          <w:rFonts w:ascii="Times New Roman" w:hAnsi="Times New Roman" w:eastAsia="仿宋_GB2312"/>
          <w:sz w:val="32"/>
          <w:szCs w:val="32"/>
          <w:lang w:eastAsia="zh-Hans"/>
        </w:rPr>
        <w:t>，绩效目标</w:t>
      </w:r>
      <w:r>
        <w:rPr>
          <w:rFonts w:ascii="Times New Roman" w:hAnsi="Times New Roman" w:eastAsia="仿宋_GB2312"/>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（2）绩效指标明确性</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项目设置了明确的预期产出效益和效果，将绩效目标细化分解为具体的绩效指标，绩效目标与项目目标任务数相对应，绩效目标设定的绩效指标清晰、细化、可衡量。</w:t>
      </w:r>
    </w:p>
    <w:p>
      <w:pPr>
        <w:pStyle w:val="19"/>
        <w:pageBreakBefore w:val="0"/>
        <w:numPr>
          <w:ilvl w:val="0"/>
          <w:numId w:val="7"/>
        </w:numPr>
        <w:kinsoku/>
        <w:wordWrap/>
        <w:overflowPunct/>
        <w:topLinePunct w:val="0"/>
        <w:autoSpaceDE/>
        <w:autoSpaceDN/>
        <w:bidi w:val="0"/>
        <w:adjustRightInd/>
        <w:snapToGrid/>
        <w:spacing w:line="560" w:lineRule="exact"/>
        <w:ind w:firstLine="640"/>
        <w:textAlignment w:val="auto"/>
        <w:rPr>
          <w:rFonts w:ascii="Times New Roman" w:hAnsi="Times New Roman" w:eastAsia="仿宋_GB2312"/>
          <w:b/>
          <w:bCs/>
          <w:sz w:val="32"/>
          <w:szCs w:val="32"/>
        </w:rPr>
      </w:pPr>
      <w:r>
        <w:rPr>
          <w:rFonts w:ascii="Times New Roman" w:hAnsi="Times New Roman" w:eastAsia="仿宋_GB2312"/>
          <w:b/>
          <w:bCs/>
          <w:sz w:val="32"/>
          <w:szCs w:val="32"/>
        </w:rPr>
        <w:t>资金投入</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（1）预算编制科学性</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（2）资金分配合理性</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2"/>
        <w:pageBreakBefore w:val="0"/>
        <w:numPr>
          <w:ilvl w:val="0"/>
          <w:numId w:val="8"/>
        </w:numPr>
        <w:kinsoku/>
        <w:wordWrap/>
        <w:overflowPunct/>
        <w:topLinePunct w:val="0"/>
        <w:autoSpaceDE/>
        <w:autoSpaceDN/>
        <w:bidi w:val="0"/>
        <w:adjustRightInd/>
        <w:snapToGrid/>
        <w:spacing w:before="0" w:after="0" w:line="560" w:lineRule="exact"/>
        <w:ind w:firstLine="643" w:firstLineChars="200"/>
        <w:jc w:val="both"/>
        <w:textAlignment w:val="auto"/>
        <w:rPr>
          <w:rFonts w:ascii="Times New Roman" w:hAnsi="Times New Roman" w:eastAsia="仿宋_GB2312"/>
          <w:sz w:val="32"/>
        </w:rPr>
      </w:pPr>
      <w:r>
        <w:rPr>
          <w:rFonts w:ascii="Times New Roman" w:hAnsi="Times New Roman" w:eastAsia="仿宋_GB2312"/>
          <w:sz w:val="32"/>
        </w:rPr>
        <w:t>项目过程情况</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项目过程类指标包括资金管理和组织实施两方面的内容，由5个三级指标构成，权重分值为20分，实际得分</w:t>
      </w:r>
      <w:r>
        <w:rPr>
          <w:rFonts w:hint="eastAsia" w:ascii="Times New Roman" w:hAnsi="Times New Roman" w:eastAsia="仿宋_GB2312"/>
          <w:sz w:val="32"/>
          <w:szCs w:val="32"/>
        </w:rPr>
        <w:t>1</w:t>
      </w:r>
      <w:r>
        <w:rPr>
          <w:rFonts w:hint="eastAsia" w:ascii="Times New Roman" w:hAnsi="Times New Roman" w:eastAsia="仿宋_GB2312"/>
          <w:sz w:val="32"/>
          <w:szCs w:val="32"/>
          <w:lang w:val="en-US" w:eastAsia="zh-CN"/>
        </w:rPr>
        <w:t>8</w:t>
      </w:r>
      <w:r>
        <w:rPr>
          <w:rFonts w:ascii="Times New Roman" w:hAnsi="Times New Roman" w:eastAsia="仿宋_GB2312"/>
          <w:sz w:val="32"/>
          <w:szCs w:val="32"/>
        </w:rPr>
        <w:t>分，得分率为</w:t>
      </w:r>
      <w:r>
        <w:rPr>
          <w:rFonts w:hint="eastAsia" w:ascii="Times New Roman" w:hAnsi="Times New Roman" w:eastAsia="仿宋_GB2312"/>
          <w:sz w:val="32"/>
          <w:szCs w:val="32"/>
        </w:rPr>
        <w:t>9</w:t>
      </w:r>
      <w:r>
        <w:rPr>
          <w:rFonts w:hint="eastAsia" w:ascii="Times New Roman" w:hAnsi="Times New Roman" w:eastAsia="仿宋_GB2312"/>
          <w:sz w:val="32"/>
          <w:szCs w:val="32"/>
          <w:lang w:val="en-US" w:eastAsia="zh-CN"/>
        </w:rPr>
        <w:t>0</w:t>
      </w:r>
      <w:r>
        <w:rPr>
          <w:rFonts w:ascii="Times New Roman" w:hAnsi="Times New Roman" w:eastAsia="仿宋_GB2312"/>
          <w:sz w:val="32"/>
          <w:szCs w:val="32"/>
        </w:rPr>
        <w:t>%。</w:t>
      </w:r>
    </w:p>
    <w:p>
      <w:pPr>
        <w:pStyle w:val="19"/>
        <w:pageBreakBefore w:val="0"/>
        <w:numPr>
          <w:ilvl w:val="0"/>
          <w:numId w:val="9"/>
        </w:numPr>
        <w:kinsoku/>
        <w:wordWrap/>
        <w:overflowPunct/>
        <w:topLinePunct w:val="0"/>
        <w:autoSpaceDE/>
        <w:autoSpaceDN/>
        <w:bidi w:val="0"/>
        <w:adjustRightInd/>
        <w:snapToGrid/>
        <w:spacing w:line="560" w:lineRule="exact"/>
        <w:ind w:firstLine="640"/>
        <w:textAlignment w:val="auto"/>
        <w:rPr>
          <w:rFonts w:ascii="Times New Roman" w:hAnsi="Times New Roman" w:eastAsia="仿宋_GB2312"/>
          <w:b/>
          <w:bCs/>
          <w:sz w:val="32"/>
          <w:szCs w:val="32"/>
        </w:rPr>
      </w:pPr>
      <w:r>
        <w:rPr>
          <w:rFonts w:ascii="Times New Roman" w:hAnsi="Times New Roman" w:eastAsia="仿宋_GB2312"/>
          <w:b/>
          <w:bCs/>
          <w:sz w:val="32"/>
          <w:szCs w:val="32"/>
        </w:rPr>
        <w:t>资金管理</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（1）资金到位率</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本项目总投资</w:t>
      </w:r>
      <w:r>
        <w:rPr>
          <w:rFonts w:hint="eastAsia" w:ascii="Times New Roman" w:hAnsi="Times New Roman" w:eastAsia="仿宋_GB2312"/>
          <w:sz w:val="32"/>
          <w:szCs w:val="32"/>
        </w:rPr>
        <w:t>95.02</w:t>
      </w:r>
      <w:r>
        <w:rPr>
          <w:rFonts w:ascii="Times New Roman" w:hAnsi="Times New Roman" w:eastAsia="仿宋_GB2312"/>
          <w:sz w:val="32"/>
          <w:szCs w:val="32"/>
        </w:rPr>
        <w:t>万元，财政资金及时足额到位，到位率</w:t>
      </w:r>
      <w:r>
        <w:rPr>
          <w:rFonts w:hint="eastAsia" w:ascii="Times New Roman" w:hAnsi="Times New Roman" w:eastAsia="仿宋_GB2312"/>
          <w:sz w:val="32"/>
          <w:szCs w:val="32"/>
        </w:rPr>
        <w:t>100</w:t>
      </w:r>
      <w:r>
        <w:rPr>
          <w:rFonts w:ascii="Times New Roman" w:hAnsi="Times New Roman" w:eastAsia="仿宋_GB2312"/>
          <w:sz w:val="32"/>
          <w:szCs w:val="32"/>
        </w:rPr>
        <w:t>%，预算资金按计划进度执行。</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（2）预算执行率</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预算编制较为详细，项目资金支出总体能够按照预算执行，预算资金支出</w:t>
      </w:r>
      <w:r>
        <w:rPr>
          <w:rFonts w:hint="eastAsia" w:ascii="Times New Roman" w:hAnsi="Times New Roman" w:eastAsia="仿宋_GB2312"/>
          <w:sz w:val="32"/>
          <w:szCs w:val="32"/>
        </w:rPr>
        <w:t>76.02</w:t>
      </w:r>
      <w:r>
        <w:rPr>
          <w:rFonts w:ascii="Times New Roman" w:hAnsi="Times New Roman" w:eastAsia="仿宋_GB2312"/>
          <w:sz w:val="32"/>
          <w:szCs w:val="32"/>
        </w:rPr>
        <w:t>万元，预算执行率为</w:t>
      </w:r>
      <w:r>
        <w:rPr>
          <w:rFonts w:hint="eastAsia" w:ascii="Times New Roman" w:hAnsi="Times New Roman" w:eastAsia="仿宋_GB2312"/>
          <w:sz w:val="32"/>
          <w:szCs w:val="32"/>
        </w:rPr>
        <w:t>80</w:t>
      </w:r>
      <w:r>
        <w:rPr>
          <w:rFonts w:ascii="Times New Roman" w:hAnsi="Times New Roman" w:eastAsia="仿宋_GB2312"/>
          <w:sz w:val="32"/>
          <w:szCs w:val="32"/>
        </w:rPr>
        <w:t>%。</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（3）资金使用合规性</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本项目的资金使用严格遵循了国家相关法律法规与财务制度，确保了资金的合规性与安全性。在资金使用过程中，我们建立了完善的财务管理体系，对资金的流动进行了全程监控与记录。</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pageBreakBefore w:val="0"/>
        <w:numPr>
          <w:ilvl w:val="0"/>
          <w:numId w:val="9"/>
        </w:numPr>
        <w:kinsoku/>
        <w:wordWrap/>
        <w:overflowPunct/>
        <w:topLinePunct w:val="0"/>
        <w:autoSpaceDE/>
        <w:autoSpaceDN/>
        <w:bidi w:val="0"/>
        <w:adjustRightInd/>
        <w:snapToGrid/>
        <w:spacing w:line="560" w:lineRule="exact"/>
        <w:ind w:firstLine="640"/>
        <w:textAlignment w:val="auto"/>
        <w:rPr>
          <w:rFonts w:ascii="Times New Roman" w:hAnsi="Times New Roman" w:eastAsia="仿宋_GB2312"/>
          <w:b/>
          <w:bCs/>
          <w:sz w:val="32"/>
          <w:szCs w:val="32"/>
        </w:rPr>
      </w:pPr>
      <w:r>
        <w:rPr>
          <w:rFonts w:ascii="Times New Roman" w:hAnsi="Times New Roman" w:eastAsia="仿宋_GB2312"/>
          <w:b/>
          <w:bCs/>
          <w:sz w:val="32"/>
          <w:szCs w:val="32"/>
        </w:rPr>
        <w:t>组织实施</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（1）管理制度健全性</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在制度设计上，我们注重了制度的科学性与可操作性，确保制度能够切实指导项目的执行与管理。</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（2）制度执行有效性</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综上所述，本项目的管理制度在执行过程中表现出了高度的有效性，既确保了项目的顺利进行，又实现了项目目标的有效达成。</w:t>
      </w:r>
    </w:p>
    <w:p>
      <w:pPr>
        <w:pStyle w:val="12"/>
        <w:pageBreakBefore w:val="0"/>
        <w:numPr>
          <w:ilvl w:val="0"/>
          <w:numId w:val="8"/>
        </w:numPr>
        <w:kinsoku/>
        <w:wordWrap/>
        <w:overflowPunct/>
        <w:topLinePunct w:val="0"/>
        <w:autoSpaceDE/>
        <w:autoSpaceDN/>
        <w:bidi w:val="0"/>
        <w:adjustRightInd/>
        <w:snapToGrid/>
        <w:spacing w:line="560" w:lineRule="exact"/>
        <w:ind w:firstLine="643"/>
        <w:textAlignment w:val="auto"/>
        <w:rPr>
          <w:rFonts w:ascii="Times New Roman" w:hAnsi="Times New Roman" w:eastAsia="仿宋_GB2312"/>
          <w:b/>
          <w:bCs/>
          <w:sz w:val="32"/>
          <w:szCs w:val="32"/>
        </w:rPr>
      </w:pPr>
      <w:r>
        <w:rPr>
          <w:rFonts w:ascii="Times New Roman" w:hAnsi="Times New Roman" w:eastAsia="仿宋_GB2312"/>
          <w:b/>
          <w:bCs/>
          <w:sz w:val="32"/>
          <w:szCs w:val="32"/>
        </w:rPr>
        <w:t>项目产出情况</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highlight w:val="none"/>
        </w:rPr>
      </w:pPr>
      <w:r>
        <w:rPr>
          <w:rFonts w:ascii="Times New Roman" w:hAnsi="Times New Roman" w:eastAsia="仿宋_GB2312"/>
          <w:sz w:val="32"/>
          <w:szCs w:val="32"/>
          <w:highlight w:val="none"/>
        </w:rPr>
        <w:t>项目产出类指标包括产出数量、产出质量、产出时效、产出成本四方面的内容，由</w:t>
      </w:r>
      <w:r>
        <w:rPr>
          <w:rFonts w:hint="eastAsia" w:ascii="Times New Roman" w:hAnsi="Times New Roman" w:eastAsia="仿宋_GB2312"/>
          <w:sz w:val="32"/>
          <w:szCs w:val="32"/>
          <w:highlight w:val="none"/>
        </w:rPr>
        <w:t>6</w:t>
      </w:r>
      <w:r>
        <w:rPr>
          <w:rFonts w:ascii="Times New Roman" w:hAnsi="Times New Roman" w:eastAsia="仿宋_GB2312"/>
          <w:sz w:val="32"/>
          <w:szCs w:val="32"/>
          <w:highlight w:val="none"/>
        </w:rPr>
        <w:t>个三级指标构成，权重分为40分，实际得分</w:t>
      </w:r>
      <w:r>
        <w:rPr>
          <w:rFonts w:hint="eastAsia" w:ascii="Times New Roman" w:hAnsi="Times New Roman" w:eastAsia="仿宋_GB2312"/>
          <w:sz w:val="32"/>
          <w:szCs w:val="32"/>
          <w:highlight w:val="none"/>
          <w:lang w:val="en-US" w:eastAsia="zh-CN"/>
        </w:rPr>
        <w:t>40</w:t>
      </w:r>
      <w:r>
        <w:rPr>
          <w:rFonts w:ascii="Times New Roman" w:hAnsi="Times New Roman" w:eastAsia="仿宋_GB2312"/>
          <w:sz w:val="32"/>
          <w:szCs w:val="32"/>
          <w:highlight w:val="none"/>
        </w:rPr>
        <w:t>分，得分率为</w:t>
      </w:r>
      <w:r>
        <w:rPr>
          <w:rFonts w:hint="eastAsia" w:ascii="Times New Roman" w:hAnsi="Times New Roman" w:eastAsia="仿宋_GB2312"/>
          <w:sz w:val="32"/>
          <w:szCs w:val="32"/>
          <w:highlight w:val="none"/>
          <w:lang w:val="en-US" w:eastAsia="zh-CN"/>
        </w:rPr>
        <w:t>100</w:t>
      </w:r>
      <w:r>
        <w:rPr>
          <w:rFonts w:ascii="Times New Roman" w:hAnsi="Times New Roman" w:eastAsia="仿宋_GB2312"/>
          <w:sz w:val="32"/>
          <w:szCs w:val="32"/>
          <w:highlight w:val="none"/>
        </w:rPr>
        <w:t>%。具体产出指标完成情况如下：</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fldChar w:fldCharType="begin"/>
      </w:r>
      <w:r>
        <w:rPr>
          <w:rFonts w:ascii="Times New Roman" w:hAnsi="Times New Roman" w:eastAsia="仿宋_GB2312"/>
          <w:sz w:val="32"/>
          <w:szCs w:val="32"/>
        </w:rPr>
        <w:instrText xml:space="preserve"> = 1 \* GB3 </w:instrText>
      </w:r>
      <w:r>
        <w:rPr>
          <w:rFonts w:ascii="Times New Roman" w:hAnsi="Times New Roman" w:eastAsia="仿宋_GB2312"/>
          <w:sz w:val="32"/>
          <w:szCs w:val="32"/>
        </w:rPr>
        <w:fldChar w:fldCharType="separate"/>
      </w:r>
      <w:r>
        <w:rPr>
          <w:rFonts w:ascii="Times New Roman" w:hAnsi="Times New Roman" w:eastAsia="仿宋_GB2312"/>
          <w:sz w:val="32"/>
          <w:szCs w:val="32"/>
        </w:rPr>
        <w:t>①</w:t>
      </w:r>
      <w:r>
        <w:rPr>
          <w:rFonts w:ascii="Times New Roman" w:hAnsi="Times New Roman" w:eastAsia="仿宋_GB2312"/>
          <w:sz w:val="32"/>
          <w:szCs w:val="32"/>
        </w:rPr>
        <w:fldChar w:fldCharType="end"/>
      </w:r>
      <w:r>
        <w:rPr>
          <w:rFonts w:ascii="Times New Roman" w:hAnsi="Times New Roman" w:eastAsia="仿宋_GB2312"/>
          <w:sz w:val="32"/>
          <w:szCs w:val="32"/>
        </w:rPr>
        <w:t>数量指标：</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指标1：全疆报考人数，指标值：</w:t>
      </w:r>
      <w:r>
        <w:rPr>
          <w:rFonts w:ascii="Times New Roman" w:hAnsi="Times New Roman" w:eastAsia="仿宋_GB2312" w:cs="Arial"/>
          <w:sz w:val="32"/>
          <w:szCs w:val="32"/>
        </w:rPr>
        <w:t>≥</w:t>
      </w:r>
      <w:r>
        <w:rPr>
          <w:rFonts w:hint="eastAsia" w:ascii="Times New Roman" w:hAnsi="Times New Roman" w:eastAsia="仿宋_GB2312" w:cs="仿宋_GB2312"/>
          <w:sz w:val="32"/>
          <w:szCs w:val="32"/>
        </w:rPr>
        <w:t>40000人，实际完成值：40000，指标完成率100%，无偏差。</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指标2：考试场次，指标值：</w:t>
      </w:r>
      <w:r>
        <w:rPr>
          <w:rFonts w:ascii="Times New Roman" w:hAnsi="Times New Roman" w:eastAsia="仿宋_GB2312" w:cs="Arial"/>
          <w:sz w:val="32"/>
          <w:szCs w:val="32"/>
        </w:rPr>
        <w:t>≥</w:t>
      </w:r>
      <w:r>
        <w:rPr>
          <w:rFonts w:hint="eastAsia" w:ascii="Times New Roman" w:hAnsi="Times New Roman" w:eastAsia="仿宋_GB2312" w:cs="仿宋_GB2312"/>
          <w:sz w:val="32"/>
          <w:szCs w:val="32"/>
        </w:rPr>
        <w:t>4次，实际完成值：4次，指标完成率100%，无偏差。</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fldChar w:fldCharType="begin"/>
      </w:r>
      <w:r>
        <w:rPr>
          <w:rFonts w:ascii="Times New Roman" w:hAnsi="Times New Roman" w:eastAsia="仿宋_GB2312"/>
          <w:sz w:val="32"/>
          <w:szCs w:val="32"/>
        </w:rPr>
        <w:instrText xml:space="preserve"> = 2 \* GB3 </w:instrText>
      </w:r>
      <w:r>
        <w:rPr>
          <w:rFonts w:ascii="Times New Roman" w:hAnsi="Times New Roman" w:eastAsia="仿宋_GB2312"/>
          <w:sz w:val="32"/>
          <w:szCs w:val="32"/>
        </w:rPr>
        <w:fldChar w:fldCharType="separate"/>
      </w:r>
      <w:r>
        <w:rPr>
          <w:rFonts w:ascii="Times New Roman" w:hAnsi="Times New Roman" w:eastAsia="仿宋_GB2312"/>
          <w:sz w:val="32"/>
          <w:szCs w:val="32"/>
        </w:rPr>
        <w:t>②</w:t>
      </w:r>
      <w:r>
        <w:rPr>
          <w:rFonts w:ascii="Times New Roman" w:hAnsi="Times New Roman" w:eastAsia="仿宋_GB2312"/>
          <w:sz w:val="32"/>
          <w:szCs w:val="32"/>
        </w:rPr>
        <w:fldChar w:fldCharType="end"/>
      </w:r>
      <w:r>
        <w:rPr>
          <w:rFonts w:ascii="Times New Roman" w:hAnsi="Times New Roman" w:eastAsia="仿宋_GB2312"/>
          <w:sz w:val="32"/>
          <w:szCs w:val="32"/>
        </w:rPr>
        <w:t>质量指标：</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指标1：参加考试的到考率，指标值：</w:t>
      </w:r>
      <w:r>
        <w:rPr>
          <w:rFonts w:ascii="Times New Roman" w:hAnsi="Times New Roman" w:eastAsia="仿宋_GB2312" w:cs="Arial"/>
          <w:sz w:val="32"/>
          <w:szCs w:val="32"/>
        </w:rPr>
        <w:t>≥</w:t>
      </w:r>
      <w:r>
        <w:rPr>
          <w:rFonts w:hint="eastAsia" w:ascii="Times New Roman" w:hAnsi="Times New Roman" w:eastAsia="仿宋_GB2312" w:cs="仿宋_GB2312"/>
          <w:sz w:val="32"/>
          <w:szCs w:val="32"/>
        </w:rPr>
        <w:t>90%，实际完成值：9</w:t>
      </w: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%，指标完成率100%，无偏差。</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指标2：参加考试考生与总考生对比的通过率，指标值：</w:t>
      </w:r>
      <w:r>
        <w:rPr>
          <w:rFonts w:ascii="Times New Roman" w:hAnsi="Times New Roman" w:eastAsia="仿宋_GB2312" w:cs="Arial"/>
          <w:sz w:val="32"/>
          <w:szCs w:val="32"/>
        </w:rPr>
        <w:t>≥</w:t>
      </w:r>
      <w:r>
        <w:rPr>
          <w:rFonts w:hint="eastAsia" w:ascii="Times New Roman" w:hAnsi="Times New Roman" w:eastAsia="仿宋_GB2312" w:cs="仿宋_GB2312"/>
          <w:sz w:val="32"/>
          <w:szCs w:val="32"/>
        </w:rPr>
        <w:t>80%，实际完成值：</w:t>
      </w:r>
      <w:r>
        <w:rPr>
          <w:rFonts w:hint="eastAsia" w:ascii="Times New Roman" w:hAnsi="Times New Roman" w:eastAsia="仿宋_GB2312" w:cs="仿宋_GB2312"/>
          <w:sz w:val="32"/>
          <w:szCs w:val="32"/>
          <w:lang w:val="en-US" w:eastAsia="zh-CN"/>
        </w:rPr>
        <w:t>85%</w:t>
      </w:r>
      <w:r>
        <w:rPr>
          <w:rFonts w:hint="eastAsia" w:ascii="Times New Roman" w:hAnsi="Times New Roman" w:eastAsia="仿宋_GB2312" w:cs="仿宋_GB2312"/>
          <w:sz w:val="32"/>
          <w:szCs w:val="32"/>
        </w:rPr>
        <w:t>，指标完成率100%，无偏差。</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fldChar w:fldCharType="begin"/>
      </w:r>
      <w:r>
        <w:rPr>
          <w:rFonts w:ascii="Times New Roman" w:hAnsi="Times New Roman" w:eastAsia="仿宋_GB2312"/>
          <w:sz w:val="32"/>
          <w:szCs w:val="32"/>
        </w:rPr>
        <w:instrText xml:space="preserve"> = 3 \* GB3 </w:instrText>
      </w:r>
      <w:r>
        <w:rPr>
          <w:rFonts w:ascii="Times New Roman" w:hAnsi="Times New Roman" w:eastAsia="仿宋_GB2312"/>
          <w:sz w:val="32"/>
          <w:szCs w:val="32"/>
        </w:rPr>
        <w:fldChar w:fldCharType="separate"/>
      </w:r>
      <w:r>
        <w:rPr>
          <w:rFonts w:ascii="Times New Roman" w:hAnsi="Times New Roman" w:eastAsia="仿宋_GB2312"/>
          <w:sz w:val="32"/>
          <w:szCs w:val="32"/>
        </w:rPr>
        <w:t>③</w:t>
      </w:r>
      <w:r>
        <w:rPr>
          <w:rFonts w:ascii="Times New Roman" w:hAnsi="Times New Roman" w:eastAsia="仿宋_GB2312"/>
          <w:sz w:val="32"/>
          <w:szCs w:val="32"/>
        </w:rPr>
        <w:fldChar w:fldCharType="end"/>
      </w:r>
      <w:r>
        <w:rPr>
          <w:rFonts w:ascii="Times New Roman" w:hAnsi="Times New Roman" w:eastAsia="仿宋_GB2312"/>
          <w:sz w:val="32"/>
          <w:szCs w:val="32"/>
        </w:rPr>
        <w:t>时效指标：</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指标1：考试按期完成率，指标值：</w:t>
      </w:r>
      <w:r>
        <w:rPr>
          <w:rFonts w:hint="eastAsia" w:ascii="Times New Roman" w:hAnsi="Times New Roman" w:eastAsia="仿宋_GB2312" w:cs="Arial"/>
          <w:sz w:val="32"/>
          <w:szCs w:val="32"/>
        </w:rPr>
        <w:t>=100%</w:t>
      </w:r>
      <w:r>
        <w:rPr>
          <w:rFonts w:hint="eastAsia" w:ascii="Times New Roman" w:hAnsi="Times New Roman" w:eastAsia="仿宋_GB2312" w:cs="仿宋_GB2312"/>
          <w:sz w:val="32"/>
          <w:szCs w:val="32"/>
        </w:rPr>
        <w:t>，实际完成值：100%，指标完成率100%，无偏差。</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fldChar w:fldCharType="begin"/>
      </w:r>
      <w:r>
        <w:rPr>
          <w:rFonts w:ascii="Times New Roman" w:hAnsi="Times New Roman" w:eastAsia="仿宋_GB2312"/>
          <w:sz w:val="32"/>
          <w:szCs w:val="32"/>
        </w:rPr>
        <w:instrText xml:space="preserve"> = 4 \* GB3 </w:instrText>
      </w:r>
      <w:r>
        <w:rPr>
          <w:rFonts w:ascii="Times New Roman" w:hAnsi="Times New Roman" w:eastAsia="仿宋_GB2312"/>
          <w:sz w:val="32"/>
          <w:szCs w:val="32"/>
        </w:rPr>
        <w:fldChar w:fldCharType="separate"/>
      </w:r>
      <w:r>
        <w:rPr>
          <w:rFonts w:ascii="Times New Roman" w:hAnsi="Times New Roman" w:eastAsia="仿宋_GB2312"/>
          <w:sz w:val="32"/>
          <w:szCs w:val="32"/>
        </w:rPr>
        <w:t>④</w:t>
      </w:r>
      <w:r>
        <w:rPr>
          <w:rFonts w:ascii="Times New Roman" w:hAnsi="Times New Roman" w:eastAsia="仿宋_GB2312"/>
          <w:sz w:val="32"/>
          <w:szCs w:val="32"/>
        </w:rPr>
        <w:fldChar w:fldCharType="end"/>
      </w:r>
      <w:r>
        <w:rPr>
          <w:rFonts w:ascii="Times New Roman" w:hAnsi="Times New Roman" w:eastAsia="仿宋_GB2312"/>
          <w:sz w:val="32"/>
          <w:szCs w:val="32"/>
        </w:rPr>
        <w:t>成本指标：</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指标1：</w:t>
      </w:r>
      <w:r>
        <w:rPr>
          <w:rFonts w:hint="eastAsia" w:ascii="Times New Roman" w:hAnsi="Times New Roman" w:eastAsia="仿宋_GB2312" w:cs="仿宋_GB2312"/>
          <w:sz w:val="32"/>
          <w:szCs w:val="32"/>
          <w:lang w:eastAsia="zh-CN"/>
        </w:rPr>
        <w:t>项目预算控制</w:t>
      </w:r>
      <w:r>
        <w:rPr>
          <w:rFonts w:hint="eastAsia" w:eastAsia="仿宋_GB2312" w:cs="仿宋_GB2312"/>
          <w:sz w:val="32"/>
          <w:szCs w:val="32"/>
          <w:lang w:eastAsia="zh-CN"/>
        </w:rPr>
        <w:t>率</w:t>
      </w:r>
      <w:r>
        <w:rPr>
          <w:rFonts w:hint="eastAsia" w:ascii="Times New Roman" w:hAnsi="Times New Roman" w:eastAsia="仿宋_GB2312" w:cs="仿宋_GB2312"/>
          <w:sz w:val="32"/>
          <w:szCs w:val="32"/>
        </w:rPr>
        <w:t>，指标值：</w:t>
      </w:r>
      <w:r>
        <w:rPr>
          <w:rFonts w:ascii="Times New Roman" w:hAnsi="Times New Roman" w:eastAsia="仿宋_GB2312" w:cs="Arial"/>
          <w:sz w:val="32"/>
          <w:szCs w:val="32"/>
        </w:rPr>
        <w:t>≤</w:t>
      </w:r>
      <w:r>
        <w:rPr>
          <w:rFonts w:hint="eastAsia" w:ascii="Times New Roman" w:hAnsi="Times New Roman" w:eastAsia="仿宋_GB2312" w:cs="Arial"/>
          <w:sz w:val="32"/>
          <w:szCs w:val="32"/>
          <w:lang w:val="en-US" w:eastAsia="zh-CN"/>
        </w:rPr>
        <w:t>100%</w:t>
      </w:r>
      <w:r>
        <w:rPr>
          <w:rFonts w:hint="eastAsia" w:ascii="Times New Roman" w:hAnsi="Times New Roman" w:eastAsia="仿宋_GB2312" w:cs="仿宋_GB2312"/>
          <w:sz w:val="32"/>
          <w:szCs w:val="32"/>
        </w:rPr>
        <w:t>，实际完成值：</w:t>
      </w:r>
      <w:r>
        <w:rPr>
          <w:rFonts w:hint="eastAsia" w:ascii="Times New Roman" w:hAnsi="Times New Roman" w:eastAsia="仿宋_GB2312" w:cs="仿宋_GB2312"/>
          <w:sz w:val="32"/>
          <w:szCs w:val="32"/>
          <w:lang w:val="en-US" w:eastAsia="zh-CN"/>
        </w:rPr>
        <w:t>100%</w:t>
      </w:r>
      <w:r>
        <w:rPr>
          <w:rFonts w:hint="eastAsia" w:ascii="Times New Roman" w:hAnsi="Times New Roman" w:eastAsia="仿宋_GB2312" w:cs="仿宋_GB2312"/>
          <w:sz w:val="32"/>
          <w:szCs w:val="32"/>
        </w:rPr>
        <w:t>，指标完成率</w:t>
      </w:r>
      <w:r>
        <w:rPr>
          <w:rFonts w:hint="eastAsia" w:ascii="Times New Roman" w:hAnsi="Times New Roman" w:eastAsia="仿宋_GB2312" w:cs="仿宋_GB2312"/>
          <w:sz w:val="32"/>
          <w:szCs w:val="32"/>
          <w:lang w:val="en-US" w:eastAsia="zh-CN"/>
        </w:rPr>
        <w:t>100</w:t>
      </w: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无</w:t>
      </w:r>
      <w:r>
        <w:rPr>
          <w:rFonts w:hint="eastAsia" w:ascii="Times New Roman" w:hAnsi="Times New Roman" w:eastAsia="仿宋_GB2312" w:cs="仿宋_GB2312"/>
          <w:sz w:val="32"/>
          <w:szCs w:val="32"/>
        </w:rPr>
        <w:t>偏差。</w:t>
      </w:r>
    </w:p>
    <w:p>
      <w:pPr>
        <w:pStyle w:val="12"/>
        <w:pageBreakBefore w:val="0"/>
        <w:numPr>
          <w:ilvl w:val="0"/>
          <w:numId w:val="8"/>
        </w:numPr>
        <w:kinsoku/>
        <w:wordWrap/>
        <w:overflowPunct/>
        <w:topLinePunct w:val="0"/>
        <w:autoSpaceDE/>
        <w:autoSpaceDN/>
        <w:bidi w:val="0"/>
        <w:adjustRightInd/>
        <w:snapToGrid/>
        <w:spacing w:line="560" w:lineRule="exact"/>
        <w:ind w:firstLine="643"/>
        <w:textAlignment w:val="auto"/>
        <w:rPr>
          <w:rFonts w:ascii="Times New Roman" w:hAnsi="Times New Roman" w:eastAsia="仿宋_GB2312"/>
          <w:b/>
          <w:bCs/>
          <w:sz w:val="32"/>
          <w:szCs w:val="32"/>
        </w:rPr>
      </w:pPr>
      <w:r>
        <w:rPr>
          <w:rFonts w:ascii="Times New Roman" w:hAnsi="Times New Roman" w:eastAsia="仿宋_GB2312"/>
          <w:b/>
          <w:bCs/>
          <w:sz w:val="32"/>
          <w:szCs w:val="32"/>
        </w:rPr>
        <w:t>项目效益情况</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项目效益类指标包括项目实施效益和满意度两方面的内容，由</w:t>
      </w:r>
      <w:r>
        <w:rPr>
          <w:rFonts w:hint="eastAsia" w:ascii="Times New Roman" w:hAnsi="Times New Roman" w:eastAsia="仿宋_GB2312"/>
          <w:sz w:val="32"/>
          <w:szCs w:val="32"/>
        </w:rPr>
        <w:t>3</w:t>
      </w:r>
      <w:r>
        <w:rPr>
          <w:rFonts w:ascii="Times New Roman" w:hAnsi="Times New Roman" w:eastAsia="仿宋_GB2312"/>
          <w:sz w:val="32"/>
          <w:szCs w:val="32"/>
        </w:rPr>
        <w:t>个三级指标构成，权重分为20分，实际得分</w:t>
      </w:r>
      <w:r>
        <w:rPr>
          <w:rFonts w:hint="eastAsia" w:ascii="Times New Roman" w:hAnsi="Times New Roman" w:eastAsia="仿宋_GB2312"/>
          <w:sz w:val="32"/>
          <w:szCs w:val="32"/>
        </w:rPr>
        <w:t>20</w:t>
      </w:r>
      <w:r>
        <w:rPr>
          <w:rFonts w:ascii="Times New Roman" w:hAnsi="Times New Roman" w:eastAsia="仿宋_GB2312"/>
          <w:sz w:val="32"/>
          <w:szCs w:val="32"/>
        </w:rPr>
        <w:t>分，得分率为</w:t>
      </w:r>
      <w:r>
        <w:rPr>
          <w:rFonts w:hint="eastAsia" w:ascii="Times New Roman" w:hAnsi="Times New Roman" w:eastAsia="仿宋_GB2312"/>
          <w:sz w:val="32"/>
          <w:szCs w:val="32"/>
        </w:rPr>
        <w:t>100</w:t>
      </w:r>
      <w:r>
        <w:rPr>
          <w:rFonts w:ascii="Times New Roman" w:hAnsi="Times New Roman" w:eastAsia="仿宋_GB2312"/>
          <w:sz w:val="32"/>
          <w:szCs w:val="32"/>
        </w:rPr>
        <w:t>%。具体效益指标及满意度指标完成情况如下：</w:t>
      </w:r>
    </w:p>
    <w:p>
      <w:pPr>
        <w:pageBreakBefore w:val="0"/>
        <w:numPr>
          <w:ilvl w:val="0"/>
          <w:numId w:val="10"/>
        </w:numPr>
        <w:kinsoku/>
        <w:wordWrap/>
        <w:overflowPunct/>
        <w:topLinePunct w:val="0"/>
        <w:autoSpaceDE/>
        <w:autoSpaceDN/>
        <w:bidi w:val="0"/>
        <w:adjustRightInd/>
        <w:snapToGrid/>
        <w:spacing w:line="560" w:lineRule="exact"/>
        <w:ind w:firstLine="643" w:firstLineChars="200"/>
        <w:textAlignment w:val="auto"/>
        <w:outlineLvl w:val="0"/>
        <w:rPr>
          <w:rFonts w:ascii="Times New Roman" w:hAnsi="Times New Roman" w:eastAsia="仿宋_GB2312"/>
          <w:b/>
          <w:bCs/>
          <w:sz w:val="32"/>
          <w:szCs w:val="32"/>
        </w:rPr>
      </w:pPr>
      <w:r>
        <w:rPr>
          <w:rFonts w:ascii="Times New Roman" w:hAnsi="Times New Roman" w:eastAsia="仿宋_GB2312"/>
          <w:b/>
          <w:bCs/>
          <w:sz w:val="32"/>
          <w:szCs w:val="32"/>
        </w:rPr>
        <w:t>实施效益</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①社会效益指标：</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指标1：提升信息技术应用水平，指标值：有效提升，实际完成值：有效提升，指标完成率100%，无偏差。</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指标</w:t>
      </w: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：提高学生毕业后的就业</w:t>
      </w:r>
      <w:r>
        <w:rPr>
          <w:rFonts w:hint="eastAsia" w:ascii="Times New Roman" w:hAnsi="Times New Roman" w:eastAsia="仿宋_GB2312" w:cs="仿宋_GB2312"/>
          <w:sz w:val="32"/>
          <w:szCs w:val="32"/>
          <w:lang w:eastAsia="zh-CN"/>
        </w:rPr>
        <w:t>能力</w:t>
      </w:r>
      <w:r>
        <w:rPr>
          <w:rFonts w:hint="eastAsia" w:ascii="Times New Roman" w:hAnsi="Times New Roman" w:eastAsia="仿宋_GB2312" w:cs="仿宋_GB2312"/>
          <w:sz w:val="32"/>
          <w:szCs w:val="32"/>
        </w:rPr>
        <w:t>保障，指标值：</w:t>
      </w:r>
      <w:r>
        <w:rPr>
          <w:rFonts w:hint="eastAsia" w:ascii="Times New Roman" w:hAnsi="Times New Roman" w:eastAsia="仿宋_GB2312" w:cs="Arial"/>
          <w:sz w:val="32"/>
          <w:szCs w:val="32"/>
        </w:rPr>
        <w:t>有效提高</w:t>
      </w:r>
      <w:r>
        <w:rPr>
          <w:rFonts w:hint="eastAsia" w:ascii="Times New Roman" w:hAnsi="Times New Roman" w:eastAsia="仿宋_GB2312" w:cs="仿宋_GB2312"/>
          <w:sz w:val="32"/>
          <w:szCs w:val="32"/>
        </w:rPr>
        <w:t>，实际完成值：有效提高，指标完成率100%，无偏差。</w:t>
      </w:r>
    </w:p>
    <w:p>
      <w:pPr>
        <w:pageBreakBefore w:val="0"/>
        <w:numPr>
          <w:ilvl w:val="0"/>
          <w:numId w:val="10"/>
        </w:numPr>
        <w:kinsoku/>
        <w:wordWrap/>
        <w:overflowPunct/>
        <w:topLinePunct w:val="0"/>
        <w:autoSpaceDE/>
        <w:autoSpaceDN/>
        <w:bidi w:val="0"/>
        <w:adjustRightInd/>
        <w:snapToGrid/>
        <w:spacing w:line="560" w:lineRule="exact"/>
        <w:ind w:firstLine="643" w:firstLineChars="200"/>
        <w:textAlignment w:val="auto"/>
        <w:outlineLvl w:val="0"/>
        <w:rPr>
          <w:rFonts w:ascii="Times New Roman" w:hAnsi="Times New Roman" w:eastAsia="仿宋_GB2312"/>
          <w:b/>
          <w:bCs/>
          <w:sz w:val="32"/>
          <w:szCs w:val="32"/>
        </w:rPr>
      </w:pPr>
      <w:r>
        <w:rPr>
          <w:rFonts w:ascii="Times New Roman" w:hAnsi="Times New Roman" w:eastAsia="仿宋_GB2312"/>
          <w:b/>
          <w:bCs/>
          <w:sz w:val="32"/>
          <w:szCs w:val="32"/>
        </w:rPr>
        <w:t>满意度</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指标1：考生满意度，指标值：</w:t>
      </w:r>
      <w:r>
        <w:rPr>
          <w:rFonts w:ascii="Times New Roman" w:hAnsi="Times New Roman" w:eastAsia="仿宋_GB2312" w:cs="Arial"/>
          <w:sz w:val="32"/>
          <w:szCs w:val="32"/>
        </w:rPr>
        <w:t>≥</w:t>
      </w:r>
      <w:r>
        <w:rPr>
          <w:rFonts w:hint="eastAsia" w:ascii="Times New Roman" w:hAnsi="Times New Roman" w:eastAsia="仿宋_GB2312" w:cs="Arial"/>
          <w:sz w:val="32"/>
          <w:szCs w:val="32"/>
        </w:rPr>
        <w:t>98%</w:t>
      </w:r>
      <w:r>
        <w:rPr>
          <w:rFonts w:hint="eastAsia" w:ascii="Times New Roman" w:hAnsi="Times New Roman" w:eastAsia="仿宋_GB2312" w:cs="仿宋_GB2312"/>
          <w:sz w:val="32"/>
          <w:szCs w:val="32"/>
        </w:rPr>
        <w:t>，实际完成值：98%，指标完成率100%，无偏差。</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Hans"/>
        </w:rPr>
      </w:pPr>
      <w:r>
        <w:rPr>
          <w:rFonts w:hint="eastAsia" w:ascii="黑体" w:hAnsi="黑体" w:eastAsia="黑体" w:cs="黑体"/>
          <w:sz w:val="32"/>
          <w:szCs w:val="32"/>
        </w:rPr>
        <w:t>五、</w:t>
      </w:r>
      <w:r>
        <w:rPr>
          <w:rFonts w:hint="eastAsia" w:ascii="黑体" w:hAnsi="黑体" w:eastAsia="黑体" w:cs="黑体"/>
          <w:sz w:val="32"/>
          <w:szCs w:val="32"/>
          <w:lang w:eastAsia="zh-Hans"/>
        </w:rPr>
        <w:t>预算执行进度与绩效指标总体完成率偏差</w:t>
      </w:r>
    </w:p>
    <w:p>
      <w:pPr>
        <w:pStyle w:val="19"/>
        <w:pageBreakBefore w:val="0"/>
        <w:kinsoku/>
        <w:wordWrap/>
        <w:overflowPunct/>
        <w:topLinePunct w:val="0"/>
        <w:autoSpaceDE/>
        <w:autoSpaceDN/>
        <w:bidi w:val="0"/>
        <w:adjustRightInd/>
        <w:snapToGrid/>
        <w:spacing w:line="560" w:lineRule="exact"/>
        <w:ind w:firstLine="640"/>
        <w:textAlignment w:val="auto"/>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全疆考试考务运维工作经费项目年初预算95.02万元，全年预算95.02万元，实际支出76.02万元，预算执行率为80%，项目绩效指标总体完成率为</w:t>
      </w:r>
      <w:r>
        <w:rPr>
          <w:rFonts w:hint="eastAsia" w:eastAsia="仿宋_GB2312" w:cs="仿宋_GB2312"/>
          <w:sz w:val="32"/>
          <w:szCs w:val="32"/>
          <w:highlight w:val="none"/>
          <w:lang w:val="en-US" w:eastAsia="zh-CN"/>
        </w:rPr>
        <w:t>100</w:t>
      </w:r>
      <w:r>
        <w:rPr>
          <w:rFonts w:hint="eastAsia" w:ascii="Times New Roman" w:hAnsi="Times New Roman" w:eastAsia="仿宋_GB2312" w:cs="仿宋_GB2312"/>
          <w:sz w:val="32"/>
          <w:szCs w:val="32"/>
          <w:highlight w:val="none"/>
        </w:rPr>
        <w:t>%，</w:t>
      </w:r>
      <w:r>
        <w:rPr>
          <w:rFonts w:hint="eastAsia" w:ascii="Times New Roman" w:hAnsi="Times New Roman" w:eastAsia="仿宋_GB2312" w:cs="仿宋_GB2312"/>
          <w:sz w:val="32"/>
          <w:szCs w:val="32"/>
          <w:highlight w:val="none"/>
          <w:lang w:eastAsia="zh-Hans"/>
        </w:rPr>
        <w:t>总体</w:t>
      </w:r>
      <w:r>
        <w:rPr>
          <w:rFonts w:hint="eastAsia" w:ascii="Times New Roman" w:hAnsi="Times New Roman" w:eastAsia="仿宋_GB2312" w:cs="仿宋_GB2312"/>
          <w:sz w:val="32"/>
          <w:szCs w:val="32"/>
          <w:highlight w:val="none"/>
        </w:rPr>
        <w:t>偏差率为</w:t>
      </w:r>
      <w:r>
        <w:rPr>
          <w:rFonts w:hint="eastAsia" w:ascii="Times New Roman" w:hAnsi="Times New Roman" w:eastAsia="仿宋_GB2312" w:cs="仿宋_GB2312"/>
          <w:sz w:val="32"/>
          <w:szCs w:val="32"/>
          <w:highlight w:val="none"/>
          <w:lang w:val="en-US" w:eastAsia="zh-CN"/>
        </w:rPr>
        <w:t>2</w:t>
      </w:r>
      <w:r>
        <w:rPr>
          <w:rFonts w:hint="eastAsia" w:eastAsia="仿宋_GB2312" w:cs="仿宋_GB2312"/>
          <w:sz w:val="32"/>
          <w:szCs w:val="32"/>
          <w:highlight w:val="none"/>
          <w:lang w:val="en-US" w:eastAsia="zh-CN"/>
        </w:rPr>
        <w:t>0</w:t>
      </w:r>
      <w:bookmarkStart w:id="3" w:name="_GoBack"/>
      <w:bookmarkEnd w:id="3"/>
      <w:r>
        <w:rPr>
          <w:rFonts w:hint="eastAsia" w:ascii="Times New Roman" w:hAnsi="Times New Roman" w:eastAsia="仿宋_GB2312" w:cs="仿宋_GB2312"/>
          <w:sz w:val="32"/>
          <w:szCs w:val="32"/>
          <w:highlight w:val="none"/>
        </w:rPr>
        <w:t>%，</w:t>
      </w:r>
      <w:r>
        <w:rPr>
          <w:rFonts w:hint="eastAsia" w:ascii="Times New Roman" w:hAnsi="Times New Roman" w:eastAsia="仿宋_GB2312" w:cs="仿宋_GB2312"/>
          <w:sz w:val="32"/>
          <w:szCs w:val="32"/>
          <w:highlight w:val="none"/>
          <w:lang w:eastAsia="zh-Hans"/>
        </w:rPr>
        <w:t>偏差</w:t>
      </w:r>
      <w:r>
        <w:rPr>
          <w:rFonts w:hint="eastAsia" w:ascii="Times New Roman" w:hAnsi="Times New Roman" w:eastAsia="仿宋_GB2312" w:cs="仿宋_GB2312"/>
          <w:sz w:val="32"/>
          <w:szCs w:val="32"/>
          <w:highlight w:val="none"/>
        </w:rPr>
        <w:t>原因全疆中职考务根据学生在校学习进度情况，为了提高学生知识掌握程度及考生考试通过率，调整考试时间至2024年12月第二周举行，</w:t>
      </w:r>
      <w:r>
        <w:rPr>
          <w:rFonts w:hint="eastAsia" w:ascii="Times New Roman" w:hAnsi="Times New Roman" w:eastAsia="仿宋_GB2312" w:cs="仿宋_GB2312"/>
          <w:sz w:val="32"/>
          <w:szCs w:val="32"/>
          <w:highlight w:val="none"/>
          <w:lang w:eastAsia="zh-CN"/>
        </w:rPr>
        <w:t>致使</w:t>
      </w:r>
      <w:r>
        <w:rPr>
          <w:rFonts w:hint="eastAsia" w:ascii="Times New Roman" w:hAnsi="Times New Roman" w:eastAsia="仿宋_GB2312" w:cs="仿宋_GB2312"/>
          <w:sz w:val="32"/>
          <w:szCs w:val="32"/>
          <w:highlight w:val="none"/>
        </w:rPr>
        <w:t>考务工作</w:t>
      </w:r>
      <w:r>
        <w:rPr>
          <w:rFonts w:hint="eastAsia" w:ascii="Times New Roman" w:hAnsi="Times New Roman" w:eastAsia="仿宋_GB2312" w:cs="仿宋_GB2312"/>
          <w:sz w:val="32"/>
          <w:szCs w:val="32"/>
          <w:highlight w:val="none"/>
          <w:lang w:eastAsia="zh-CN"/>
        </w:rPr>
        <w:t>经费未能及时执行。</w:t>
      </w:r>
      <w:r>
        <w:rPr>
          <w:rFonts w:hint="eastAsia" w:ascii="Times New Roman" w:hAnsi="Times New Roman" w:eastAsia="仿宋_GB2312" w:cs="仿宋_GB2312"/>
          <w:sz w:val="32"/>
          <w:szCs w:val="32"/>
          <w:highlight w:val="none"/>
          <w:lang w:eastAsia="zh-Hans"/>
        </w:rPr>
        <w:t>改进</w:t>
      </w:r>
      <w:r>
        <w:rPr>
          <w:rFonts w:hint="eastAsia" w:ascii="Times New Roman" w:hAnsi="Times New Roman" w:eastAsia="仿宋_GB2312" w:cs="仿宋_GB2312"/>
          <w:sz w:val="32"/>
          <w:szCs w:val="32"/>
          <w:highlight w:val="none"/>
        </w:rPr>
        <w:t>措</w:t>
      </w:r>
      <w:r>
        <w:rPr>
          <w:rFonts w:hint="eastAsia" w:ascii="Times New Roman" w:hAnsi="Times New Roman" w:eastAsia="仿宋_GB2312" w:cs="仿宋_GB2312"/>
          <w:sz w:val="32"/>
          <w:szCs w:val="32"/>
          <w:highlight w:val="none"/>
          <w:lang w:eastAsia="zh-CN"/>
        </w:rPr>
        <w:t>施是依据</w:t>
      </w:r>
      <w:r>
        <w:rPr>
          <w:rFonts w:hint="eastAsia" w:ascii="Times New Roman" w:hAnsi="Times New Roman" w:eastAsia="仿宋_GB2312" w:cs="仿宋_GB2312"/>
          <w:sz w:val="32"/>
          <w:szCs w:val="32"/>
          <w:highlight w:val="none"/>
          <w:lang w:val="en-US" w:eastAsia="zh-CN"/>
        </w:rPr>
        <w:t>2024</w:t>
      </w:r>
      <w:r>
        <w:rPr>
          <w:rFonts w:hint="eastAsia" w:ascii="Times New Roman" w:hAnsi="Times New Roman" w:eastAsia="仿宋_GB2312" w:cs="仿宋_GB2312"/>
          <w:sz w:val="32"/>
          <w:szCs w:val="32"/>
          <w:highlight w:val="none"/>
          <w:lang w:eastAsia="zh-CN"/>
        </w:rPr>
        <w:t>年的项目执行情况，提前做好项目规划，合理细致的制定项目绩效指标，定期做好监督检查，严格按照项目管理规范进行，严格落实项目资金使用范围，做到专款专用</w:t>
      </w:r>
      <w:r>
        <w:rPr>
          <w:rFonts w:hint="eastAsia" w:ascii="Times New Roman" w:hAnsi="Times New Roman" w:eastAsia="仿宋_GB2312" w:cs="仿宋_GB2312"/>
          <w:sz w:val="32"/>
          <w:szCs w:val="32"/>
          <w:highlight w:val="none"/>
        </w:rPr>
        <w:t>。</w:t>
      </w:r>
    </w:p>
    <w:p>
      <w:pPr>
        <w:pageBreakBefore w:val="0"/>
        <w:kinsoku/>
        <w:wordWrap/>
        <w:overflowPunct/>
        <w:topLinePunct w:val="0"/>
        <w:autoSpaceDE/>
        <w:autoSpaceDN/>
        <w:bidi w:val="0"/>
        <w:adjustRightInd/>
        <w:snapToGrid/>
        <w:spacing w:line="560" w:lineRule="exact"/>
        <w:ind w:firstLine="640" w:firstLineChars="200"/>
        <w:textAlignment w:val="auto"/>
        <w:rPr>
          <w:rStyle w:val="18"/>
          <w:rFonts w:hint="eastAsia" w:ascii="黑体" w:hAnsi="黑体" w:eastAsia="黑体" w:cs="黑体"/>
          <w:color w:val="auto"/>
          <w:sz w:val="32"/>
        </w:rPr>
      </w:pPr>
      <w:r>
        <w:rPr>
          <w:rFonts w:hint="eastAsia" w:ascii="黑体" w:hAnsi="黑体" w:eastAsia="黑体" w:cs="黑体"/>
          <w:sz w:val="32"/>
          <w:szCs w:val="32"/>
        </w:rPr>
        <w:t>六</w:t>
      </w:r>
      <w:r>
        <w:rPr>
          <w:rFonts w:hint="eastAsia" w:ascii="黑体" w:hAnsi="黑体" w:eastAsia="黑体" w:cs="黑体"/>
          <w:sz w:val="32"/>
          <w:szCs w:val="32"/>
          <w:lang w:eastAsia="zh-CN"/>
        </w:rPr>
        <w:t>、</w:t>
      </w:r>
      <w:r>
        <w:rPr>
          <w:rFonts w:hint="eastAsia" w:ascii="黑体" w:hAnsi="黑体" w:eastAsia="黑体" w:cs="黑体"/>
          <w:sz w:val="32"/>
          <w:szCs w:val="32"/>
        </w:rPr>
        <w:t>主要经验及做法、存在的问题及原因分析</w:t>
      </w:r>
    </w:p>
    <w:p>
      <w:pPr>
        <w:pageBreakBefore w:val="0"/>
        <w:kinsoku/>
        <w:wordWrap/>
        <w:overflowPunct/>
        <w:topLinePunct w:val="0"/>
        <w:autoSpaceDE/>
        <w:autoSpaceDN/>
        <w:bidi w:val="0"/>
        <w:adjustRightInd/>
        <w:snapToGrid/>
        <w:spacing w:line="560" w:lineRule="exact"/>
        <w:ind w:firstLine="627" w:firstLineChars="200"/>
        <w:textAlignment w:val="auto"/>
        <w:rPr>
          <w:rFonts w:ascii="Times New Roman" w:hAnsi="Times New Roman" w:eastAsia="仿宋_GB2312"/>
          <w:b/>
          <w:spacing w:val="-4"/>
          <w:sz w:val="32"/>
          <w:szCs w:val="32"/>
        </w:rPr>
      </w:pPr>
      <w:r>
        <w:rPr>
          <w:rFonts w:ascii="Times New Roman" w:hAnsi="Times New Roman" w:eastAsia="仿宋_GB2312"/>
          <w:b/>
          <w:spacing w:val="-4"/>
          <w:sz w:val="32"/>
          <w:szCs w:val="32"/>
        </w:rPr>
        <w:t>（一）主要经验及做法</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hAnsi="Times New Roman" w:eastAsia="仿宋_GB2312"/>
          <w:b w:val="0"/>
          <w:bCs w:val="0"/>
          <w:kern w:val="2"/>
          <w:sz w:val="32"/>
        </w:rPr>
      </w:pPr>
      <w:r>
        <w:rPr>
          <w:rFonts w:ascii="Times New Roman" w:hAnsi="Times New Roman" w:eastAsia="仿宋_GB2312"/>
          <w:b w:val="0"/>
          <w:bCs w:val="0"/>
          <w:kern w:val="2"/>
          <w:sz w:val="32"/>
        </w:rPr>
        <w:t>严格坚持先做事、后验收、再拨付的原则，</w:t>
      </w:r>
      <w:r>
        <w:rPr>
          <w:rFonts w:hint="eastAsia" w:ascii="Times New Roman" w:hAnsi="Times New Roman" w:eastAsia="仿宋_GB2312"/>
          <w:b w:val="0"/>
          <w:bCs w:val="0"/>
          <w:kern w:val="2"/>
          <w:sz w:val="32"/>
        </w:rPr>
        <w:t>杜绝</w:t>
      </w:r>
      <w:r>
        <w:rPr>
          <w:rFonts w:ascii="Times New Roman" w:hAnsi="Times New Roman" w:eastAsia="仿宋_GB2312"/>
          <w:b w:val="0"/>
          <w:bCs w:val="0"/>
          <w:kern w:val="2"/>
          <w:sz w:val="3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11"/>
        </w:numPr>
        <w:kinsoku/>
        <w:wordWrap/>
        <w:overflowPunct/>
        <w:topLinePunct w:val="0"/>
        <w:autoSpaceDE/>
        <w:autoSpaceDN/>
        <w:bidi w:val="0"/>
        <w:adjustRightInd/>
        <w:snapToGrid/>
        <w:spacing w:line="560" w:lineRule="exact"/>
        <w:ind w:firstLine="643" w:firstLineChars="200"/>
        <w:textAlignment w:val="auto"/>
        <w:rPr>
          <w:rFonts w:ascii="Times New Roman" w:hAnsi="Times New Roman" w:eastAsia="仿宋_GB2312"/>
          <w:b/>
          <w:bCs/>
          <w:sz w:val="32"/>
          <w:szCs w:val="32"/>
        </w:rPr>
      </w:pPr>
      <w:r>
        <w:rPr>
          <w:rFonts w:ascii="Times New Roman" w:hAnsi="Times New Roman" w:eastAsia="仿宋_GB2312"/>
          <w:b/>
          <w:bCs/>
          <w:sz w:val="32"/>
          <w:szCs w:val="32"/>
        </w:rPr>
        <w:t>存在的问题及原因分析</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sz w:val="32"/>
          <w:szCs w:val="32"/>
          <w:lang w:eastAsia="zh-CN"/>
        </w:rPr>
      </w:pPr>
      <w:r>
        <w:rPr>
          <w:rFonts w:ascii="Times New Roman" w:hAnsi="Times New Roman" w:eastAsia="仿宋_GB2312"/>
          <w:sz w:val="32"/>
          <w:szCs w:val="32"/>
        </w:rPr>
        <w:t>2.</w:t>
      </w:r>
      <w:r>
        <w:rPr>
          <w:rFonts w:hint="eastAsia" w:ascii="Times New Roman" w:hAnsi="Times New Roman" w:eastAsia="仿宋_GB2312"/>
          <w:sz w:val="32"/>
        </w:rPr>
        <w:t xml:space="preserve"> </w:t>
      </w:r>
      <w:r>
        <w:rPr>
          <w:rFonts w:hint="eastAsia" w:ascii="Times New Roman" w:hAnsi="Times New Roman" w:eastAsia="仿宋_GB2312"/>
          <w:sz w:val="32"/>
          <w:szCs w:val="32"/>
        </w:rPr>
        <w:t>考试考务成本性支出项目组织实施过程中，全疆中职考务根据学生在校学习进度情况，为了提高学生知识掌握程度及考生考试通过率，调整考试时间至2024年12月第二周举行，致使考务工作经费未能及时执行</w:t>
      </w:r>
      <w:r>
        <w:rPr>
          <w:rFonts w:hint="eastAsia" w:ascii="Times New Roman" w:hAnsi="Times New Roman" w:eastAsia="仿宋_GB2312"/>
          <w:sz w:val="32"/>
          <w:szCs w:val="32"/>
          <w:lang w:eastAsia="zh-CN"/>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七</w:t>
      </w:r>
      <w:r>
        <w:rPr>
          <w:rFonts w:hint="eastAsia" w:ascii="黑体" w:hAnsi="黑体" w:eastAsia="黑体" w:cs="黑体"/>
          <w:sz w:val="32"/>
          <w:szCs w:val="32"/>
          <w:lang w:eastAsia="zh-CN"/>
        </w:rPr>
        <w:t>、</w:t>
      </w:r>
      <w:r>
        <w:rPr>
          <w:rFonts w:hint="eastAsia" w:ascii="黑体" w:hAnsi="黑体" w:eastAsia="黑体" w:cs="黑体"/>
          <w:sz w:val="32"/>
          <w:szCs w:val="32"/>
        </w:rPr>
        <w:t>有关建议</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1.多进行有关绩效管理工作方面的培训。积极组织第三方开展绩效管理工作培训，进一步夯实业务基础，提高我单位绩效人员水平。</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2.专门设定对绩效工作人员定职、定岗、定责等相关制度措施，进一步提升我单位绩效管理工作业务水平，扎实做好绩效管理工作。</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3.进一步规范项目建设的程序。项目前期做好可行性研究报告，更加细化实施方案，严格执行资金管理办法和财政资金管理制度，严格按照项目实施方案、招投标管理办法等稳步推进工作。</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28"/>
        </w:rPr>
      </w:pPr>
      <w:r>
        <w:rPr>
          <w:rFonts w:ascii="Times New Roman" w:hAnsi="Times New Roman" w:eastAsia="仿宋_GB2312"/>
          <w:sz w:val="32"/>
          <w:szCs w:val="32"/>
        </w:rPr>
        <w:t>4.进一步完善项目评价过程中有关数据和资料的收集、整理、审核及分析。项目启动时同步做好档案的归纳与整理，及时整理、收集、汇总，健全档案资料。项目后续管理有待进一步加强和跟踪。</w:t>
      </w:r>
    </w:p>
    <w:p>
      <w:pPr>
        <w:pageBreakBefore w:val="0"/>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eastAsia="仿宋_GB2312"/>
          <w:sz w:val="32"/>
          <w:szCs w:val="32"/>
        </w:rPr>
      </w:pPr>
      <w:r>
        <w:rPr>
          <w:rFonts w:ascii="Times New Roman" w:hAnsi="Times New Roman" w:eastAsia="仿宋_GB2312"/>
          <w:sz w:val="32"/>
          <w:szCs w:val="32"/>
        </w:rPr>
        <w:t>5.进一步加强对绩效管理工作的组织领导，提高对预算绩效管理工作重要性的认识，总结经验查找问题，抓紧研究制定更全面更完善的绩效评价管理办法。加大实施预算绩效管理和绩效管理工作的学习力度，让“花钱必问效，无效必问责”的理念深入工作每个环节。</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八</w:t>
      </w:r>
      <w:r>
        <w:rPr>
          <w:rFonts w:hint="eastAsia" w:ascii="黑体" w:hAnsi="黑体" w:eastAsia="黑体" w:cs="黑体"/>
          <w:sz w:val="32"/>
          <w:szCs w:val="32"/>
          <w:lang w:eastAsia="zh-CN"/>
        </w:rPr>
        <w:t>、</w:t>
      </w:r>
      <w:r>
        <w:rPr>
          <w:rFonts w:hint="eastAsia" w:ascii="黑体" w:hAnsi="黑体" w:eastAsia="黑体" w:cs="黑体"/>
          <w:sz w:val="32"/>
          <w:szCs w:val="32"/>
        </w:rPr>
        <w:t>其他需要说</w:t>
      </w:r>
      <w:bookmarkStart w:id="0" w:name="page8"/>
      <w:bookmarkEnd w:id="0"/>
      <w:r>
        <w:rPr>
          <w:rFonts w:hint="eastAsia" w:ascii="黑体" w:hAnsi="黑体" w:eastAsia="黑体" w:cs="黑体"/>
          <w:sz w:val="32"/>
          <w:szCs w:val="32"/>
        </w:rPr>
        <w:t>明的问题</w:t>
      </w:r>
    </w:p>
    <w:p>
      <w:pPr>
        <w:pStyle w:val="13"/>
        <w:pageBreakBefore w:val="0"/>
        <w:kinsoku/>
        <w:wordWrap/>
        <w:overflowPunct/>
        <w:topLinePunct w:val="0"/>
        <w:autoSpaceDE/>
        <w:autoSpaceDN/>
        <w:bidi w:val="0"/>
        <w:adjustRightInd/>
        <w:snapToGrid/>
        <w:spacing w:after="0" w:line="560" w:lineRule="exact"/>
        <w:ind w:left="0" w:leftChars="0" w:firstLine="640"/>
        <w:textAlignment w:val="auto"/>
        <w:rPr>
          <w:rFonts w:ascii="Times New Roman" w:hAnsi="Times New Roman" w:eastAsia="仿宋_GB2312"/>
          <w:sz w:val="32"/>
          <w:szCs w:val="32"/>
          <w:lang w:eastAsia="zh-Hans"/>
        </w:rPr>
      </w:pPr>
      <w:r>
        <w:rPr>
          <w:rFonts w:ascii="Times New Roman" w:hAnsi="Times New Roman" w:eastAsia="仿宋_GB2312"/>
          <w:sz w:val="32"/>
          <w:szCs w:val="32"/>
          <w:lang w:eastAsia="zh-Hans"/>
        </w:rPr>
        <w:t>本项目无其他需说明的问题。</w:t>
      </w:r>
    </w:p>
    <w:p>
      <w:pPr>
        <w:pStyle w:val="13"/>
        <w:spacing w:after="0" w:line="560" w:lineRule="exact"/>
        <w:ind w:left="0" w:leftChars="0" w:firstLine="640"/>
        <w:rPr>
          <w:rFonts w:ascii="Times New Roman" w:hAnsi="Times New Roman" w:eastAsia="仿宋_GB2312"/>
          <w:sz w:val="32"/>
          <w:szCs w:val="32"/>
        </w:rPr>
      </w:pPr>
    </w:p>
    <w:p>
      <w:pPr>
        <w:pStyle w:val="13"/>
        <w:spacing w:after="0" w:line="560" w:lineRule="exact"/>
        <w:ind w:left="0" w:leftChars="0" w:firstLine="640"/>
        <w:rPr>
          <w:rFonts w:ascii="Times New Roman" w:hAnsi="Times New Roman" w:eastAsia="仿宋_GB2312"/>
          <w:sz w:val="32"/>
          <w:szCs w:val="32"/>
        </w:rPr>
      </w:pPr>
    </w:p>
    <w:p>
      <w:pPr>
        <w:pStyle w:val="13"/>
        <w:spacing w:after="0" w:line="560" w:lineRule="exact"/>
        <w:ind w:left="0" w:leftChars="0" w:firstLine="640"/>
        <w:rPr>
          <w:rFonts w:ascii="Times New Roman" w:hAnsi="Times New Roman" w:eastAsia="仿宋_GB2312"/>
          <w:sz w:val="32"/>
          <w:szCs w:val="32"/>
        </w:rPr>
      </w:pPr>
    </w:p>
    <w:p>
      <w:pPr>
        <w:pStyle w:val="13"/>
        <w:spacing w:after="0" w:line="560" w:lineRule="exact"/>
        <w:ind w:left="0" w:leftChars="0" w:firstLine="0" w:firstLineChars="0"/>
        <w:rPr>
          <w:rFonts w:ascii="Times New Roman" w:hAnsi="Times New Roman" w:eastAsia="仿宋_GB2312"/>
          <w:sz w:val="32"/>
          <w:szCs w:val="32"/>
        </w:rPr>
      </w:pPr>
    </w:p>
    <w:p>
      <w:pPr>
        <w:spacing w:line="600" w:lineRule="exact"/>
        <w:rPr>
          <w:rFonts w:eastAsia="黑体"/>
          <w:sz w:val="32"/>
          <w:szCs w:val="32"/>
        </w:rPr>
        <w:sectPr>
          <w:footerReference r:id="rId5" w:type="default"/>
          <w:pgSz w:w="11906" w:h="16838"/>
          <w:pgMar w:top="2098" w:right="1474" w:bottom="1984" w:left="1587" w:header="851" w:footer="992" w:gutter="0"/>
          <w:pgNumType w:start="1"/>
          <w:cols w:space="425" w:num="1"/>
          <w:docGrid w:type="lines" w:linePitch="312" w:charSpace="0"/>
        </w:sectPr>
      </w:pPr>
    </w:p>
    <w:p>
      <w:pPr>
        <w:spacing w:line="600" w:lineRule="exact"/>
        <w:rPr>
          <w:rFonts w:eastAsia="黑体"/>
          <w:sz w:val="32"/>
          <w:szCs w:val="32"/>
        </w:rPr>
      </w:pPr>
      <w:r>
        <w:rPr>
          <w:rFonts w:hint="eastAsia" w:eastAsia="黑体"/>
          <w:sz w:val="32"/>
          <w:szCs w:val="32"/>
        </w:rPr>
        <w:t>附件1</w:t>
      </w:r>
    </w:p>
    <w:p>
      <w:pPr>
        <w:pStyle w:val="19"/>
        <w:ind w:firstLine="562"/>
        <w:jc w:val="center"/>
        <w:rPr>
          <w:rFonts w:ascii="仿宋_GB2312" w:hAnsi="仿宋_GB2312" w:eastAsia="仿宋_GB2312" w:cs="仿宋_GB2312"/>
          <w:sz w:val="28"/>
          <w:szCs w:val="40"/>
          <w:highlight w:val="none"/>
        </w:rPr>
      </w:pPr>
      <w:bookmarkStart w:id="1" w:name="_Toc30064_WPSOffice_Level1"/>
      <w:bookmarkStart w:id="2" w:name="_Toc26499_WPSOffice_Level2"/>
      <w:r>
        <w:rPr>
          <w:rFonts w:hint="eastAsia" w:ascii="仿宋_GB2312" w:hAnsi="仿宋_GB2312" w:eastAsia="仿宋_GB2312" w:cs="仿宋_GB2312"/>
          <w:b/>
          <w:bCs/>
          <w:sz w:val="28"/>
          <w:szCs w:val="40"/>
          <w:highlight w:val="none"/>
        </w:rPr>
        <w:t>全疆考试考务运维工作经费项目绩效评价指标体系及综合评分表</w:t>
      </w:r>
      <w:bookmarkEnd w:id="1"/>
      <w:bookmarkEnd w:id="2"/>
    </w:p>
    <w:tbl>
      <w:tblPr>
        <w:tblStyle w:val="14"/>
        <w:tblW w:w="14174"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96"/>
        <w:gridCol w:w="596"/>
        <w:gridCol w:w="661"/>
        <w:gridCol w:w="4407"/>
        <w:gridCol w:w="6986"/>
        <w:gridCol w:w="464"/>
        <w:gridCol w:w="46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596"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一级指标</w:t>
            </w:r>
          </w:p>
        </w:tc>
        <w:tc>
          <w:tcPr>
            <w:tcW w:w="596"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二级指标</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三级指标</w:t>
            </w:r>
          </w:p>
        </w:tc>
        <w:tc>
          <w:tcPr>
            <w:tcW w:w="4407"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指标解释</w:t>
            </w:r>
          </w:p>
        </w:tc>
        <w:tc>
          <w:tcPr>
            <w:tcW w:w="6986"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指标说明</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权重</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596" w:type="dxa"/>
            <w:vMerge w:val="restart"/>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决策　</w:t>
            </w:r>
          </w:p>
        </w:tc>
        <w:tc>
          <w:tcPr>
            <w:tcW w:w="596" w:type="dxa"/>
            <w:vMerge w:val="restart"/>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项目立项　</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立项依据</w:t>
            </w: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充分性</w:t>
            </w:r>
          </w:p>
        </w:tc>
        <w:tc>
          <w:tcPr>
            <w:tcW w:w="4407" w:type="dxa"/>
            <w:shd w:val="clear" w:color="auto"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项目立项是否符合法律法规、相关政策、发展规划以及部门职责，用以反映和考核项目立项依据情况。</w:t>
            </w:r>
          </w:p>
        </w:tc>
        <w:tc>
          <w:tcPr>
            <w:tcW w:w="6986" w:type="dxa"/>
            <w:shd w:val="clear" w:color="auto" w:fill="FFFFFF"/>
            <w:vAlign w:val="center"/>
          </w:tcPr>
          <w:p>
            <w:pPr>
              <w:widowControl/>
              <w:spacing w:line="0" w:lineRule="atLeast"/>
              <w:jc w:val="lef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评价要点：</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①项目立项是否符合国家法律法规、国民经济发展规划和相关政策；</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②项目立项是否符合行业发展规划和政策要求；</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③项目立项是否与部门职责范围相符，属于部门履职所需；</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④项目是否属于公共财政支持范围，是否符合中央、地方事权支出责任划分原则；</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⑤项目是否与相关部门同类项目或部门内部相关项目重复。</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3</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lang w:eastAsia="zh-CN"/>
              </w:rPr>
            </w:pPr>
            <w:r>
              <w:rPr>
                <w:rFonts w:hint="eastAsia" w:asciiTheme="minorEastAsia" w:hAnsiTheme="minorEastAsia" w:eastAsiaTheme="minorEastAsia" w:cstheme="minorEastAsia"/>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596" w:type="dxa"/>
            <w:vMerge w:val="continue"/>
            <w:shd w:val="clear" w:color="auto" w:fill="FFFFFF"/>
            <w:vAlign w:val="center"/>
          </w:tcPr>
          <w:p>
            <w:pPr>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vMerge w:val="continue"/>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立项程序</w:t>
            </w: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规范性</w:t>
            </w:r>
          </w:p>
        </w:tc>
        <w:tc>
          <w:tcPr>
            <w:tcW w:w="4407" w:type="dxa"/>
            <w:shd w:val="clear" w:color="auto"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项目申请、设立过程是否符合相关要求，用以反映和考核项目立项的规范情况。</w:t>
            </w:r>
          </w:p>
        </w:tc>
        <w:tc>
          <w:tcPr>
            <w:tcW w:w="6986" w:type="dxa"/>
            <w:shd w:val="clear" w:color="auto" w:fill="FFFFFF"/>
            <w:vAlign w:val="center"/>
          </w:tcPr>
          <w:p>
            <w:pPr>
              <w:widowControl/>
              <w:spacing w:line="0" w:lineRule="atLeast"/>
              <w:jc w:val="lef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评价要点：</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①项目是否按照规定的程序申请设立；</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②审批文件、材料是否符合相关要求；</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③事前是否已经过必要的可行性研究、专家论证、风险评估、绩效评估、集体决策。</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3</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lang w:eastAsia="zh-CN"/>
              </w:rPr>
            </w:pPr>
            <w:r>
              <w:rPr>
                <w:rFonts w:hint="eastAsia" w:asciiTheme="minorEastAsia" w:hAnsiTheme="minorEastAsia" w:eastAsiaTheme="minorEastAsia" w:cstheme="minorEastAsia"/>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596" w:type="dxa"/>
            <w:vMerge w:val="continue"/>
            <w:shd w:val="clear" w:color="auto" w:fill="FFFFFF"/>
            <w:vAlign w:val="center"/>
          </w:tcPr>
          <w:p>
            <w:pPr>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vMerge w:val="restart"/>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绩效目标　</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绩效目标</w:t>
            </w: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合理性</w:t>
            </w:r>
          </w:p>
        </w:tc>
        <w:tc>
          <w:tcPr>
            <w:tcW w:w="4407"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项目所设定的绩效目标是否依据充分，是否符合客观实际，用以反映和考核项目绩效目标与项目实施的相符情况。</w:t>
            </w:r>
          </w:p>
        </w:tc>
        <w:tc>
          <w:tcPr>
            <w:tcW w:w="6986" w:type="dxa"/>
            <w:shd w:val="clear" w:color="000000" w:fill="FFFFFF"/>
            <w:vAlign w:val="center"/>
          </w:tcPr>
          <w:p>
            <w:pPr>
              <w:widowControl/>
              <w:spacing w:line="0" w:lineRule="atLeast"/>
              <w:jc w:val="lef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评价要点：</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（如未设定预算绩效目标，也可考核其他工作任务目标）</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①项目是否有绩效目标；</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②项目绩效目标与实际工作内容是否具有相关性；</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③项目预期产出效益和效果是否符合正常的业绩水平；</w:t>
            </w:r>
          </w:p>
          <w:p>
            <w:pPr>
              <w:widowControl/>
              <w:spacing w:line="0" w:lineRule="atLeast"/>
              <w:jc w:val="lef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④是否与预算确定的项目投资额或资金量相匹配。</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3</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lang w:eastAsia="zh-CN"/>
              </w:rPr>
            </w:pPr>
            <w:r>
              <w:rPr>
                <w:rFonts w:hint="eastAsia" w:asciiTheme="minorEastAsia" w:hAnsiTheme="minorEastAsia" w:eastAsiaTheme="minorEastAsia" w:cstheme="minorEastAsia"/>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596" w:type="dxa"/>
            <w:vMerge w:val="continue"/>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vMerge w:val="continue"/>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绩效指标</w:t>
            </w: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明确性</w:t>
            </w:r>
          </w:p>
        </w:tc>
        <w:tc>
          <w:tcPr>
            <w:tcW w:w="4407"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依据绩效目标设定的绩效指标是否清晰、细化、可衡量等，用以反映和考核项目绩效目标的明细化情况。</w:t>
            </w:r>
          </w:p>
        </w:tc>
        <w:tc>
          <w:tcPr>
            <w:tcW w:w="6986"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评价要点：</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①是否将项目绩效目标细化分解为具体的绩效指标；</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②是否通过清晰、可衡量的指标值予以体现；</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③是否与项目目标任务数或计划数相对应。</w:t>
            </w:r>
            <w:r>
              <w:rPr>
                <w:rFonts w:hint="eastAsia" w:asciiTheme="minorEastAsia" w:hAnsiTheme="minorEastAsia" w:eastAsiaTheme="minorEastAsia" w:cstheme="minorEastAsia"/>
                <w:color w:val="000000"/>
                <w:kern w:val="0"/>
                <w:sz w:val="18"/>
                <w:szCs w:val="18"/>
                <w:highlight w:val="none"/>
              </w:rPr>
              <w:br w:type="textWrapping"/>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3</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lang w:eastAsia="zh-CN"/>
              </w:rPr>
            </w:pPr>
            <w:r>
              <w:rPr>
                <w:rFonts w:hint="eastAsia" w:asciiTheme="minorEastAsia" w:hAnsiTheme="minorEastAsia" w:eastAsiaTheme="minorEastAsia" w:cstheme="minorEastAsia"/>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87" w:hRule="atLeast"/>
          <w:jc w:val="center"/>
        </w:trPr>
        <w:tc>
          <w:tcPr>
            <w:tcW w:w="596" w:type="dxa"/>
            <w:vMerge w:val="continue"/>
            <w:shd w:val="clear" w:color="auto" w:fill="FFFFFF"/>
            <w:vAlign w:val="center"/>
          </w:tcPr>
          <w:p>
            <w:pPr>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vMerge w:val="restart"/>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资金投入</w:t>
            </w:r>
          </w:p>
          <w:p>
            <w:pPr>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　</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预算编制</w:t>
            </w: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科学性</w:t>
            </w:r>
          </w:p>
        </w:tc>
        <w:tc>
          <w:tcPr>
            <w:tcW w:w="4407" w:type="dxa"/>
            <w:shd w:val="clear" w:color="auto"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项目预算编制是否经过科学论证、有明确标准，资金额度与年度目标是否相适应，用以反映和考核项目预算编制的科学性、合理性情况。</w:t>
            </w:r>
          </w:p>
        </w:tc>
        <w:tc>
          <w:tcPr>
            <w:tcW w:w="6986" w:type="dxa"/>
            <w:shd w:val="clear" w:color="auto"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评价要点：</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①预算编制是否经过科学论证；</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②预算内容与项目内容是否匹配；</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③预算额度测算依据是否充分，是否按照标准编制；</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④预算确定的项目投资额或资金量是否与工作任务相匹配。</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4</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lang w:eastAsia="zh-CN"/>
              </w:rPr>
            </w:pPr>
            <w:r>
              <w:rPr>
                <w:rFonts w:hint="eastAsia" w:asciiTheme="minorEastAsia" w:hAnsiTheme="minorEastAsia" w:eastAsiaTheme="minorEastAsia" w:cstheme="minorEastAsia"/>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071" w:hRule="atLeast"/>
          <w:jc w:val="center"/>
        </w:trPr>
        <w:tc>
          <w:tcPr>
            <w:tcW w:w="596" w:type="dxa"/>
            <w:vMerge w:val="continue"/>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vMerge w:val="continue"/>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资金分配</w:t>
            </w: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合理性</w:t>
            </w:r>
          </w:p>
        </w:tc>
        <w:tc>
          <w:tcPr>
            <w:tcW w:w="4407" w:type="dxa"/>
            <w:shd w:val="clear" w:color="auto"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项目预算资金分配是否有测算依据，与补助单位或地方实际是否相适应，用以反映和考核项目预算资金分配的科学性、合理性情况。</w:t>
            </w:r>
          </w:p>
        </w:tc>
        <w:tc>
          <w:tcPr>
            <w:tcW w:w="6986" w:type="dxa"/>
            <w:shd w:val="clear" w:color="auto"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评价要点：</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①预算资金分配依据是否充分；</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②资金分配额度是否合理，与项目单位或地方实际是否相适应。</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4</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lang w:eastAsia="zh-CN"/>
              </w:rPr>
            </w:pPr>
            <w:r>
              <w:rPr>
                <w:rFonts w:hint="eastAsia" w:asciiTheme="minorEastAsia" w:hAnsiTheme="minorEastAsia" w:eastAsiaTheme="minorEastAsia" w:cstheme="minorEastAsia"/>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55" w:hRule="atLeast"/>
          <w:jc w:val="center"/>
        </w:trPr>
        <w:tc>
          <w:tcPr>
            <w:tcW w:w="596" w:type="dxa"/>
            <w:vMerge w:val="restart"/>
            <w:shd w:val="clear" w:color="auto" w:fill="FFFFFF"/>
            <w:vAlign w:val="center"/>
          </w:tcPr>
          <w:p>
            <w:pPr>
              <w:spacing w:line="0" w:lineRule="atLeast"/>
              <w:jc w:val="center"/>
              <w:rPr>
                <w:rFonts w:hint="eastAsia" w:asciiTheme="minorEastAsia" w:hAnsiTheme="minorEastAsia" w:eastAsiaTheme="minorEastAsia" w:cstheme="minorEastAsia"/>
                <w:color w:val="000000"/>
                <w:kern w:val="0"/>
                <w:sz w:val="18"/>
                <w:szCs w:val="18"/>
                <w:highlight w:val="none"/>
              </w:rPr>
            </w:pPr>
          </w:p>
          <w:p>
            <w:pPr>
              <w:spacing w:line="0" w:lineRule="atLeast"/>
              <w:jc w:val="center"/>
              <w:rPr>
                <w:rFonts w:hint="eastAsia" w:asciiTheme="minorEastAsia" w:hAnsiTheme="minorEastAsia" w:eastAsiaTheme="minorEastAsia" w:cstheme="minorEastAsia"/>
                <w:color w:val="000000"/>
                <w:kern w:val="0"/>
                <w:sz w:val="18"/>
                <w:szCs w:val="18"/>
                <w:highlight w:val="none"/>
              </w:rPr>
            </w:pPr>
          </w:p>
          <w:p>
            <w:pPr>
              <w:spacing w:line="0" w:lineRule="atLeast"/>
              <w:jc w:val="center"/>
              <w:rPr>
                <w:rFonts w:hint="eastAsia" w:asciiTheme="minorEastAsia" w:hAnsiTheme="minorEastAsia" w:eastAsiaTheme="minorEastAsia" w:cstheme="minorEastAsia"/>
                <w:color w:val="000000"/>
                <w:kern w:val="0"/>
                <w:sz w:val="18"/>
                <w:szCs w:val="18"/>
                <w:highlight w:val="none"/>
              </w:rPr>
            </w:pPr>
          </w:p>
          <w:p>
            <w:pPr>
              <w:spacing w:line="0" w:lineRule="atLeast"/>
              <w:jc w:val="center"/>
              <w:rPr>
                <w:rFonts w:hint="eastAsia" w:asciiTheme="minorEastAsia" w:hAnsiTheme="minorEastAsia" w:eastAsiaTheme="minorEastAsia" w:cstheme="minorEastAsia"/>
                <w:color w:val="000000"/>
                <w:kern w:val="0"/>
                <w:sz w:val="18"/>
                <w:szCs w:val="18"/>
                <w:highlight w:val="none"/>
              </w:rPr>
            </w:pPr>
          </w:p>
          <w:p>
            <w:pPr>
              <w:spacing w:line="0" w:lineRule="atLeast"/>
              <w:jc w:val="center"/>
              <w:rPr>
                <w:rFonts w:hint="eastAsia" w:asciiTheme="minorEastAsia" w:hAnsiTheme="minorEastAsia" w:eastAsiaTheme="minorEastAsia" w:cstheme="minorEastAsia"/>
                <w:color w:val="000000"/>
                <w:kern w:val="0"/>
                <w:sz w:val="18"/>
                <w:szCs w:val="18"/>
                <w:highlight w:val="none"/>
              </w:rPr>
            </w:pPr>
          </w:p>
          <w:p>
            <w:pPr>
              <w:spacing w:line="0" w:lineRule="atLeast"/>
              <w:jc w:val="center"/>
              <w:rPr>
                <w:rFonts w:hint="eastAsia" w:asciiTheme="minorEastAsia" w:hAnsiTheme="minorEastAsia" w:eastAsiaTheme="minorEastAsia" w:cstheme="minorEastAsia"/>
                <w:color w:val="000000"/>
                <w:kern w:val="0"/>
                <w:sz w:val="18"/>
                <w:szCs w:val="18"/>
                <w:highlight w:val="none"/>
              </w:rPr>
            </w:pPr>
          </w:p>
          <w:p>
            <w:pPr>
              <w:spacing w:line="0" w:lineRule="atLeast"/>
              <w:jc w:val="center"/>
              <w:rPr>
                <w:rFonts w:hint="eastAsia" w:asciiTheme="minorEastAsia" w:hAnsiTheme="minorEastAsia" w:eastAsiaTheme="minorEastAsia" w:cstheme="minorEastAsia"/>
                <w:color w:val="000000"/>
                <w:kern w:val="0"/>
                <w:sz w:val="18"/>
                <w:szCs w:val="18"/>
                <w:highlight w:val="none"/>
              </w:rPr>
            </w:pPr>
          </w:p>
          <w:p>
            <w:pPr>
              <w:spacing w:line="0" w:lineRule="atLeast"/>
              <w:jc w:val="center"/>
              <w:rPr>
                <w:rFonts w:hint="eastAsia" w:asciiTheme="minorEastAsia" w:hAnsiTheme="minorEastAsia" w:eastAsiaTheme="minorEastAsia" w:cstheme="minorEastAsia"/>
                <w:color w:val="000000"/>
                <w:kern w:val="0"/>
                <w:sz w:val="18"/>
                <w:szCs w:val="18"/>
                <w:highlight w:val="none"/>
              </w:rPr>
            </w:pPr>
          </w:p>
          <w:p>
            <w:pPr>
              <w:spacing w:line="0" w:lineRule="atLeast"/>
              <w:jc w:val="center"/>
              <w:rPr>
                <w:rFonts w:hint="eastAsia" w:asciiTheme="minorEastAsia" w:hAnsiTheme="minorEastAsia" w:eastAsiaTheme="minorEastAsia" w:cstheme="minorEastAsia"/>
                <w:color w:val="000000"/>
                <w:kern w:val="0"/>
                <w:sz w:val="18"/>
                <w:szCs w:val="18"/>
                <w:highlight w:val="none"/>
              </w:rPr>
            </w:pPr>
          </w:p>
          <w:p>
            <w:pPr>
              <w:spacing w:line="0" w:lineRule="atLeast"/>
              <w:jc w:val="center"/>
              <w:rPr>
                <w:rFonts w:hint="eastAsia" w:asciiTheme="minorEastAsia" w:hAnsiTheme="minorEastAsia" w:eastAsiaTheme="minorEastAsia" w:cstheme="minorEastAsia"/>
                <w:color w:val="000000"/>
                <w:kern w:val="0"/>
                <w:sz w:val="18"/>
                <w:szCs w:val="18"/>
                <w:highlight w:val="none"/>
              </w:rPr>
            </w:pPr>
          </w:p>
          <w:p>
            <w:pPr>
              <w:spacing w:line="0" w:lineRule="atLeast"/>
              <w:jc w:val="center"/>
              <w:rPr>
                <w:rFonts w:hint="eastAsia" w:asciiTheme="minorEastAsia" w:hAnsiTheme="minorEastAsia" w:eastAsiaTheme="minorEastAsia" w:cstheme="minorEastAsia"/>
                <w:color w:val="000000"/>
                <w:kern w:val="0"/>
                <w:sz w:val="18"/>
                <w:szCs w:val="18"/>
                <w:highlight w:val="none"/>
              </w:rPr>
            </w:pPr>
          </w:p>
          <w:p>
            <w:pPr>
              <w:spacing w:line="0" w:lineRule="atLeast"/>
              <w:jc w:val="center"/>
              <w:rPr>
                <w:rFonts w:hint="eastAsia" w:asciiTheme="minorEastAsia" w:hAnsiTheme="minorEastAsia" w:eastAsiaTheme="minorEastAsia" w:cstheme="minorEastAsia"/>
                <w:color w:val="000000"/>
                <w:kern w:val="0"/>
                <w:sz w:val="18"/>
                <w:szCs w:val="18"/>
                <w:highlight w:val="none"/>
              </w:rPr>
            </w:pPr>
          </w:p>
          <w:p>
            <w:pPr>
              <w:spacing w:line="0" w:lineRule="atLeast"/>
              <w:jc w:val="center"/>
              <w:rPr>
                <w:rFonts w:hint="eastAsia" w:asciiTheme="minorEastAsia" w:hAnsiTheme="minorEastAsia" w:eastAsiaTheme="minorEastAsia" w:cstheme="minorEastAsia"/>
                <w:color w:val="000000"/>
                <w:kern w:val="0"/>
                <w:sz w:val="18"/>
                <w:szCs w:val="18"/>
                <w:highlight w:val="none"/>
              </w:rPr>
            </w:pPr>
          </w:p>
          <w:p>
            <w:pPr>
              <w:spacing w:line="0" w:lineRule="atLeast"/>
              <w:jc w:val="center"/>
              <w:rPr>
                <w:rFonts w:hint="eastAsia" w:asciiTheme="minorEastAsia" w:hAnsiTheme="minorEastAsia" w:eastAsiaTheme="minorEastAsia" w:cstheme="minorEastAsia"/>
                <w:color w:val="000000"/>
                <w:kern w:val="0"/>
                <w:sz w:val="18"/>
                <w:szCs w:val="18"/>
                <w:highlight w:val="none"/>
              </w:rPr>
            </w:pPr>
          </w:p>
          <w:p>
            <w:pPr>
              <w:spacing w:line="0" w:lineRule="atLeast"/>
              <w:jc w:val="center"/>
              <w:rPr>
                <w:rFonts w:hint="eastAsia" w:asciiTheme="minorEastAsia" w:hAnsiTheme="minorEastAsia" w:eastAsiaTheme="minorEastAsia" w:cstheme="minorEastAsia"/>
                <w:color w:val="000000"/>
                <w:kern w:val="0"/>
                <w:sz w:val="18"/>
                <w:szCs w:val="18"/>
                <w:highlight w:val="none"/>
              </w:rPr>
            </w:pPr>
          </w:p>
          <w:p>
            <w:pPr>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过程</w:t>
            </w: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　　</w:t>
            </w:r>
          </w:p>
        </w:tc>
        <w:tc>
          <w:tcPr>
            <w:tcW w:w="596" w:type="dxa"/>
            <w:vMerge w:val="restart"/>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资金管理</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资金到位率</w:t>
            </w:r>
          </w:p>
        </w:tc>
        <w:tc>
          <w:tcPr>
            <w:tcW w:w="4407"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实际到位资金与预算资金的比率，用以反映和考核资金落实情况对项目实施的总体保障程度。</w:t>
            </w:r>
          </w:p>
        </w:tc>
        <w:tc>
          <w:tcPr>
            <w:tcW w:w="6986"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资金到位率=（实际到位资金/预算资金）×100%。</w:t>
            </w:r>
          </w:p>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实际到位资金：一定时期（本年度或项目期）内落实到具体项目的资金。</w:t>
            </w:r>
          </w:p>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预算资金：一定时期（本年度或项目期）内预算安排到具体项目的资金。</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4</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lang w:eastAsia="zh-CN"/>
              </w:rPr>
            </w:pPr>
            <w:r>
              <w:rPr>
                <w:rFonts w:hint="eastAsia" w:asciiTheme="minorEastAsia" w:hAnsiTheme="minorEastAsia" w:eastAsiaTheme="minorEastAsia" w:cstheme="minorEastAsia"/>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015" w:hRule="atLeast"/>
          <w:jc w:val="center"/>
        </w:trPr>
        <w:tc>
          <w:tcPr>
            <w:tcW w:w="596" w:type="dxa"/>
            <w:vMerge w:val="continue"/>
            <w:shd w:val="clear" w:color="auto" w:fill="FFFFFF"/>
            <w:vAlign w:val="center"/>
          </w:tcPr>
          <w:p>
            <w:pPr>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vMerge w:val="continue"/>
            <w:shd w:val="clear" w:color="auto" w:fill="FFFFFF"/>
            <w:vAlign w:val="center"/>
          </w:tcPr>
          <w:p>
            <w:pPr>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预算执行率</w:t>
            </w:r>
          </w:p>
        </w:tc>
        <w:tc>
          <w:tcPr>
            <w:tcW w:w="4407" w:type="dxa"/>
            <w:shd w:val="clear" w:color="auto"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项目预算资金是否按照计划执行，用以反映或考核项目预算执行情况。</w:t>
            </w:r>
          </w:p>
        </w:tc>
        <w:tc>
          <w:tcPr>
            <w:tcW w:w="6986" w:type="dxa"/>
            <w:shd w:val="clear" w:color="auto"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预算执行率=（实际支出资金/实际到位资金）×100%。</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实际支出资金：一定时期（本年度或项目期）内项目实际拨付的资金。</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4</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lang w:eastAsia="zh-CN"/>
              </w:rPr>
            </w:pPr>
            <w:r>
              <w:rPr>
                <w:rFonts w:hint="eastAsia" w:asciiTheme="minorEastAsia" w:hAnsiTheme="minorEastAsia" w:eastAsiaTheme="minorEastAsia" w:cstheme="minorEastAsia"/>
                <w:b/>
                <w:bCs/>
                <w:color w:val="000000"/>
                <w:kern w:val="0"/>
                <w:sz w:val="18"/>
                <w:szCs w:val="18"/>
                <w:highlight w:val="none"/>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51" w:hRule="atLeast"/>
          <w:jc w:val="center"/>
        </w:trPr>
        <w:tc>
          <w:tcPr>
            <w:tcW w:w="596" w:type="dxa"/>
            <w:vMerge w:val="continue"/>
            <w:shd w:val="clear" w:color="auto" w:fill="FFFFFF"/>
            <w:vAlign w:val="center"/>
          </w:tcPr>
          <w:p>
            <w:pPr>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资金管理</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资金使用</w:t>
            </w: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合规性</w:t>
            </w:r>
          </w:p>
        </w:tc>
        <w:tc>
          <w:tcPr>
            <w:tcW w:w="4407"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项目资金使用是否符合相关的财务管理制度规定，用以反映和考核项目资金的规范运行情况。</w:t>
            </w:r>
          </w:p>
        </w:tc>
        <w:tc>
          <w:tcPr>
            <w:tcW w:w="6986"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评价要点：</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①是否符合国家财经法规和财务管理制度以及有关专项资金管理办法的规定；</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②资金的拨付是否有完整的审批程序和手续；</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③是否符合项目预算批复或合同规定的用途；</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④是否存在截留、挤占、挪用、虚列支出等情况。</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4</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lang w:val="en-US" w:eastAsia="zh-CN"/>
              </w:rPr>
            </w:pPr>
            <w:r>
              <w:rPr>
                <w:rFonts w:hint="eastAsia" w:asciiTheme="minorEastAsia" w:hAnsiTheme="minorEastAsia" w:eastAsiaTheme="minorEastAsia" w:cstheme="minorEastAsia"/>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82" w:hRule="atLeast"/>
          <w:jc w:val="center"/>
        </w:trPr>
        <w:tc>
          <w:tcPr>
            <w:tcW w:w="596" w:type="dxa"/>
            <w:vMerge w:val="continue"/>
            <w:shd w:val="clear" w:color="auto" w:fill="FFFFFF"/>
            <w:vAlign w:val="center"/>
          </w:tcPr>
          <w:p>
            <w:pPr>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vMerge w:val="restart"/>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组织实施</w:t>
            </w:r>
          </w:p>
          <w:p>
            <w:pPr>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　</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管理制度</w:t>
            </w: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健全性</w:t>
            </w:r>
          </w:p>
        </w:tc>
        <w:tc>
          <w:tcPr>
            <w:tcW w:w="4407"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项目实施单位的财务和业务管理制度是否健全，用以反映和考核财务和业务管理制度对项目顺利实施的保障情况。</w:t>
            </w:r>
          </w:p>
        </w:tc>
        <w:tc>
          <w:tcPr>
            <w:tcW w:w="6986"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评价要点：</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①是否已制定或具有相应的财务和业务管理制度；</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②财务和业务管理制度是否合法、合规、完整。</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4</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lang w:eastAsia="zh-CN"/>
              </w:rPr>
            </w:pPr>
            <w:r>
              <w:rPr>
                <w:rFonts w:hint="eastAsia" w:asciiTheme="minorEastAsia" w:hAnsiTheme="minorEastAsia" w:eastAsiaTheme="minorEastAsia" w:cstheme="minorEastAsia"/>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44" w:hRule="atLeast"/>
          <w:jc w:val="center"/>
        </w:trPr>
        <w:tc>
          <w:tcPr>
            <w:tcW w:w="596" w:type="dxa"/>
            <w:vMerge w:val="continue"/>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vMerge w:val="continue"/>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制度执行</w:t>
            </w:r>
          </w:p>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有效性</w:t>
            </w:r>
          </w:p>
        </w:tc>
        <w:tc>
          <w:tcPr>
            <w:tcW w:w="4407"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项目实施是否符合相关管理规定，用以反映和考核相关管理制度的有效执行情况。</w:t>
            </w:r>
          </w:p>
        </w:tc>
        <w:tc>
          <w:tcPr>
            <w:tcW w:w="6986"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评价要点：</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①是否遵守相关法律法规和相关管理规定；</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②项目调整及支出调整手续是否完备；</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③项目合同书、验收报告、技术鉴定等资料是否齐全并及时归档；</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④项目实施的人员条件、场地设备、信息支撑等是否落实到位。</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4</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lang w:eastAsia="zh-CN"/>
              </w:rPr>
            </w:pPr>
            <w:r>
              <w:rPr>
                <w:rFonts w:hint="eastAsia" w:asciiTheme="minorEastAsia" w:hAnsiTheme="minorEastAsia" w:eastAsiaTheme="minorEastAsia" w:cstheme="minorEastAsia"/>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02" w:hRule="atLeast"/>
          <w:jc w:val="center"/>
        </w:trPr>
        <w:tc>
          <w:tcPr>
            <w:tcW w:w="596" w:type="dxa"/>
            <w:vMerge w:val="restart"/>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产出</w:t>
            </w:r>
          </w:p>
        </w:tc>
        <w:tc>
          <w:tcPr>
            <w:tcW w:w="596"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产出数量</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实际完成率</w:t>
            </w:r>
          </w:p>
        </w:tc>
        <w:tc>
          <w:tcPr>
            <w:tcW w:w="4407"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项目实施的实际产出数与计划产出数的比率，用以反映和考核项目产出数量目标的实现程度。</w:t>
            </w:r>
          </w:p>
        </w:tc>
        <w:tc>
          <w:tcPr>
            <w:tcW w:w="6986"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实际完成率=（实际产出数/计划产出数）×100%。</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实际产出数：一定时期（本年度或项目期）内项目实际产出的产品或提供的服务数量。</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计划产出数：项目绩效目标确定的在一定时期（本年度或项目期）内计划产出的产品或提供的服务数量。</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10</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lang w:val="en-US" w:eastAsia="zh-CN"/>
              </w:rPr>
            </w:pPr>
            <w:r>
              <w:rPr>
                <w:rFonts w:hint="eastAsia" w:asciiTheme="minorEastAsia" w:hAnsiTheme="minorEastAsia" w:eastAsiaTheme="minorEastAsia" w:cstheme="minorEastAsia"/>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3" w:hRule="atLeast"/>
          <w:jc w:val="center"/>
        </w:trPr>
        <w:tc>
          <w:tcPr>
            <w:tcW w:w="596" w:type="dxa"/>
            <w:vMerge w:val="continue"/>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产出质量</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质量达标率</w:t>
            </w:r>
          </w:p>
        </w:tc>
        <w:tc>
          <w:tcPr>
            <w:tcW w:w="4407"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项目完成的质量达标产出数与实际产出数的比率，用以反映和考核项目产出质量目标的实现程度。</w:t>
            </w:r>
          </w:p>
        </w:tc>
        <w:tc>
          <w:tcPr>
            <w:tcW w:w="6986"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质量达标率=（质量达标产出数/实际产出数）×100%。</w:t>
            </w:r>
          </w:p>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10</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lang w:val="en-US" w:eastAsia="zh-CN"/>
              </w:rPr>
            </w:pPr>
            <w:r>
              <w:rPr>
                <w:rFonts w:hint="eastAsia" w:asciiTheme="minorEastAsia" w:hAnsiTheme="minorEastAsia" w:eastAsiaTheme="minorEastAsia" w:cstheme="minorEastAsia"/>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006" w:hRule="atLeast"/>
          <w:jc w:val="center"/>
        </w:trPr>
        <w:tc>
          <w:tcPr>
            <w:tcW w:w="596" w:type="dxa"/>
            <w:vMerge w:val="continue"/>
            <w:shd w:val="clear" w:color="auto" w:fill="FFFFFF"/>
            <w:vAlign w:val="center"/>
          </w:tcPr>
          <w:p>
            <w:pPr>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shd w:val="clear" w:color="auto" w:fill="FFFFFF"/>
            <w:vAlign w:val="center"/>
          </w:tcPr>
          <w:p>
            <w:pPr>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产出时效</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完成及时性</w:t>
            </w:r>
          </w:p>
        </w:tc>
        <w:tc>
          <w:tcPr>
            <w:tcW w:w="4407"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项目实际完成时间与计划完成时间的比较，用以反映和考核项目产出时效目标的实现程度。</w:t>
            </w:r>
          </w:p>
        </w:tc>
        <w:tc>
          <w:tcPr>
            <w:tcW w:w="6986"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实际完成时间：项目实施单位完成该项目实际所耗用的时间。</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计划完成时间：按照项目实施计划或相关规定完成该项目所需的时间。</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10</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lang w:val="en-US" w:eastAsia="zh-CN"/>
              </w:rPr>
            </w:pPr>
            <w:r>
              <w:rPr>
                <w:rFonts w:hint="eastAsia" w:asciiTheme="minorEastAsia" w:hAnsiTheme="minorEastAsia" w:eastAsiaTheme="minorEastAsia" w:cstheme="minorEastAsia"/>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6" w:hRule="atLeast"/>
          <w:jc w:val="center"/>
        </w:trPr>
        <w:tc>
          <w:tcPr>
            <w:tcW w:w="596" w:type="dxa"/>
            <w:vMerge w:val="continue"/>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产出成本</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成本节约率</w:t>
            </w:r>
          </w:p>
        </w:tc>
        <w:tc>
          <w:tcPr>
            <w:tcW w:w="4407"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完成项目计划工作目标的实际节约成本与计划成本的比率，用以反映和考核项目的成本节约程度。</w:t>
            </w:r>
          </w:p>
        </w:tc>
        <w:tc>
          <w:tcPr>
            <w:tcW w:w="6986"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成本节约率=[（计划成本-实际成本）/计划成本]×100%。</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实际成本：项目实施单位如期、保质、保量完成既定工作目标实际所耗费的支出。</w:t>
            </w:r>
            <w:r>
              <w:rPr>
                <w:rFonts w:hint="eastAsia" w:asciiTheme="minorEastAsia" w:hAnsiTheme="minorEastAsia" w:eastAsiaTheme="minorEastAsia" w:cstheme="minorEastAsia"/>
                <w:color w:val="000000"/>
                <w:kern w:val="0"/>
                <w:sz w:val="18"/>
                <w:szCs w:val="18"/>
                <w:highlight w:val="none"/>
              </w:rPr>
              <w:br w:type="textWrapping"/>
            </w:r>
            <w:r>
              <w:rPr>
                <w:rFonts w:hint="eastAsia" w:asciiTheme="minorEastAsia" w:hAnsiTheme="minorEastAsia" w:eastAsiaTheme="minorEastAsia" w:cstheme="minorEastAsia"/>
                <w:color w:val="000000"/>
                <w:kern w:val="0"/>
                <w:sz w:val="18"/>
                <w:szCs w:val="18"/>
                <w:highlight w:val="none"/>
              </w:rPr>
              <w:t>计划成本：项目实施单位为完成工作目标计划安排的支出，一般以项目预算为参考。</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10</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lang w:val="en-US" w:eastAsia="zh-CN"/>
              </w:rPr>
            </w:pPr>
            <w:r>
              <w:rPr>
                <w:rFonts w:hint="eastAsia" w:asciiTheme="minorEastAsia" w:hAnsiTheme="minorEastAsia" w:eastAsiaTheme="minorEastAsia" w:cstheme="minorEastAsia"/>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596" w:type="dxa"/>
            <w:vMerge w:val="restart"/>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效益　</w:t>
            </w:r>
          </w:p>
        </w:tc>
        <w:tc>
          <w:tcPr>
            <w:tcW w:w="596" w:type="dxa"/>
            <w:vMerge w:val="restart"/>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项目效益　</w:t>
            </w: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实施效益</w:t>
            </w:r>
          </w:p>
        </w:tc>
        <w:tc>
          <w:tcPr>
            <w:tcW w:w="4407" w:type="dxa"/>
            <w:shd w:val="clear" w:color="auto" w:fill="FFFFFF"/>
            <w:vAlign w:val="center"/>
          </w:tcPr>
          <w:p>
            <w:pPr>
              <w:widowControl/>
              <w:spacing w:line="0" w:lineRule="atLeast"/>
              <w:jc w:val="lef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项目实施所产生的效益。</w:t>
            </w:r>
          </w:p>
        </w:tc>
        <w:tc>
          <w:tcPr>
            <w:tcW w:w="6986" w:type="dxa"/>
            <w:shd w:val="clear" w:color="auto"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项目实施所产生的社会效益、经济效益、生态效益、可持续影响等。可根据项目实际情况有选择地设置和细化。</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10</w:t>
            </w:r>
          </w:p>
        </w:tc>
        <w:tc>
          <w:tcPr>
            <w:tcW w:w="464" w:type="dxa"/>
            <w:shd w:val="clear" w:color="auto"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lang w:val="en-US" w:eastAsia="zh-CN"/>
              </w:rPr>
            </w:pPr>
            <w:r>
              <w:rPr>
                <w:rFonts w:hint="eastAsia" w:asciiTheme="minorEastAsia" w:hAnsiTheme="minorEastAsia" w:eastAsiaTheme="minorEastAsia" w:cstheme="minorEastAsia"/>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596" w:type="dxa"/>
            <w:vMerge w:val="continue"/>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596" w:type="dxa"/>
            <w:vMerge w:val="continue"/>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p>
        </w:tc>
        <w:tc>
          <w:tcPr>
            <w:tcW w:w="661" w:type="dxa"/>
            <w:shd w:val="clear" w:color="auto" w:fill="FFFFFF"/>
            <w:vAlign w:val="center"/>
          </w:tcPr>
          <w:p>
            <w:pPr>
              <w:widowControl/>
              <w:spacing w:line="0" w:lineRule="atLeast"/>
              <w:jc w:val="center"/>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满意度</w:t>
            </w:r>
          </w:p>
        </w:tc>
        <w:tc>
          <w:tcPr>
            <w:tcW w:w="4407"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社会公众或服务对象对项目实施效果的满意程度。</w:t>
            </w:r>
          </w:p>
        </w:tc>
        <w:tc>
          <w:tcPr>
            <w:tcW w:w="6986" w:type="dxa"/>
            <w:shd w:val="clear" w:color="000000" w:fill="FFFFFF"/>
            <w:vAlign w:val="center"/>
          </w:tcPr>
          <w:p>
            <w:pPr>
              <w:widowControl/>
              <w:spacing w:line="0" w:lineRule="atLeast"/>
              <w:rPr>
                <w:rFonts w:hint="eastAsia" w:asciiTheme="minorEastAsia" w:hAnsiTheme="minorEastAsia" w:eastAsiaTheme="minorEastAsia" w:cstheme="minorEastAsia"/>
                <w:color w:val="000000"/>
                <w:kern w:val="0"/>
                <w:sz w:val="18"/>
                <w:szCs w:val="18"/>
                <w:highlight w:val="none"/>
              </w:rPr>
            </w:pPr>
            <w:r>
              <w:rPr>
                <w:rFonts w:hint="eastAsia" w:asciiTheme="minorEastAsia" w:hAnsiTheme="minorEastAsia" w:eastAsiaTheme="minorEastAsia" w:cstheme="minorEastAsia"/>
                <w:color w:val="000000"/>
                <w:kern w:val="0"/>
                <w:sz w:val="18"/>
                <w:szCs w:val="18"/>
                <w:highlight w:val="none"/>
              </w:rPr>
              <w:t>社会公众或服务对象是指因该项目实施而受到影响的部门（单位）、群体或个人。一般采取社会调查的方式。</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rPr>
            </w:pPr>
            <w:r>
              <w:rPr>
                <w:rFonts w:hint="eastAsia" w:asciiTheme="minorEastAsia" w:hAnsiTheme="minorEastAsia" w:eastAsiaTheme="minorEastAsia" w:cstheme="minorEastAsia"/>
                <w:b/>
                <w:bCs/>
                <w:color w:val="000000"/>
                <w:kern w:val="0"/>
                <w:sz w:val="18"/>
                <w:szCs w:val="18"/>
                <w:highlight w:val="none"/>
              </w:rPr>
              <w:t>10</w:t>
            </w:r>
          </w:p>
        </w:tc>
        <w:tc>
          <w:tcPr>
            <w:tcW w:w="464" w:type="dxa"/>
            <w:shd w:val="clear" w:color="000000" w:fill="FFFFFF"/>
            <w:vAlign w:val="center"/>
          </w:tcPr>
          <w:p>
            <w:pPr>
              <w:widowControl/>
              <w:spacing w:line="0" w:lineRule="atLeast"/>
              <w:jc w:val="center"/>
              <w:rPr>
                <w:rFonts w:hint="eastAsia" w:asciiTheme="minorEastAsia" w:hAnsiTheme="minorEastAsia" w:eastAsiaTheme="minorEastAsia" w:cstheme="minorEastAsia"/>
                <w:b/>
                <w:bCs/>
                <w:color w:val="000000"/>
                <w:kern w:val="0"/>
                <w:sz w:val="18"/>
                <w:szCs w:val="18"/>
                <w:highlight w:val="none"/>
                <w:lang w:val="en-US" w:eastAsia="zh-CN"/>
              </w:rPr>
            </w:pPr>
            <w:r>
              <w:rPr>
                <w:rFonts w:hint="eastAsia" w:asciiTheme="minorEastAsia" w:hAnsiTheme="minorEastAsia" w:eastAsiaTheme="minorEastAsia" w:cstheme="minorEastAsia"/>
                <w:b/>
                <w:bCs/>
                <w:color w:val="000000"/>
                <w:kern w:val="0"/>
                <w:sz w:val="18"/>
                <w:szCs w:val="18"/>
                <w:highlight w:val="none"/>
                <w:lang w:val="en-US" w:eastAsia="zh-CN"/>
              </w:rPr>
              <w:t>10</w:t>
            </w:r>
          </w:p>
        </w:tc>
      </w:tr>
    </w:tbl>
    <w:p>
      <w:pPr>
        <w:sectPr>
          <w:pgSz w:w="16838" w:h="11906" w:orient="landscape"/>
          <w:pgMar w:top="1800" w:right="1440" w:bottom="1558" w:left="1440" w:header="851" w:footer="992" w:gutter="0"/>
          <w:cols w:space="425" w:num="1"/>
          <w:docGrid w:type="lines" w:linePitch="312" w:charSpace="0"/>
        </w:sectPr>
      </w:pPr>
    </w:p>
    <w:p>
      <w:pPr>
        <w:spacing w:line="240" w:lineRule="atLeast"/>
        <w:jc w:val="left"/>
        <w:rPr>
          <w:rFonts w:ascii="黑体" w:hAnsi="黑体" w:eastAsia="黑体" w:cs="黑体"/>
          <w:b/>
          <w:bCs/>
          <w:color w:val="000000"/>
          <w:kern w:val="0"/>
          <w:sz w:val="32"/>
          <w:szCs w:val="32"/>
          <w:lang w:bidi="ar"/>
        </w:rPr>
      </w:pPr>
      <w:r>
        <w:rPr>
          <w:rFonts w:hint="eastAsia" w:ascii="黑体" w:hAnsi="黑体" w:eastAsia="黑体" w:cs="黑体"/>
          <w:b/>
          <w:bCs/>
          <w:color w:val="000000"/>
          <w:kern w:val="0"/>
          <w:sz w:val="32"/>
          <w:szCs w:val="32"/>
          <w:lang w:bidi="ar"/>
        </w:rPr>
        <w:t>附件2</w:t>
      </w:r>
    </w:p>
    <w:p>
      <w:pPr>
        <w:spacing w:line="240" w:lineRule="atLeast"/>
        <w:jc w:val="center"/>
        <w:rPr>
          <w:rFonts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项目支出绩效自评表</w:t>
      </w:r>
    </w:p>
    <w:p>
      <w:pPr>
        <w:spacing w:line="240" w:lineRule="atLeast"/>
        <w:jc w:val="center"/>
        <w:rPr>
          <w:rFonts w:eastAsia="仿宋_GB2312"/>
          <w:b/>
          <w:bCs/>
          <w:color w:val="000000"/>
          <w:kern w:val="0"/>
          <w:sz w:val="22"/>
          <w:szCs w:val="22"/>
          <w:lang w:bidi="ar"/>
        </w:rPr>
      </w:pPr>
      <w:r>
        <w:rPr>
          <w:rFonts w:eastAsia="仿宋_GB2312"/>
          <w:b/>
          <w:bCs/>
          <w:color w:val="000000"/>
          <w:kern w:val="0"/>
          <w:sz w:val="22"/>
          <w:szCs w:val="22"/>
          <w:lang w:bidi="ar"/>
        </w:rPr>
        <w:t>（ 2024年度）</w:t>
      </w:r>
    </w:p>
    <w:tbl>
      <w:tblPr>
        <w:tblStyle w:val="14"/>
        <w:tblW w:w="1408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8"/>
        <w:gridCol w:w="828"/>
        <w:gridCol w:w="905"/>
        <w:gridCol w:w="1676"/>
        <w:gridCol w:w="1067"/>
        <w:gridCol w:w="1205"/>
        <w:gridCol w:w="1087"/>
        <w:gridCol w:w="733"/>
        <w:gridCol w:w="964"/>
        <w:gridCol w:w="944"/>
        <w:gridCol w:w="1109"/>
        <w:gridCol w:w="1014"/>
        <w:gridCol w:w="727"/>
        <w:gridCol w:w="12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5" w:hRule="atLeast"/>
        </w:trPr>
        <w:tc>
          <w:tcPr>
            <w:tcW w:w="1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26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全疆考试考务运维工作经费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9" w:hRule="atLeast"/>
        </w:trPr>
        <w:tc>
          <w:tcPr>
            <w:tcW w:w="14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59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新疆维吾尔自治区工业和信息化</w:t>
            </w:r>
            <w:r>
              <w:rPr>
                <w:rFonts w:hint="eastAsia" w:ascii="宋体" w:hAnsi="宋体" w:cs="宋体"/>
                <w:i w:val="0"/>
                <w:iCs w:val="0"/>
                <w:color w:val="000000"/>
                <w:kern w:val="0"/>
                <w:sz w:val="18"/>
                <w:szCs w:val="18"/>
                <w:u w:val="none"/>
                <w:lang w:val="en-US" w:eastAsia="zh-CN" w:bidi="ar"/>
              </w:rPr>
              <w:t>厅</w:t>
            </w:r>
          </w:p>
        </w:tc>
        <w:tc>
          <w:tcPr>
            <w:tcW w:w="16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502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新疆维吾尔自治区工业和信息化培训中心（自治区计算机培训中心）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14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2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16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2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17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14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95.02</w:t>
            </w: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95.02</w:t>
            </w:r>
          </w:p>
        </w:tc>
        <w:tc>
          <w:tcPr>
            <w:tcW w:w="16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76.02</w:t>
            </w:r>
          </w:p>
        </w:tc>
        <w:tc>
          <w:tcPr>
            <w:tcW w:w="2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7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80.00%</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14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60" w:hRule="atLeast"/>
        </w:trPr>
        <w:tc>
          <w:tcPr>
            <w:tcW w:w="14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5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95.02</w:t>
            </w: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95.02</w:t>
            </w:r>
          </w:p>
        </w:tc>
        <w:tc>
          <w:tcPr>
            <w:tcW w:w="169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76.02</w:t>
            </w:r>
          </w:p>
        </w:tc>
        <w:tc>
          <w:tcPr>
            <w:tcW w:w="2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7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5" w:hRule="atLeast"/>
        </w:trPr>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67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67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09"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67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疆考试考务运维工作，主要是开展全疆“全国计算机等级考试新疆考区”和“全疆中职院校计算机应用能力测试”等考试业务，“全国计算机等级考试新疆考区”是经原国家教育部批准，面向社会，用于考查应试人员计算机应用知识与技能的全国性计算机水平考试体系。为推进我区信息技术应用水平，特针对全疆40多所中职院校及大中专学生开展计算机等级考试和计算机应用能力测试，以提升信息技术操作水平和能力，提高学生毕业后就业保障，推动电子数据处理能力，适应不断高速发展的信息技术。</w:t>
            </w:r>
          </w:p>
        </w:tc>
        <w:tc>
          <w:tcPr>
            <w:tcW w:w="672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疆考试考务运维工作，主要是开展全疆“全国计算机等级考试新疆考区”和“全疆中职院校计算机应用能力测试”等考试业务，“全国计算机等级考试新疆考区”是经原国家教育部批准，面向社会，用于考查应试人员计算机应用知识与技能的全国性计算机水平考试体系。为推进我区信息技术应用水平，特针对全疆40多所中职院校及大中专学生开展计算机等级考试和计算机应用能力测试，以提升信息技术操作水平和能力，提高学生毕业后就业保障，推动电子数据处理能力，适应不断高速发展的信息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6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12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10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7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9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9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11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1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9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2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7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9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1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0" w:hRule="atLeast"/>
        </w:trPr>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全疆报考人数</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&gt;=40000人</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=40000人</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38000人</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考试场次</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&gt;=4次</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=4次</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4次</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参加考试的到考率</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参加考试考生与总考生对比的通过率</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8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考试按期完成率</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项目预算控制率</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&lt;=100%</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社会效益指标</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提升信息技术应用水平</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10</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有效提升</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有效提升</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历史标准</w:t>
            </w: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有效提升</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按评判等级赋分</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工作资料</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社会效益指标</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提高学生毕业后就业能力保障</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10</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有效提高</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有效提高</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历史标准</w:t>
            </w: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有效提高</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按评判等级赋分</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工作资料</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考生满意度</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&gt;=98%</w:t>
            </w: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3997" w:type="dxa"/>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205" w:type="dxa"/>
            <w:tcBorders>
              <w:top w:val="single" w:color="000000" w:sz="4" w:space="0"/>
              <w:left w:val="nil"/>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8"/>
                <w:szCs w:val="18"/>
                <w:u w:val="none"/>
              </w:rPr>
            </w:pPr>
          </w:p>
        </w:tc>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98.00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0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bl>
    <w:p/>
    <w:sectPr>
      <w:pgSz w:w="16838" w:h="11906" w:orient="landscape"/>
      <w:pgMar w:top="1800" w:right="1440" w:bottom="1558" w:left="144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微信用户" w:date="2025-08-25T16:58:39Z" w:initials="">
    <w:p w14:paraId="15156461">
      <w:pPr>
        <w:pStyle w:val="4"/>
        <w:rPr>
          <w:rFonts w:hint="default" w:eastAsia="宋体"/>
          <w:lang w:val="en-US" w:eastAsia="zh-CN"/>
        </w:rPr>
      </w:pPr>
      <w:r>
        <w:rPr>
          <w:rFonts w:hint="eastAsia"/>
          <w:lang w:val="en-US" w:eastAsia="zh-CN"/>
        </w:rPr>
        <w:t>其他资金</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515646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21</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FA2B29"/>
    <w:multiLevelType w:val="singleLevel"/>
    <w:tmpl w:val="CEFA2B29"/>
    <w:lvl w:ilvl="0" w:tentative="0">
      <w:start w:val="2"/>
      <w:numFmt w:val="decimal"/>
      <w:suff w:val="space"/>
      <w:lvlText w:val="%1."/>
      <w:lvlJc w:val="left"/>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0028517"/>
    <w:multiLevelType w:val="singleLevel"/>
    <w:tmpl w:val="30028517"/>
    <w:lvl w:ilvl="0" w:tentative="0">
      <w:start w:val="1"/>
      <w:numFmt w:val="decimal"/>
      <w:suff w:val="space"/>
      <w:lvlText w:val="%1."/>
      <w:lvlJc w:val="left"/>
    </w:lvl>
  </w:abstractNum>
  <w:abstractNum w:abstractNumId="6">
    <w:nsid w:val="55E3B56F"/>
    <w:multiLevelType w:val="singleLevel"/>
    <w:tmpl w:val="55E3B56F"/>
    <w:lvl w:ilvl="0" w:tentative="0">
      <w:start w:val="1"/>
      <w:numFmt w:val="decimal"/>
      <w:suff w:val="space"/>
      <w:lvlText w:val="%1."/>
      <w:lvlJc w:val="left"/>
    </w:lvl>
  </w:abstractNum>
  <w:abstractNum w:abstractNumId="7">
    <w:nsid w:val="5C7AB765"/>
    <w:multiLevelType w:val="singleLevel"/>
    <w:tmpl w:val="5C7AB765"/>
    <w:lvl w:ilvl="0" w:tentative="0">
      <w:start w:val="1"/>
      <w:numFmt w:val="decimal"/>
      <w:suff w:val="space"/>
      <w:lvlText w:val="%1."/>
      <w:lvlJc w:val="left"/>
    </w:lvl>
  </w:abstractNum>
  <w:abstractNum w:abstractNumId="8">
    <w:nsid w:val="6FAA0AB1"/>
    <w:multiLevelType w:val="singleLevel"/>
    <w:tmpl w:val="6FAA0AB1"/>
    <w:lvl w:ilvl="0" w:tentative="0">
      <w:start w:val="2"/>
      <w:numFmt w:val="chineseCounting"/>
      <w:suff w:val="nothing"/>
      <w:lvlText w:val="（%1）"/>
      <w:lvlJc w:val="left"/>
      <w:rPr>
        <w:rFonts w:hint="eastAsia"/>
      </w:rPr>
    </w:lvl>
  </w:abstractNum>
  <w:abstractNum w:abstractNumId="9">
    <w:nsid w:val="7434DB04"/>
    <w:multiLevelType w:val="singleLevel"/>
    <w:tmpl w:val="7434DB04"/>
    <w:lvl w:ilvl="0" w:tentative="0">
      <w:start w:val="2"/>
      <w:numFmt w:val="decimal"/>
      <w:suff w:val="space"/>
      <w:lvlText w:val="%1."/>
      <w:lvlJc w:val="left"/>
    </w:lvl>
  </w:abstractNum>
  <w:abstractNum w:abstractNumId="10">
    <w:nsid w:val="76BD72C1"/>
    <w:multiLevelType w:val="singleLevel"/>
    <w:tmpl w:val="76BD72C1"/>
    <w:lvl w:ilvl="0" w:tentative="0">
      <w:start w:val="1"/>
      <w:numFmt w:val="decimal"/>
      <w:suff w:val="space"/>
      <w:lvlText w:val="%1."/>
      <w:lvlJc w:val="left"/>
    </w:lvl>
  </w:abstractNum>
  <w:num w:numId="1">
    <w:abstractNumId w:val="0"/>
  </w:num>
  <w:num w:numId="2">
    <w:abstractNumId w:val="9"/>
  </w:num>
  <w:num w:numId="3">
    <w:abstractNumId w:val="1"/>
  </w:num>
  <w:num w:numId="4">
    <w:abstractNumId w:val="4"/>
  </w:num>
  <w:num w:numId="5">
    <w:abstractNumId w:val="7"/>
  </w:num>
  <w:num w:numId="6">
    <w:abstractNumId w:val="3"/>
  </w:num>
  <w:num w:numId="7">
    <w:abstractNumId w:val="6"/>
  </w:num>
  <w:num w:numId="8">
    <w:abstractNumId w:val="8"/>
  </w:num>
  <w:num w:numId="9">
    <w:abstractNumId w:val="10"/>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信用户">
    <w15:presenceInfo w15:providerId="WPS Office" w15:userId="103373254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45314E"/>
    <w:rsid w:val="005469AB"/>
    <w:rsid w:val="006F7242"/>
    <w:rsid w:val="007B168A"/>
    <w:rsid w:val="008B2CFE"/>
    <w:rsid w:val="00C817E2"/>
    <w:rsid w:val="00F26FF6"/>
    <w:rsid w:val="01610122"/>
    <w:rsid w:val="02510197"/>
    <w:rsid w:val="033F0434"/>
    <w:rsid w:val="03EC461B"/>
    <w:rsid w:val="03F4702C"/>
    <w:rsid w:val="05665D07"/>
    <w:rsid w:val="07397B77"/>
    <w:rsid w:val="08BB280E"/>
    <w:rsid w:val="0AD007F3"/>
    <w:rsid w:val="0CFE2CC9"/>
    <w:rsid w:val="0E3C619F"/>
    <w:rsid w:val="11170296"/>
    <w:rsid w:val="11C97C1B"/>
    <w:rsid w:val="13471461"/>
    <w:rsid w:val="13B90F01"/>
    <w:rsid w:val="14A52915"/>
    <w:rsid w:val="155E4C4D"/>
    <w:rsid w:val="16730284"/>
    <w:rsid w:val="17462648"/>
    <w:rsid w:val="181066D2"/>
    <w:rsid w:val="187B413A"/>
    <w:rsid w:val="1B0E2C71"/>
    <w:rsid w:val="1B281F85"/>
    <w:rsid w:val="1BBE6445"/>
    <w:rsid w:val="1C671E73"/>
    <w:rsid w:val="1D1125A5"/>
    <w:rsid w:val="1D322C47"/>
    <w:rsid w:val="1DA504EC"/>
    <w:rsid w:val="21520767"/>
    <w:rsid w:val="23616034"/>
    <w:rsid w:val="23D4607E"/>
    <w:rsid w:val="23E141B9"/>
    <w:rsid w:val="24480FA2"/>
    <w:rsid w:val="24833D88"/>
    <w:rsid w:val="25227A45"/>
    <w:rsid w:val="26AC3A6A"/>
    <w:rsid w:val="277075E9"/>
    <w:rsid w:val="281178FD"/>
    <w:rsid w:val="2B6C5576"/>
    <w:rsid w:val="2B9D7E25"/>
    <w:rsid w:val="2C0B66D0"/>
    <w:rsid w:val="2C7C7A3B"/>
    <w:rsid w:val="2EFC0D68"/>
    <w:rsid w:val="2F364819"/>
    <w:rsid w:val="2FD63906"/>
    <w:rsid w:val="31CF69DC"/>
    <w:rsid w:val="321150C9"/>
    <w:rsid w:val="326446F8"/>
    <w:rsid w:val="32ED1692"/>
    <w:rsid w:val="37215DAE"/>
    <w:rsid w:val="38353194"/>
    <w:rsid w:val="38CA40DD"/>
    <w:rsid w:val="395F2B56"/>
    <w:rsid w:val="3AC60AFD"/>
    <w:rsid w:val="3B227C37"/>
    <w:rsid w:val="3BBA0580"/>
    <w:rsid w:val="3BE92C13"/>
    <w:rsid w:val="3BECE841"/>
    <w:rsid w:val="3CDE204C"/>
    <w:rsid w:val="3D363C36"/>
    <w:rsid w:val="3D8726E3"/>
    <w:rsid w:val="3E9C3F6D"/>
    <w:rsid w:val="3F760C61"/>
    <w:rsid w:val="3FF7797D"/>
    <w:rsid w:val="404B5C4A"/>
    <w:rsid w:val="46690BD8"/>
    <w:rsid w:val="49F70BF1"/>
    <w:rsid w:val="4B4340EE"/>
    <w:rsid w:val="4BF06537"/>
    <w:rsid w:val="4C9149E5"/>
    <w:rsid w:val="4D9559BB"/>
    <w:rsid w:val="4E944C60"/>
    <w:rsid w:val="503D507A"/>
    <w:rsid w:val="514566E6"/>
    <w:rsid w:val="51FA74D0"/>
    <w:rsid w:val="52AA4A52"/>
    <w:rsid w:val="552A59D6"/>
    <w:rsid w:val="57B24890"/>
    <w:rsid w:val="58156E12"/>
    <w:rsid w:val="59943D66"/>
    <w:rsid w:val="59E051FD"/>
    <w:rsid w:val="59E6355E"/>
    <w:rsid w:val="5B821531"/>
    <w:rsid w:val="5BFF6039"/>
    <w:rsid w:val="5D76A616"/>
    <w:rsid w:val="5D7F20B9"/>
    <w:rsid w:val="5DAC7D0E"/>
    <w:rsid w:val="5F7A0B5B"/>
    <w:rsid w:val="5F98B5AF"/>
    <w:rsid w:val="5FFE8511"/>
    <w:rsid w:val="5FFEACE2"/>
    <w:rsid w:val="609D5BF6"/>
    <w:rsid w:val="61073070"/>
    <w:rsid w:val="61B9080E"/>
    <w:rsid w:val="61DF3FED"/>
    <w:rsid w:val="642B176B"/>
    <w:rsid w:val="643EE26D"/>
    <w:rsid w:val="656019A0"/>
    <w:rsid w:val="65F242EE"/>
    <w:rsid w:val="666D7E19"/>
    <w:rsid w:val="68376930"/>
    <w:rsid w:val="68F91E38"/>
    <w:rsid w:val="69767E03"/>
    <w:rsid w:val="6B3158B9"/>
    <w:rsid w:val="6BA02A3F"/>
    <w:rsid w:val="6C1E5A53"/>
    <w:rsid w:val="6DD20F3C"/>
    <w:rsid w:val="6F5C41AC"/>
    <w:rsid w:val="6FAF6C78"/>
    <w:rsid w:val="71175F66"/>
    <w:rsid w:val="716167CC"/>
    <w:rsid w:val="718A7AD1"/>
    <w:rsid w:val="72A44BC2"/>
    <w:rsid w:val="7317C656"/>
    <w:rsid w:val="734ED73F"/>
    <w:rsid w:val="73C82B32"/>
    <w:rsid w:val="73F94DAE"/>
    <w:rsid w:val="74220495"/>
    <w:rsid w:val="747D1B6F"/>
    <w:rsid w:val="749E5641"/>
    <w:rsid w:val="76271066"/>
    <w:rsid w:val="776FF713"/>
    <w:rsid w:val="77FD8BE9"/>
    <w:rsid w:val="78000AED"/>
    <w:rsid w:val="79A9BD3F"/>
    <w:rsid w:val="79CC7B56"/>
    <w:rsid w:val="7B776F12"/>
    <w:rsid w:val="7BFFFDD0"/>
    <w:rsid w:val="7C336E5F"/>
    <w:rsid w:val="7C63351F"/>
    <w:rsid w:val="7C7B1C48"/>
    <w:rsid w:val="7C8D4919"/>
    <w:rsid w:val="7D7A5F86"/>
    <w:rsid w:val="7E4B683A"/>
    <w:rsid w:val="7E5E656D"/>
    <w:rsid w:val="7E8F2BCB"/>
    <w:rsid w:val="7EC565EC"/>
    <w:rsid w:val="7EDC1B88"/>
    <w:rsid w:val="7F37BB4E"/>
    <w:rsid w:val="7FEF918E"/>
    <w:rsid w:val="7FF4FB6F"/>
    <w:rsid w:val="7FF7FF27"/>
    <w:rsid w:val="7FFDF714"/>
    <w:rsid w:val="AF3FCD8C"/>
    <w:rsid w:val="B9FA2A43"/>
    <w:rsid w:val="BF7BA1E4"/>
    <w:rsid w:val="BFDF04FA"/>
    <w:rsid w:val="BFE227EF"/>
    <w:rsid w:val="CF2A1ABD"/>
    <w:rsid w:val="DA7D3CD9"/>
    <w:rsid w:val="DBDC0ADA"/>
    <w:rsid w:val="DEDE2B06"/>
    <w:rsid w:val="E777374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jc w:val="left"/>
    </w:pPr>
    <w:rPr>
      <w:kern w:val="0"/>
      <w:sz w:val="24"/>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28</Pages>
  <Words>336</Words>
  <Characters>358</Characters>
  <Lines>96</Lines>
  <Paragraphs>27</Paragraphs>
  <TotalTime>31</TotalTime>
  <ScaleCrop>false</ScaleCrop>
  <LinksUpToDate>false</LinksUpToDate>
  <CharactersWithSpaces>359</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2023-03-09T05:13:00Z</dcterms:created>
  <dc:creator>审核人</dc:creator>
  <cp:lastModifiedBy>Administrator</cp:lastModifiedBy>
  <cp:lastPrinted>2025-04-29T09:02:00Z</cp:lastPrinted>
  <dcterms:modified xsi:type="dcterms:W3CDTF">2025-08-27T05:16:45Z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36CF896B5517437BAAB4BD7D3FD8DBD0_13</vt:lpwstr>
  </property>
  <property fmtid="{D5CDD505-2E9C-101B-9397-08002B2CF9AE}" pid="4" name="KSOTemplateDocerSaveRecord">
    <vt:lpwstr>eyJoZGlkIjoiMzNiNGI2MGU3ZTBiNDlmYjExZDc5YzVmNjk5Y2MxNTQiLCJ1c2VySWQiOiIxMzUyMjgzNTc4In0=</vt:lpwstr>
  </property>
</Properties>
</file>