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highlight w:val="none"/>
        </w:rPr>
      </w:pPr>
    </w:p>
    <w:p>
      <w:pPr>
        <w:spacing w:line="540" w:lineRule="exact"/>
        <w:rPr>
          <w:rFonts w:eastAsia="华文中宋"/>
          <w:b/>
          <w:kern w:val="0"/>
          <w:sz w:val="52"/>
          <w:szCs w:val="52"/>
          <w:highlight w:val="none"/>
        </w:rPr>
      </w:pPr>
    </w:p>
    <w:p>
      <w:pPr>
        <w:spacing w:line="540" w:lineRule="exact"/>
        <w:jc w:val="center"/>
        <w:rPr>
          <w:rFonts w:eastAsia="华文中宋"/>
          <w:b/>
          <w:kern w:val="0"/>
          <w:sz w:val="52"/>
          <w:szCs w:val="52"/>
          <w:highlight w:val="none"/>
        </w:rPr>
      </w:pPr>
    </w:p>
    <w:p>
      <w:pPr>
        <w:spacing w:line="540" w:lineRule="exact"/>
        <w:jc w:val="center"/>
        <w:rPr>
          <w:rFonts w:eastAsia="华文中宋"/>
          <w:b/>
          <w:kern w:val="0"/>
          <w:sz w:val="52"/>
          <w:szCs w:val="52"/>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eastAsia="方正小标宋_GBK"/>
          <w:kern w:val="0"/>
          <w:sz w:val="48"/>
          <w:szCs w:val="48"/>
          <w:highlight w:val="none"/>
        </w:rPr>
      </w:pPr>
      <w:r>
        <w:rPr>
          <w:rFonts w:eastAsia="方正小标宋_GBK"/>
          <w:kern w:val="0"/>
          <w:sz w:val="48"/>
          <w:szCs w:val="48"/>
          <w:highlight w:val="none"/>
        </w:rPr>
        <w:t>弥补人员经费支出项目支出绩效</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eastAsia="方正小标宋_GBK"/>
          <w:kern w:val="0"/>
          <w:sz w:val="48"/>
          <w:szCs w:val="48"/>
          <w:highlight w:val="none"/>
        </w:rPr>
      </w:pPr>
      <w:r>
        <w:rPr>
          <w:rFonts w:eastAsia="方正小标宋_GBK"/>
          <w:kern w:val="0"/>
          <w:sz w:val="48"/>
          <w:szCs w:val="48"/>
          <w:highlight w:val="none"/>
        </w:rPr>
        <w:t>评价报告</w:t>
      </w:r>
    </w:p>
    <w:p>
      <w:pPr>
        <w:spacing w:line="540" w:lineRule="exact"/>
        <w:jc w:val="center"/>
        <w:rPr>
          <w:rFonts w:eastAsia="华文中宋"/>
          <w:b/>
          <w:kern w:val="0"/>
          <w:sz w:val="52"/>
          <w:szCs w:val="52"/>
          <w:highlight w:val="none"/>
        </w:rPr>
      </w:pPr>
    </w:p>
    <w:p>
      <w:pPr>
        <w:spacing w:line="540" w:lineRule="exact"/>
        <w:jc w:val="center"/>
        <w:rPr>
          <w:rFonts w:eastAsia="仿宋_GB2312"/>
          <w:kern w:val="0"/>
          <w:sz w:val="36"/>
          <w:szCs w:val="36"/>
          <w:highlight w:val="none"/>
        </w:rPr>
      </w:pPr>
      <w:r>
        <w:rPr>
          <w:rFonts w:eastAsia="仿宋_GB2312"/>
          <w:kern w:val="0"/>
          <w:sz w:val="36"/>
          <w:szCs w:val="36"/>
          <w:highlight w:val="none"/>
        </w:rPr>
        <w:t>（2024年度）</w:t>
      </w:r>
    </w:p>
    <w:p>
      <w:pPr>
        <w:spacing w:line="540" w:lineRule="exact"/>
        <w:jc w:val="center"/>
        <w:rPr>
          <w:rFonts w:eastAsia="仿宋_GB2312"/>
          <w:kern w:val="0"/>
          <w:sz w:val="30"/>
          <w:szCs w:val="30"/>
          <w:highlight w:val="none"/>
        </w:rPr>
      </w:pPr>
    </w:p>
    <w:p>
      <w:pPr>
        <w:spacing w:line="540" w:lineRule="exact"/>
        <w:jc w:val="center"/>
        <w:rPr>
          <w:rFonts w:eastAsia="仿宋_GB2312"/>
          <w:kern w:val="0"/>
          <w:sz w:val="30"/>
          <w:szCs w:val="30"/>
          <w:highlight w:val="none"/>
        </w:rPr>
      </w:pPr>
    </w:p>
    <w:p>
      <w:pPr>
        <w:spacing w:line="540" w:lineRule="exact"/>
        <w:jc w:val="center"/>
        <w:rPr>
          <w:rFonts w:eastAsia="仿宋_GB2312"/>
          <w:kern w:val="0"/>
          <w:sz w:val="30"/>
          <w:szCs w:val="30"/>
          <w:highlight w:val="none"/>
        </w:rPr>
      </w:pPr>
    </w:p>
    <w:p>
      <w:pPr>
        <w:pStyle w:val="10"/>
        <w:rPr>
          <w:rFonts w:ascii="Times New Roman" w:hAnsi="Times New Roman"/>
          <w:highlight w:val="none"/>
        </w:rPr>
      </w:pPr>
    </w:p>
    <w:p>
      <w:pPr>
        <w:spacing w:line="540" w:lineRule="exact"/>
        <w:jc w:val="center"/>
        <w:rPr>
          <w:rFonts w:eastAsia="仿宋_GB2312"/>
          <w:kern w:val="0"/>
          <w:sz w:val="30"/>
          <w:szCs w:val="30"/>
          <w:highlight w:val="none"/>
        </w:rPr>
      </w:pPr>
    </w:p>
    <w:p>
      <w:pPr>
        <w:spacing w:line="540" w:lineRule="exact"/>
        <w:rPr>
          <w:rFonts w:eastAsia="仿宋_GB2312"/>
          <w:kern w:val="0"/>
          <w:sz w:val="30"/>
          <w:szCs w:val="30"/>
          <w:highlight w:val="none"/>
        </w:rPr>
      </w:pPr>
    </w:p>
    <w:p>
      <w:pPr>
        <w:spacing w:line="700" w:lineRule="exact"/>
        <w:ind w:firstLine="720" w:firstLineChars="200"/>
        <w:jc w:val="left"/>
        <w:rPr>
          <w:rFonts w:eastAsia="仿宋_GB2312"/>
          <w:kern w:val="0"/>
          <w:sz w:val="36"/>
          <w:szCs w:val="36"/>
          <w:highlight w:val="none"/>
        </w:rPr>
      </w:pPr>
      <w:r>
        <w:rPr>
          <w:rFonts w:eastAsia="仿宋_GB2312"/>
          <w:kern w:val="0"/>
          <w:sz w:val="36"/>
          <w:szCs w:val="36"/>
          <w:highlight w:val="none"/>
        </w:rPr>
        <w:t>项目名称：弥补人员经费支出项目</w:t>
      </w:r>
    </w:p>
    <w:p>
      <w:pPr>
        <w:keepNext w:val="0"/>
        <w:keepLines w:val="0"/>
        <w:pageBreakBefore w:val="0"/>
        <w:widowControl w:val="0"/>
        <w:kinsoku/>
        <w:wordWrap/>
        <w:overflowPunct/>
        <w:topLinePunct w:val="0"/>
        <w:autoSpaceDE/>
        <w:autoSpaceDN/>
        <w:bidi w:val="0"/>
        <w:adjustRightInd/>
        <w:snapToGrid/>
        <w:spacing w:line="700" w:lineRule="exact"/>
        <w:ind w:left="3886" w:leftChars="342" w:hanging="3168" w:hangingChars="880"/>
        <w:jc w:val="left"/>
        <w:textAlignment w:val="auto"/>
        <w:rPr>
          <w:rFonts w:eastAsia="仿宋_GB2312"/>
          <w:kern w:val="0"/>
          <w:sz w:val="36"/>
          <w:szCs w:val="36"/>
          <w:highlight w:val="none"/>
        </w:rPr>
      </w:pPr>
      <w:r>
        <w:rPr>
          <w:rFonts w:eastAsia="仿宋_GB2312"/>
          <w:kern w:val="0"/>
          <w:sz w:val="36"/>
          <w:szCs w:val="36"/>
          <w:highlight w:val="none"/>
        </w:rPr>
        <w:t>实施单位（公章）：新疆维吾尔自治区工业和信息化培训中心</w:t>
      </w:r>
    </w:p>
    <w:p>
      <w:pPr>
        <w:spacing w:line="700" w:lineRule="exact"/>
        <w:ind w:firstLine="720" w:firstLineChars="200"/>
        <w:jc w:val="left"/>
        <w:rPr>
          <w:rFonts w:hint="eastAsia" w:eastAsia="仿宋_GB2312"/>
          <w:kern w:val="0"/>
          <w:sz w:val="36"/>
          <w:szCs w:val="36"/>
          <w:highlight w:val="none"/>
          <w:lang w:eastAsia="zh-CN"/>
        </w:rPr>
      </w:pPr>
      <w:r>
        <w:rPr>
          <w:rFonts w:eastAsia="仿宋_GB2312"/>
          <w:kern w:val="0"/>
          <w:sz w:val="36"/>
          <w:szCs w:val="36"/>
          <w:highlight w:val="none"/>
        </w:rPr>
        <w:t>项目负责人（签章）：</w:t>
      </w:r>
      <w:r>
        <w:rPr>
          <w:rFonts w:hint="eastAsia" w:eastAsia="仿宋_GB2312"/>
          <w:kern w:val="0"/>
          <w:sz w:val="36"/>
          <w:szCs w:val="36"/>
          <w:highlight w:val="none"/>
          <w:lang w:eastAsia="zh-CN"/>
        </w:rPr>
        <w:t>樊矾</w:t>
      </w:r>
    </w:p>
    <w:p>
      <w:pPr>
        <w:spacing w:line="700" w:lineRule="exact"/>
        <w:ind w:firstLine="720" w:firstLineChars="2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rPr>
        <w:t>2025</w:t>
      </w:r>
      <w:r>
        <w:rPr>
          <w:rFonts w:eastAsia="仿宋_GB2312"/>
          <w:kern w:val="0"/>
          <w:sz w:val="36"/>
          <w:szCs w:val="36"/>
          <w:highlight w:val="none"/>
        </w:rPr>
        <w:t>年</w:t>
      </w:r>
      <w:r>
        <w:rPr>
          <w:rFonts w:hint="eastAsia" w:eastAsia="仿宋_GB2312"/>
          <w:kern w:val="0"/>
          <w:sz w:val="36"/>
          <w:szCs w:val="36"/>
          <w:highlight w:val="none"/>
        </w:rPr>
        <w:t>3</w:t>
      </w:r>
      <w:r>
        <w:rPr>
          <w:rFonts w:eastAsia="仿宋_GB2312"/>
          <w:kern w:val="0"/>
          <w:sz w:val="36"/>
          <w:szCs w:val="36"/>
          <w:highlight w:val="none"/>
        </w:rPr>
        <w:t>月</w:t>
      </w:r>
      <w:r>
        <w:rPr>
          <w:rFonts w:hint="eastAsia" w:eastAsia="仿宋_GB2312"/>
          <w:kern w:val="0"/>
          <w:sz w:val="36"/>
          <w:szCs w:val="36"/>
          <w:highlight w:val="none"/>
        </w:rPr>
        <w:t>11</w:t>
      </w:r>
      <w:r>
        <w:rPr>
          <w:rFonts w:eastAsia="仿宋_GB2312"/>
          <w:kern w:val="0"/>
          <w:sz w:val="36"/>
          <w:szCs w:val="36"/>
          <w:highlight w:val="none"/>
        </w:rPr>
        <w:t>日</w:t>
      </w:r>
    </w:p>
    <w:p>
      <w:pPr>
        <w:spacing w:line="540" w:lineRule="exact"/>
        <w:jc w:val="center"/>
        <w:rPr>
          <w:rFonts w:eastAsia="仿宋_GB2312"/>
          <w:kern w:val="0"/>
          <w:sz w:val="30"/>
          <w:szCs w:val="30"/>
          <w:highlight w:val="none"/>
        </w:rPr>
      </w:pPr>
    </w:p>
    <w:p>
      <w:pPr>
        <w:spacing w:line="540" w:lineRule="exact"/>
        <w:rPr>
          <w:rStyle w:val="16"/>
          <w:rFonts w:eastAsia="黑体"/>
          <w:b w:val="0"/>
          <w:spacing w:val="-4"/>
          <w:sz w:val="32"/>
          <w:szCs w:val="32"/>
          <w:highlight w:val="none"/>
        </w:rPr>
      </w:pPr>
    </w:p>
    <w:p>
      <w:pPr>
        <w:spacing w:line="540" w:lineRule="exact"/>
        <w:ind w:firstLine="640"/>
        <w:rPr>
          <w:rStyle w:val="16"/>
          <w:rFonts w:eastAsia="黑体"/>
          <w:b w:val="0"/>
          <w:spacing w:val="-4"/>
          <w:sz w:val="32"/>
          <w:szCs w:val="32"/>
          <w:highlight w:val="none"/>
        </w:rPr>
      </w:pPr>
    </w:p>
    <w:p>
      <w:pPr>
        <w:spacing w:line="540" w:lineRule="exact"/>
        <w:rPr>
          <w:rStyle w:val="16"/>
          <w:rFonts w:eastAsia="黑体"/>
          <w:b w:val="0"/>
          <w:spacing w:val="-4"/>
          <w:sz w:val="32"/>
          <w:szCs w:val="32"/>
          <w:highlight w:val="none"/>
        </w:rPr>
      </w:pPr>
    </w:p>
    <w:p>
      <w:pPr>
        <w:spacing w:line="560" w:lineRule="exact"/>
        <w:ind w:firstLine="640" w:firstLineChars="200"/>
        <w:rPr>
          <w:rFonts w:eastAsia="黑体"/>
          <w:bCs/>
          <w:sz w:val="32"/>
          <w:szCs w:val="32"/>
          <w:highlight w:val="none"/>
        </w:rPr>
        <w:sectPr>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一、基本情况</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（一）项目概况</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1.</w:t>
      </w:r>
      <w:r>
        <w:rPr>
          <w:rFonts w:hint="eastAsia" w:ascii="Times New Roman" w:hAnsi="Times New Roman" w:eastAsia="仿宋_GB2312"/>
          <w:b/>
          <w:bCs/>
          <w:sz w:val="32"/>
          <w:szCs w:val="32"/>
          <w:highlight w:val="none"/>
        </w:rPr>
        <w:t xml:space="preserve"> </w:t>
      </w:r>
      <w:r>
        <w:rPr>
          <w:rFonts w:ascii="Times New Roman" w:hAnsi="Times New Roman" w:eastAsia="仿宋_GB2312"/>
          <w:b/>
          <w:bCs/>
          <w:sz w:val="32"/>
          <w:szCs w:val="32"/>
          <w:highlight w:val="none"/>
        </w:rPr>
        <w:t>项目背景</w:t>
      </w:r>
    </w:p>
    <w:p>
      <w:pPr>
        <w:pageBreakBefore w:val="0"/>
        <w:kinsoku/>
        <w:wordWrap/>
        <w:overflowPunct/>
        <w:topLinePunct w:val="0"/>
        <w:autoSpaceDE/>
        <w:autoSpaceDN/>
        <w:bidi w:val="0"/>
        <w:adjustRightInd/>
        <w:snapToGrid/>
        <w:spacing w:line="560" w:lineRule="exact"/>
        <w:ind w:firstLine="616" w:firstLineChars="200"/>
        <w:textAlignment w:val="auto"/>
        <w:rPr>
          <w:rStyle w:val="16"/>
          <w:rFonts w:ascii="Times New Roman" w:hAnsi="Times New Roman" w:eastAsia="仿宋_GB2312" w:cs="仿宋_GB2312"/>
          <w:b w:val="0"/>
          <w:spacing w:val="-6"/>
          <w:sz w:val="32"/>
          <w:szCs w:val="32"/>
          <w:highlight w:val="none"/>
        </w:rPr>
      </w:pPr>
      <w:r>
        <w:rPr>
          <w:rStyle w:val="16"/>
          <w:rFonts w:hint="eastAsia" w:ascii="Times New Roman" w:hAnsi="Times New Roman" w:eastAsia="仿宋_GB2312" w:cs="仿宋_GB2312"/>
          <w:b w:val="0"/>
          <w:spacing w:val="-6"/>
          <w:sz w:val="32"/>
          <w:szCs w:val="32"/>
          <w:highlight w:val="none"/>
        </w:rPr>
        <w:t>根据自治区财政厅印发《关于开展自治区本级202</w:t>
      </w:r>
      <w:r>
        <w:rPr>
          <w:rStyle w:val="16"/>
          <w:rFonts w:hint="eastAsia" w:ascii="Times New Roman" w:hAnsi="Times New Roman" w:eastAsia="仿宋_GB2312" w:cs="仿宋_GB2312"/>
          <w:b w:val="0"/>
          <w:spacing w:val="-6"/>
          <w:sz w:val="32"/>
          <w:szCs w:val="32"/>
          <w:highlight w:val="none"/>
          <w:lang w:val="en-US" w:eastAsia="zh-CN"/>
        </w:rPr>
        <w:t>4</w:t>
      </w:r>
      <w:r>
        <w:rPr>
          <w:rStyle w:val="16"/>
          <w:rFonts w:hint="eastAsia" w:ascii="Times New Roman" w:hAnsi="Times New Roman" w:eastAsia="仿宋_GB2312" w:cs="仿宋_GB2312"/>
          <w:b w:val="0"/>
          <w:spacing w:val="-6"/>
          <w:sz w:val="32"/>
          <w:szCs w:val="32"/>
          <w:highlight w:val="none"/>
        </w:rPr>
        <w:t>年部门预算编制工作的通知》和《自治区本级部门预算绩效目标管理暂行办法》的文件规定及自治区工信厅相关要求，新疆维吾尔自治区工业和信息化培训中心（自治区计算机培训中心）（以下简称自治区工业和信息化培训中心）为差额预算单位，事业收入中考试考务费全额上缴财政专户（教育收费）资金，财政专用财政预算批复部分用于安排弥补人员经费支出。</w:t>
      </w:r>
    </w:p>
    <w:p>
      <w:pPr>
        <w:pStyle w:val="10"/>
        <w:pageBreakBefore w:val="0"/>
        <w:numPr>
          <w:ilvl w:val="0"/>
          <w:numId w:val="1"/>
        </w:numPr>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kern w:val="2"/>
          <w:sz w:val="32"/>
          <w:highlight w:val="none"/>
        </w:rPr>
      </w:pPr>
      <w:r>
        <w:rPr>
          <w:rFonts w:ascii="Times New Roman" w:hAnsi="Times New Roman" w:eastAsia="仿宋_GB2312"/>
          <w:kern w:val="2"/>
          <w:sz w:val="32"/>
          <w:highlight w:val="none"/>
        </w:rPr>
        <w:t>项目主要内容</w:t>
      </w:r>
      <w:r>
        <w:rPr>
          <w:rFonts w:hint="eastAsia" w:ascii="Times New Roman" w:hAnsi="Times New Roman" w:eastAsia="仿宋_GB2312"/>
          <w:kern w:val="2"/>
          <w:sz w:val="32"/>
          <w:highlight w:val="none"/>
        </w:rPr>
        <w:t>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0"/>
          <w:highlight w:val="none"/>
        </w:rPr>
      </w:pPr>
      <w:r>
        <w:rPr>
          <w:rFonts w:ascii="Times New Roman" w:hAnsi="Times New Roman" w:eastAsia="仿宋_GB2312"/>
          <w:sz w:val="32"/>
          <w:szCs w:val="30"/>
          <w:highlight w:val="none"/>
        </w:rPr>
        <w:t>项目主要内容：培训中心长期聘用7人，聘用人员均在培训中心工作10年以上，均成长为各部门业务骨干，为稳定培训中心教职员工队伍，提高工作质量和效率，长期创新开拓业务，也为培训中心的各项业务能够长期持续性的发展下去，有利于培训中心长远发展规划。长期聘用人员7人的经费支出，按照测算2024年工资、社保等经费需要支出85.86万元，按时按月足量发放到位，以确保单位业务正常开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highlight w:val="none"/>
        </w:rPr>
      </w:pPr>
      <w:r>
        <w:rPr>
          <w:rFonts w:ascii="Times New Roman" w:hAnsi="Times New Roman" w:eastAsia="仿宋_GB2312"/>
          <w:sz w:val="32"/>
          <w:szCs w:val="30"/>
          <w:highlight w:val="none"/>
        </w:rPr>
        <w:t>项目实施情况</w:t>
      </w:r>
      <w:r>
        <w:rPr>
          <w:rFonts w:ascii="Times New Roman" w:hAnsi="Times New Roman" w:eastAsia="仿宋_GB2312"/>
          <w:sz w:val="32"/>
          <w:szCs w:val="32"/>
          <w:highlight w:val="none"/>
        </w:rPr>
        <w:t>：项目实施过程前期，认真核对测算经费支出；实施过程中，根据自治区工业和信息化培训中心弥补人员经费支出的实际情况，严格按照目标设立的各阶段任务开展工作，实现每月人员经费支出按计划执行，足月足额发放人员经费，按时缴纳社保等费用。稳定职工队伍，促进中心业务持续发展。</w:t>
      </w:r>
    </w:p>
    <w:p>
      <w:pPr>
        <w:pageBreakBefore w:val="0"/>
        <w:numPr>
          <w:ilvl w:val="0"/>
          <w:numId w:val="1"/>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资金投入和使用情况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（1）资金投入情况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该项目年初预算数</w:t>
      </w:r>
      <w:r>
        <w:rPr>
          <w:rFonts w:hint="eastAsia" w:ascii="Times New Roman" w:hAnsi="Times New Roman" w:eastAsia="仿宋_GB2312"/>
          <w:sz w:val="32"/>
          <w:szCs w:val="32"/>
          <w:highlight w:val="none"/>
        </w:rPr>
        <w:t>85.86</w:t>
      </w:r>
      <w:r>
        <w:rPr>
          <w:rFonts w:ascii="Times New Roman" w:hAnsi="Times New Roman" w:eastAsia="仿宋_GB2312"/>
          <w:sz w:val="32"/>
          <w:szCs w:val="32"/>
          <w:highlight w:val="none"/>
        </w:rPr>
        <w:t>万元，全年预算数</w:t>
      </w:r>
      <w:r>
        <w:rPr>
          <w:rFonts w:hint="eastAsia" w:ascii="Times New Roman" w:hAnsi="Times New Roman" w:eastAsia="仿宋_GB2312"/>
          <w:sz w:val="32"/>
          <w:szCs w:val="32"/>
          <w:highlight w:val="none"/>
        </w:rPr>
        <w:t>85.86</w:t>
      </w:r>
      <w:r>
        <w:rPr>
          <w:rFonts w:ascii="Times New Roman" w:hAnsi="Times New Roman" w:eastAsia="仿宋_GB2312"/>
          <w:sz w:val="32"/>
          <w:szCs w:val="32"/>
          <w:highlight w:val="none"/>
        </w:rPr>
        <w:t>万元，该项目资金已全部落实到位，资金来源</w:t>
      </w:r>
      <w:r>
        <w:rPr>
          <w:rFonts w:hint="eastAsia" w:eastAsia="仿宋_GB2312"/>
          <w:sz w:val="32"/>
          <w:szCs w:val="32"/>
          <w:highlight w:val="none"/>
          <w:lang w:val="en-US" w:eastAsia="zh-CN"/>
        </w:rPr>
        <w:t>其他</w:t>
      </w:r>
      <w:r>
        <w:rPr>
          <w:rFonts w:hint="eastAsia" w:ascii="Times New Roman" w:hAnsi="Times New Roman" w:eastAsia="仿宋_GB2312" w:cs="仿宋_GB2312"/>
          <w:sz w:val="32"/>
          <w:szCs w:val="32"/>
          <w:highlight w:val="none"/>
        </w:rPr>
        <w:t>资金</w:t>
      </w:r>
      <w:r>
        <w:rPr>
          <w:rFonts w:ascii="Times New Roman" w:hAnsi="Times New Roman" w:eastAsia="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（2）资金使用情况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该项目年初预算数</w:t>
      </w:r>
      <w:r>
        <w:rPr>
          <w:rFonts w:hint="eastAsia" w:ascii="Times New Roman" w:hAnsi="Times New Roman" w:eastAsia="仿宋_GB2312"/>
          <w:sz w:val="32"/>
          <w:szCs w:val="32"/>
          <w:highlight w:val="none"/>
        </w:rPr>
        <w:t>85.86</w:t>
      </w:r>
      <w:r>
        <w:rPr>
          <w:rFonts w:ascii="Times New Roman" w:hAnsi="Times New Roman" w:eastAsia="仿宋_GB2312"/>
          <w:sz w:val="32"/>
          <w:szCs w:val="32"/>
          <w:highlight w:val="none"/>
        </w:rPr>
        <w:t>万元，全年预算数</w:t>
      </w:r>
      <w:r>
        <w:rPr>
          <w:rFonts w:hint="eastAsia" w:ascii="Times New Roman" w:hAnsi="Times New Roman" w:eastAsia="仿宋_GB2312"/>
          <w:sz w:val="32"/>
          <w:szCs w:val="32"/>
          <w:highlight w:val="none"/>
        </w:rPr>
        <w:t>85.86</w:t>
      </w:r>
      <w:r>
        <w:rPr>
          <w:rFonts w:ascii="Times New Roman" w:hAnsi="Times New Roman" w:eastAsia="仿宋_GB2312"/>
          <w:sz w:val="32"/>
          <w:szCs w:val="32"/>
          <w:highlight w:val="none"/>
        </w:rPr>
        <w:t>万元</w:t>
      </w:r>
      <w:r>
        <w:rPr>
          <w:rFonts w:hint="eastAsia" w:ascii="Times New Roman" w:hAnsi="Times New Roman" w:eastAsia="仿宋_GB2312"/>
          <w:sz w:val="32"/>
          <w:szCs w:val="32"/>
          <w:highlight w:val="none"/>
        </w:rPr>
        <w:t>，</w:t>
      </w:r>
      <w:r>
        <w:rPr>
          <w:rFonts w:ascii="Times New Roman" w:hAnsi="Times New Roman" w:eastAsia="仿宋_GB2312"/>
          <w:sz w:val="32"/>
          <w:szCs w:val="32"/>
          <w:highlight w:val="none"/>
        </w:rPr>
        <w:t>全年执行数</w:t>
      </w:r>
      <w:r>
        <w:rPr>
          <w:rFonts w:hint="eastAsia" w:ascii="Times New Roman" w:hAnsi="Times New Roman" w:eastAsia="仿宋_GB2312"/>
          <w:sz w:val="32"/>
          <w:szCs w:val="32"/>
          <w:highlight w:val="none"/>
        </w:rPr>
        <w:t>85.86</w:t>
      </w:r>
      <w:r>
        <w:rPr>
          <w:rFonts w:ascii="Times New Roman" w:hAnsi="Times New Roman" w:eastAsia="仿宋_GB2312"/>
          <w:sz w:val="32"/>
          <w:szCs w:val="32"/>
          <w:highlight w:val="none"/>
        </w:rPr>
        <w:t>万元，预算执行率为</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%，主要用于：支付项目实施进程中的各项费用。</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（二）项目绩效目标</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1.</w:t>
      </w:r>
      <w:r>
        <w:rPr>
          <w:rFonts w:hint="eastAsia" w:ascii="Times New Roman" w:hAnsi="Times New Roman" w:eastAsia="仿宋_GB2312"/>
          <w:b/>
          <w:bCs/>
          <w:sz w:val="32"/>
          <w:szCs w:val="32"/>
          <w:highlight w:val="none"/>
        </w:rPr>
        <w:t xml:space="preserve"> </w:t>
      </w:r>
      <w:r>
        <w:rPr>
          <w:rFonts w:ascii="Times New Roman" w:hAnsi="Times New Roman" w:eastAsia="仿宋_GB2312"/>
          <w:b/>
          <w:bCs/>
          <w:sz w:val="32"/>
          <w:szCs w:val="32"/>
          <w:highlight w:val="none"/>
        </w:rPr>
        <w:t>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Cs/>
          <w:sz w:val="32"/>
          <w:szCs w:val="32"/>
          <w:highlight w:val="none"/>
        </w:rPr>
      </w:pPr>
      <w:r>
        <w:rPr>
          <w:rFonts w:hint="eastAsia" w:ascii="Times New Roman" w:hAnsi="Times New Roman" w:eastAsia="仿宋_GB2312" w:cs="仿宋_GB2312"/>
          <w:sz w:val="32"/>
          <w:szCs w:val="32"/>
          <w:highlight w:val="none"/>
        </w:rPr>
        <w:t>培训中心长期聘用7人，聘用人员均在培训中心工作10年以上，均成长为各部门业务骨干，为稳定培训中心教职员工队伍，提高工作质量和效率，长期创新开拓业务，也为培训中心的各项业务能够长期持续性的发展下去，有利于培训中心长远发展规划。长期聘用人员7人的经费支出，按照测算2024年工资、社保等经费需要支出85.86万元，按时按月足量发放到位，以确保单位业务正常开展。</w:t>
      </w:r>
    </w:p>
    <w:p>
      <w:pPr>
        <w:pageBreakBefore w:val="0"/>
        <w:numPr>
          <w:ilvl w:val="0"/>
          <w:numId w:val="2"/>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0"/>
          <w:highlight w:val="none"/>
        </w:rPr>
      </w:pPr>
      <w:r>
        <w:rPr>
          <w:rFonts w:hint="eastAsia" w:ascii="Times New Roman" w:hAnsi="Times New Roman" w:eastAsia="仿宋_GB2312"/>
          <w:sz w:val="32"/>
          <w:szCs w:val="30"/>
          <w:highlight w:val="none"/>
        </w:rPr>
        <w:t>（1）前期准备：</w:t>
      </w:r>
      <w:r>
        <w:rPr>
          <w:rFonts w:ascii="Times New Roman" w:hAnsi="Times New Roman" w:eastAsia="仿宋_GB2312"/>
          <w:sz w:val="32"/>
          <w:szCs w:val="30"/>
          <w:highlight w:val="none"/>
        </w:rPr>
        <w:t>通过制定项目实施方案，经项目负责人审核通过后，有序开展后续工作。</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bCs/>
          <w:sz w:val="32"/>
          <w:highlight w:val="none"/>
        </w:rPr>
      </w:pPr>
      <w:r>
        <w:rPr>
          <w:rFonts w:hint="eastAsia" w:ascii="Times New Roman" w:hAnsi="Times New Roman" w:eastAsia="仿宋_GB2312"/>
          <w:sz w:val="32"/>
          <w:szCs w:val="30"/>
          <w:highlight w:val="none"/>
        </w:rPr>
        <w:t>（2）组织实施：</w:t>
      </w:r>
      <w:r>
        <w:rPr>
          <w:rFonts w:ascii="Times New Roman" w:hAnsi="Times New Roman" w:eastAsia="仿宋_GB2312"/>
          <w:sz w:val="32"/>
          <w:szCs w:val="30"/>
          <w:highlight w:val="none"/>
        </w:rPr>
        <w:t>资金一到位，立即根据项目要求实施项目。项目责任人按照项目实施方案要求逐一进行项目部署安排，提高项目质量及效率性。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（一）绩效评价目的、对象和范围</w:t>
      </w:r>
    </w:p>
    <w:p>
      <w:pPr>
        <w:pStyle w:val="1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highlight w:val="none"/>
        </w:rPr>
      </w:pPr>
      <w:r>
        <w:rPr>
          <w:rFonts w:ascii="Times New Roman" w:hAnsi="Times New Roman" w:eastAsia="仿宋_GB2312"/>
          <w:sz w:val="32"/>
          <w:highlight w:val="none"/>
        </w:rPr>
        <w:t>1.</w:t>
      </w:r>
      <w:r>
        <w:rPr>
          <w:rFonts w:hint="eastAsia" w:ascii="Times New Roman" w:hAnsi="Times New Roman" w:eastAsia="仿宋_GB2312"/>
          <w:sz w:val="32"/>
          <w:highlight w:val="none"/>
        </w:rPr>
        <w:t xml:space="preserve"> </w:t>
      </w:r>
      <w:r>
        <w:rPr>
          <w:rFonts w:ascii="Times New Roman" w:hAnsi="Times New Roman" w:eastAsia="仿宋_GB2312"/>
          <w:sz w:val="32"/>
          <w:highlight w:val="none"/>
        </w:rPr>
        <w:t>绩效评价完整性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本项目预算绩效评价报告在编制过程中，严格遵循相关法规与标准，确保评价内容的全面性与准确性。报告涵盖了项目从预算编制、执行到完成的全过程，对项目的各项绩效指标进行了细致的梳理与评估。</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2.</w:t>
      </w:r>
      <w:r>
        <w:rPr>
          <w:rFonts w:hint="eastAsia" w:ascii="Times New Roman" w:hAnsi="Times New Roman" w:eastAsia="仿宋_GB2312"/>
          <w:b/>
          <w:bCs/>
          <w:sz w:val="32"/>
          <w:szCs w:val="32"/>
          <w:highlight w:val="none"/>
        </w:rPr>
        <w:t xml:space="preserve"> </w:t>
      </w:r>
      <w:r>
        <w:rPr>
          <w:rFonts w:ascii="Times New Roman" w:hAnsi="Times New Roman" w:eastAsia="仿宋_GB2312"/>
          <w:b/>
          <w:bCs/>
          <w:sz w:val="32"/>
          <w:szCs w:val="32"/>
          <w:highlight w:val="none"/>
        </w:rPr>
        <w:t>绩效评价的目的</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（1）评估项目实施效果</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（2）提升资源利用效率</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（3）强化项目管理责任</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（4）为决策提供支持</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（5）促进项目持续改进</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pageBreakBefore w:val="0"/>
        <w:widowControl w:val="0"/>
        <w:numPr>
          <w:ilvl w:val="0"/>
          <w:numId w:val="2"/>
        </w:numPr>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highlight w:val="none"/>
        </w:rPr>
      </w:pPr>
      <w:r>
        <w:rPr>
          <w:rFonts w:ascii="Times New Roman" w:hAnsi="Times New Roman" w:eastAsia="仿宋_GB2312"/>
          <w:sz w:val="32"/>
          <w:highlight w:val="none"/>
        </w:rPr>
        <w:t>绩效评价的对象</w:t>
      </w:r>
    </w:p>
    <w:p>
      <w:pPr>
        <w:pStyle w:val="1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本项目预算绩效评价报告的评价对象是弥补人员经费支出项目及其预算执行情况。该项目由新疆维吾尔自治区工业和信息化培训中心负责实施，旨在稳定培训中心教职员工队伍，提高工作质量和效率，长期创新开拓业务，也为培训中心的各项业务能够长期持续性的发展</w:t>
      </w:r>
      <w:r>
        <w:rPr>
          <w:rFonts w:hint="eastAsia" w:ascii="Times New Roman" w:hAnsi="Times New Roman" w:eastAsia="仿宋_GB2312"/>
          <w:b w:val="0"/>
          <w:bCs w:val="0"/>
          <w:sz w:val="32"/>
          <w:highlight w:val="none"/>
          <w:lang w:eastAsia="zh-CN"/>
        </w:rPr>
        <w:t>提供支撑</w:t>
      </w:r>
      <w:r>
        <w:rPr>
          <w:rFonts w:ascii="Times New Roman" w:hAnsi="Times New Roman" w:eastAsia="仿宋_GB2312"/>
          <w:b w:val="0"/>
          <w:bCs w:val="0"/>
          <w:sz w:val="32"/>
          <w:highlight w:val="none"/>
        </w:rPr>
        <w:t>。项目预算涵盖从</w:t>
      </w:r>
      <w:r>
        <w:rPr>
          <w:rFonts w:hint="eastAsia" w:ascii="Times New Roman" w:hAnsi="Times New Roman" w:eastAsia="仿宋_GB2312"/>
          <w:b w:val="0"/>
          <w:bCs w:val="0"/>
          <w:sz w:val="32"/>
          <w:highlight w:val="none"/>
        </w:rPr>
        <w:t>2024年1月1日</w:t>
      </w:r>
      <w:r>
        <w:rPr>
          <w:rFonts w:ascii="Times New Roman" w:hAnsi="Times New Roman" w:eastAsia="仿宋_GB2312"/>
          <w:b w:val="0"/>
          <w:bCs w:val="0"/>
          <w:sz w:val="32"/>
          <w:highlight w:val="none"/>
        </w:rPr>
        <w:t>至</w:t>
      </w:r>
      <w:r>
        <w:rPr>
          <w:rFonts w:hint="eastAsia" w:ascii="Times New Roman" w:hAnsi="Times New Roman" w:eastAsia="仿宋_GB2312"/>
          <w:b w:val="0"/>
          <w:bCs w:val="0"/>
          <w:sz w:val="32"/>
          <w:highlight w:val="none"/>
        </w:rPr>
        <w:t>2024年12月2</w:t>
      </w:r>
      <w:r>
        <w:rPr>
          <w:rFonts w:hint="eastAsia" w:ascii="Times New Roman" w:hAnsi="Times New Roman" w:eastAsia="仿宋_GB2312"/>
          <w:b w:val="0"/>
          <w:bCs w:val="0"/>
          <w:sz w:val="32"/>
          <w:highlight w:val="none"/>
          <w:lang w:val="en-US" w:eastAsia="zh-CN"/>
        </w:rPr>
        <w:t>0</w:t>
      </w:r>
      <w:r>
        <w:rPr>
          <w:rFonts w:hint="eastAsia" w:ascii="Times New Roman" w:hAnsi="Times New Roman" w:eastAsia="仿宋_GB2312"/>
          <w:b w:val="0"/>
          <w:bCs w:val="0"/>
          <w:sz w:val="32"/>
          <w:highlight w:val="none"/>
        </w:rPr>
        <w:t>日</w:t>
      </w:r>
      <w:r>
        <w:rPr>
          <w:rFonts w:ascii="Times New Roman" w:hAnsi="Times New Roman" w:eastAsia="仿宋_GB2312"/>
          <w:b w:val="0"/>
          <w:bCs w:val="0"/>
          <w:sz w:val="32"/>
          <w:highlight w:val="none"/>
        </w:rPr>
        <w:t>的全部资金投入与支出，涉及资金总额为</w:t>
      </w:r>
      <w:r>
        <w:rPr>
          <w:rFonts w:hint="eastAsia" w:ascii="Times New Roman" w:hAnsi="Times New Roman" w:eastAsia="仿宋_GB2312"/>
          <w:b w:val="0"/>
          <w:bCs w:val="0"/>
          <w:sz w:val="32"/>
          <w:highlight w:val="none"/>
        </w:rPr>
        <w:t>85.86</w:t>
      </w:r>
      <w:r>
        <w:rPr>
          <w:rFonts w:ascii="Times New Roman" w:hAnsi="Times New Roman" w:eastAsia="仿宋_GB2312"/>
          <w:b w:val="0"/>
          <w:bCs w:val="0"/>
          <w:sz w:val="32"/>
          <w:highlight w:val="none"/>
        </w:rPr>
        <w:t>万元。</w:t>
      </w:r>
    </w:p>
    <w:p>
      <w:pPr>
        <w:pStyle w:val="10"/>
        <w:pageBreakBefore w:val="0"/>
        <w:widowControl w:val="0"/>
        <w:numPr>
          <w:ilvl w:val="0"/>
          <w:numId w:val="2"/>
        </w:numPr>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highlight w:val="none"/>
        </w:rPr>
      </w:pPr>
      <w:r>
        <w:rPr>
          <w:rFonts w:ascii="Times New Roman" w:hAnsi="Times New Roman" w:eastAsia="仿宋_GB2312"/>
          <w:sz w:val="32"/>
          <w:highlight w:val="none"/>
        </w:rPr>
        <w:t>绩效评价的范围</w:t>
      </w:r>
    </w:p>
    <w:p>
      <w:pPr>
        <w:pStyle w:val="1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本项目预算绩效评价报告的评价范围广泛而全面，涵盖了从项目立项至评价时点期间的所有关键预算活动和财务流程。具体而言，评价范围包括但不限于以下几个方面：</w:t>
      </w:r>
    </w:p>
    <w:p>
      <w:pPr>
        <w:pStyle w:val="10"/>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项目预算编制与执行：全面审视项目预算的编制依据、合理性、科学性以及实际执行情况，包括预算调整的原因和效果。</w:t>
      </w:r>
    </w:p>
    <w:p>
      <w:pPr>
        <w:pStyle w:val="10"/>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资金管理：深入分析项目资金的分配、使用和监管情况，确保资金使用的合规性、高效性和透明度。</w:t>
      </w:r>
    </w:p>
    <w:p>
      <w:pPr>
        <w:pStyle w:val="10"/>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项目实施进度与产出：评估项目是否按照既定计划顺利推进，各项任务是否按时完成，以及项目产出的数量、质量和时效性是否符合预期。</w:t>
      </w:r>
    </w:p>
    <w:p>
      <w:pPr>
        <w:pStyle w:val="1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hint="eastAsia" w:ascii="Times New Roman" w:hAnsi="Times New Roman" w:eastAsia="仿宋_GB2312"/>
          <w:b w:val="0"/>
          <w:bCs w:val="0"/>
          <w:sz w:val="32"/>
          <w:highlight w:val="none"/>
        </w:rPr>
        <w:t>（4）</w:t>
      </w:r>
      <w:r>
        <w:rPr>
          <w:rFonts w:ascii="Times New Roman" w:hAnsi="Times New Roman" w:eastAsia="仿宋_GB2312"/>
          <w:b w:val="0"/>
          <w:bCs w:val="0"/>
          <w:sz w:val="32"/>
          <w:highlight w:val="none"/>
        </w:rPr>
        <w:t>社会、</w:t>
      </w:r>
      <w:r>
        <w:rPr>
          <w:rFonts w:hint="eastAsia" w:ascii="Times New Roman" w:hAnsi="Times New Roman" w:eastAsia="仿宋_GB2312"/>
          <w:b w:val="0"/>
          <w:bCs w:val="0"/>
          <w:sz w:val="32"/>
          <w:highlight w:val="none"/>
        </w:rPr>
        <w:t>生态</w:t>
      </w:r>
      <w:r>
        <w:rPr>
          <w:rFonts w:ascii="Times New Roman" w:hAnsi="Times New Roman" w:eastAsia="仿宋_GB2312"/>
          <w:b w:val="0"/>
          <w:bCs w:val="0"/>
          <w:sz w:val="32"/>
          <w:highlight w:val="none"/>
        </w:rPr>
        <w:t>等影响：</w:t>
      </w:r>
      <w:r>
        <w:rPr>
          <w:rFonts w:hint="eastAsia" w:ascii="Times New Roman" w:hAnsi="Times New Roman" w:eastAsia="仿宋_GB2312"/>
          <w:b w:val="0"/>
          <w:bCs w:val="0"/>
          <w:sz w:val="32"/>
          <w:highlight w:val="none"/>
        </w:rPr>
        <w:t>该项目以保障培训中心长期聘用人员的经费，在稳定教职员工队伍，提高工作质量和效率，将培训中心各项业务长期持续性发展提供支撑。</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sz w:val="32"/>
          <w:highlight w:val="none"/>
        </w:rPr>
      </w:pPr>
      <w:r>
        <w:rPr>
          <w:rFonts w:ascii="Times New Roman" w:hAnsi="Times New Roman" w:eastAsia="仿宋_GB2312"/>
          <w:b/>
          <w:bCs/>
          <w:sz w:val="32"/>
          <w:szCs w:val="32"/>
          <w:highlight w:val="none"/>
        </w:rPr>
        <w:t>（二）绩效评价原则、评价指标体系（详情见表1）、评价方法、评价标准。</w:t>
      </w:r>
    </w:p>
    <w:p>
      <w:pPr>
        <w:pStyle w:val="1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highlight w:val="none"/>
        </w:rPr>
      </w:pPr>
      <w:r>
        <w:rPr>
          <w:rFonts w:ascii="Times New Roman" w:hAnsi="Times New Roman" w:eastAsia="仿宋_GB2312"/>
          <w:sz w:val="32"/>
          <w:highlight w:val="none"/>
        </w:rPr>
        <w:t>1.</w:t>
      </w:r>
      <w:r>
        <w:rPr>
          <w:rFonts w:hint="eastAsia" w:ascii="Times New Roman" w:hAnsi="Times New Roman" w:eastAsia="仿宋_GB2312"/>
          <w:sz w:val="32"/>
          <w:highlight w:val="none"/>
        </w:rPr>
        <w:t xml:space="preserve"> </w:t>
      </w:r>
      <w:r>
        <w:rPr>
          <w:rFonts w:ascii="Times New Roman" w:hAnsi="Times New Roman" w:eastAsia="仿宋_GB2312"/>
          <w:sz w:val="32"/>
          <w:highlight w:val="none"/>
        </w:rPr>
        <w:t>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olor w:val="000000"/>
          <w:sz w:val="32"/>
          <w:szCs w:val="32"/>
          <w:highlight w:val="none"/>
        </w:rPr>
      </w:pPr>
      <w:r>
        <w:rPr>
          <w:rFonts w:ascii="Times New Roman" w:hAnsi="Times New Roman" w:eastAsia="仿宋_GB2312"/>
          <w:color w:val="000000"/>
          <w:sz w:val="32"/>
          <w:szCs w:val="32"/>
          <w:highlight w:val="none"/>
        </w:rPr>
        <w:t>本次项目绩效评价遵循以下基本原则：</w:t>
      </w:r>
    </w:p>
    <w:p>
      <w:pPr>
        <w:pStyle w:val="1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（1）科学公正。绩效评价应当运用科学合理的方法，按照规范的程序，对项目绩效进行客观、公正的反映。</w:t>
      </w:r>
    </w:p>
    <w:p>
      <w:pPr>
        <w:pStyle w:val="1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（2）统筹兼顾。单位自评、部门评价和财政评价应职责明确，各有侧重，相互衔接。单位自评应由项目单位自主实施，即“谁支出、谁自评”。部门评价和财政评价应在单位自评的基础上开展。</w:t>
      </w:r>
    </w:p>
    <w:p>
      <w:pPr>
        <w:pStyle w:val="1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（3）激励约束。绩效评价结果应与预算安排、政策调整、改进管理实质性挂钩，体现奖优罚劣和激励相容导向，有效要安排、低效要压减、无效要问责。</w:t>
      </w:r>
    </w:p>
    <w:p>
      <w:pPr>
        <w:pStyle w:val="1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（4）公开透明。绩效评价结果应依法依规公开，并自觉接受社会监督。</w:t>
      </w:r>
    </w:p>
    <w:p>
      <w:pPr>
        <w:pStyle w:val="1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highlight w:val="none"/>
        </w:rPr>
      </w:pPr>
      <w:r>
        <w:rPr>
          <w:rFonts w:ascii="Times New Roman" w:hAnsi="Times New Roman" w:eastAsia="仿宋_GB2312"/>
          <w:sz w:val="32"/>
          <w:highlight w:val="none"/>
        </w:rPr>
        <w:t>2.</w:t>
      </w:r>
      <w:r>
        <w:rPr>
          <w:rFonts w:hint="eastAsia" w:ascii="Times New Roman" w:hAnsi="Times New Roman" w:eastAsia="仿宋_GB2312"/>
          <w:sz w:val="32"/>
          <w:highlight w:val="none"/>
        </w:rPr>
        <w:t xml:space="preserve"> </w:t>
      </w:r>
      <w:r>
        <w:rPr>
          <w:rFonts w:ascii="Times New Roman" w:hAnsi="Times New Roman" w:eastAsia="仿宋_GB2312"/>
          <w:sz w:val="32"/>
          <w:highlight w:val="none"/>
        </w:rPr>
        <w:t>评价指标体系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（1）确定评价指标</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FF0000"/>
          <w:spacing w:val="17"/>
          <w:sz w:val="32"/>
          <w:szCs w:val="32"/>
          <w:highlight w:val="none"/>
        </w:rPr>
      </w:pPr>
      <w:r>
        <w:rPr>
          <w:rFonts w:ascii="Times New Roman" w:hAnsi="Times New Roman"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Times New Roman" w:hAnsi="Times New Roman" w:eastAsia="仿宋_GB2312"/>
          <w:b w:val="0"/>
          <w:bCs w:val="0"/>
          <w:color w:val="000000"/>
          <w:spacing w:val="17"/>
          <w:kern w:val="2"/>
          <w:sz w:val="32"/>
          <w:highlight w:val="none"/>
        </w:rPr>
      </w:pPr>
      <w:r>
        <w:rPr>
          <w:rFonts w:ascii="Times New Roman" w:hAnsi="Times New Roman" w:eastAsia="仿宋_GB2312"/>
          <w:b w:val="0"/>
          <w:bCs w:val="0"/>
          <w:color w:val="000000"/>
          <w:spacing w:val="17"/>
          <w:kern w:val="2"/>
          <w:sz w:val="32"/>
          <w:highlight w:val="none"/>
        </w:rPr>
        <w:t>绩效评价总分值100分，根据综合评分结果，90（含）-100分为优、80（含）-90分为良、60（含）-80分为中、60分以下为差。</w:t>
      </w:r>
    </w:p>
    <w:p>
      <w:pPr>
        <w:pStyle w:val="1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ascii="Times New Roman" w:hAnsi="Times New Roman" w:eastAsia="仿宋_GB2312"/>
          <w:b w:val="0"/>
          <w:bCs w:val="0"/>
          <w:color w:val="000000"/>
          <w:spacing w:val="17"/>
          <w:sz w:val="32"/>
          <w:highlight w:val="none"/>
        </w:rPr>
      </w:pPr>
      <w:r>
        <w:rPr>
          <w:rFonts w:ascii="Times New Roman" w:hAnsi="Times New Roman" w:eastAsia="仿宋_GB2312"/>
          <w:b w:val="0"/>
          <w:bCs w:val="0"/>
          <w:color w:val="000000"/>
          <w:spacing w:val="17"/>
          <w:sz w:val="32"/>
          <w:highlight w:val="none"/>
        </w:rPr>
        <w:t>具体评价指标体系详情见附件1</w:t>
      </w:r>
    </w:p>
    <w:p>
      <w:pPr>
        <w:pStyle w:val="1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highlight w:val="none"/>
        </w:rPr>
      </w:pPr>
      <w:r>
        <w:rPr>
          <w:rFonts w:ascii="Times New Roman" w:hAnsi="Times New Roman" w:eastAsia="仿宋_GB2312"/>
          <w:sz w:val="32"/>
          <w:highlight w:val="none"/>
        </w:rPr>
        <w:t>3.</w:t>
      </w:r>
      <w:r>
        <w:rPr>
          <w:rFonts w:hint="eastAsia" w:ascii="Times New Roman" w:hAnsi="Times New Roman" w:eastAsia="仿宋_GB2312"/>
          <w:sz w:val="32"/>
          <w:highlight w:val="none"/>
        </w:rPr>
        <w:t xml:space="preserve"> </w:t>
      </w:r>
      <w:r>
        <w:rPr>
          <w:rFonts w:ascii="Times New Roman" w:hAnsi="Times New Roman" w:eastAsia="仿宋_GB2312"/>
          <w:sz w:val="32"/>
          <w:highlight w:val="none"/>
        </w:rPr>
        <w:t>绩效评价方法</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000000"/>
          <w:spacing w:val="17"/>
          <w:sz w:val="32"/>
          <w:szCs w:val="32"/>
          <w:highlight w:val="none"/>
        </w:rPr>
      </w:pPr>
      <w:r>
        <w:rPr>
          <w:rFonts w:hint="eastAsia" w:ascii="Times New Roman" w:hAnsi="Times New Roman" w:eastAsia="仿宋_GB2312"/>
          <w:sz w:val="32"/>
          <w:szCs w:val="32"/>
          <w:highlight w:val="none"/>
        </w:rPr>
        <w:t>（一）成本效益分析法。</w:t>
      </w:r>
      <w:r>
        <w:rPr>
          <w:rFonts w:hint="eastAsia" w:ascii="Times New Roman" w:hAnsi="Times New Roman" w:eastAsia="仿宋_GB2312" w:cs="仿宋_GB2312"/>
          <w:color w:val="000000"/>
          <w:spacing w:val="17"/>
          <w:sz w:val="32"/>
          <w:szCs w:val="32"/>
          <w:highlight w:val="none"/>
        </w:rPr>
        <w:t xml:space="preserve">是指将投入与产出、效益进行关联性分析的方法。 </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000000"/>
          <w:spacing w:val="17"/>
          <w:sz w:val="32"/>
          <w:szCs w:val="32"/>
          <w:highlight w:val="none"/>
        </w:rPr>
      </w:pPr>
      <w:r>
        <w:rPr>
          <w:rFonts w:hint="eastAsia" w:ascii="Times New Roman" w:hAnsi="Times New Roman" w:eastAsia="仿宋_GB2312"/>
          <w:sz w:val="32"/>
          <w:szCs w:val="32"/>
          <w:highlight w:val="none"/>
        </w:rPr>
        <w:t>（二）比较法。</w:t>
      </w:r>
      <w:r>
        <w:rPr>
          <w:rFonts w:hint="eastAsia" w:ascii="Times New Roman" w:hAnsi="Times New Roman" w:eastAsia="仿宋_GB2312" w:cs="仿宋_GB2312"/>
          <w:color w:val="000000"/>
          <w:spacing w:val="17"/>
          <w:sz w:val="32"/>
          <w:szCs w:val="32"/>
          <w:highlight w:val="none"/>
        </w:rPr>
        <w:t>是指将实施情况与绩效目标、历史情况、不同部门和地区同类支出情况进行比较的方法。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000000"/>
          <w:spacing w:val="17"/>
          <w:sz w:val="32"/>
          <w:szCs w:val="32"/>
          <w:highlight w:val="none"/>
        </w:rPr>
      </w:pPr>
      <w:r>
        <w:rPr>
          <w:rFonts w:hint="eastAsia" w:ascii="Times New Roman" w:hAnsi="Times New Roman" w:eastAsia="仿宋_GB2312"/>
          <w:sz w:val="32"/>
          <w:szCs w:val="32"/>
          <w:highlight w:val="none"/>
        </w:rPr>
        <w:t>（三）因素分析法。</w:t>
      </w:r>
      <w:r>
        <w:rPr>
          <w:rFonts w:hint="eastAsia" w:ascii="Times New Roman" w:hAnsi="Times New Roman" w:eastAsia="仿宋_GB2312" w:cs="仿宋_GB2312"/>
          <w:color w:val="000000"/>
          <w:spacing w:val="17"/>
          <w:sz w:val="32"/>
          <w:szCs w:val="32"/>
          <w:highlight w:val="none"/>
        </w:rPr>
        <w:t>是指综合分析影响绩效目标实现、实施效果的内外部因素的方法。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000000"/>
          <w:spacing w:val="17"/>
          <w:sz w:val="32"/>
          <w:szCs w:val="32"/>
          <w:highlight w:val="none"/>
        </w:rPr>
      </w:pPr>
      <w:r>
        <w:rPr>
          <w:rFonts w:hint="eastAsia" w:ascii="Times New Roman" w:hAnsi="Times New Roman" w:eastAsia="仿宋_GB2312"/>
          <w:sz w:val="32"/>
          <w:szCs w:val="32"/>
          <w:highlight w:val="none"/>
        </w:rPr>
        <w:t>（四）最低成本法。</w:t>
      </w:r>
      <w:r>
        <w:rPr>
          <w:rFonts w:hint="eastAsia" w:ascii="Times New Roman" w:hAnsi="Times New Roman" w:eastAsia="仿宋_GB2312" w:cs="仿宋_GB2312"/>
          <w:color w:val="000000"/>
          <w:spacing w:val="17"/>
          <w:sz w:val="32"/>
          <w:szCs w:val="32"/>
          <w:highlight w:val="none"/>
        </w:rPr>
        <w:t>是指在绩效目标确定的前提下，成本最小者为优的方法。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000000"/>
          <w:spacing w:val="17"/>
          <w:sz w:val="32"/>
          <w:szCs w:val="32"/>
          <w:highlight w:val="none"/>
        </w:rPr>
      </w:pPr>
      <w:r>
        <w:rPr>
          <w:rFonts w:hint="eastAsia" w:ascii="Times New Roman" w:hAnsi="Times New Roman" w:eastAsia="仿宋_GB2312"/>
          <w:sz w:val="32"/>
          <w:szCs w:val="32"/>
          <w:highlight w:val="none"/>
        </w:rPr>
        <w:t>（五）公众评判法。</w:t>
      </w:r>
      <w:r>
        <w:rPr>
          <w:rFonts w:hint="eastAsia" w:ascii="Times New Roman" w:hAnsi="Times New Roman" w:eastAsia="仿宋_GB2312" w:cs="仿宋_GB2312"/>
          <w:color w:val="000000"/>
          <w:spacing w:val="17"/>
          <w:sz w:val="32"/>
          <w:szCs w:val="32"/>
          <w:highlight w:val="none"/>
        </w:rPr>
        <w:t>是指通过专家评估、公众问卷及抽样调查等方式进行评判的方法。</w:t>
      </w:r>
    </w:p>
    <w:p>
      <w:pPr>
        <w:pStyle w:val="1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highlight w:val="none"/>
        </w:rPr>
      </w:pPr>
      <w:r>
        <w:rPr>
          <w:rFonts w:ascii="Times New Roman" w:hAnsi="Times New Roman" w:eastAsia="仿宋_GB2312"/>
          <w:sz w:val="32"/>
          <w:highlight w:val="none"/>
        </w:rPr>
        <w:t>4.</w:t>
      </w:r>
      <w:r>
        <w:rPr>
          <w:rFonts w:hint="eastAsia" w:ascii="Times New Roman" w:hAnsi="Times New Roman" w:eastAsia="仿宋_GB2312"/>
          <w:sz w:val="32"/>
          <w:highlight w:val="none"/>
        </w:rPr>
        <w:t xml:space="preserve"> </w:t>
      </w:r>
      <w:r>
        <w:rPr>
          <w:rFonts w:ascii="Times New Roman" w:hAnsi="Times New Roman" w:eastAsia="仿宋_GB2312"/>
          <w:sz w:val="32"/>
          <w:highlight w:val="none"/>
        </w:rPr>
        <w:t>评价标准</w:t>
      </w:r>
    </w:p>
    <w:p>
      <w:pPr>
        <w:pStyle w:val="1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sz w:val="32"/>
          <w:highlight w:val="none"/>
        </w:rPr>
        <w:t>历史</w:t>
      </w:r>
      <w:r>
        <w:rPr>
          <w:rFonts w:ascii="Times New Roman" w:hAnsi="Times New Roman" w:eastAsia="仿宋_GB2312"/>
          <w:b w:val="0"/>
          <w:bCs w:val="0"/>
          <w:sz w:val="32"/>
          <w:highlight w:val="none"/>
        </w:rPr>
        <w:t>标准。</w:t>
      </w:r>
    </w:p>
    <w:p>
      <w:pPr>
        <w:pStyle w:val="1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（1）计划标准。指以预先制定的目标、计划、预算、定额等作为评价标准。</w:t>
      </w:r>
    </w:p>
    <w:p>
      <w:pPr>
        <w:pStyle w:val="1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（2）行业标准。指参照国家公布的行业指标数据制定的评价标准。</w:t>
      </w:r>
    </w:p>
    <w:p>
      <w:pPr>
        <w:pStyle w:val="1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（3）历史标准。指参照历史数据制定的评价标准，为体现绩效改进的原则，在可实现的条件下应当确定相对较高的评价标准。</w:t>
      </w:r>
    </w:p>
    <w:p>
      <w:pPr>
        <w:pStyle w:val="1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（4）财政部门和预算部门确认或认可的其他标准。</w:t>
      </w:r>
    </w:p>
    <w:p>
      <w:pPr>
        <w:pStyle w:val="10"/>
        <w:pageBreakBefore w:val="0"/>
        <w:numPr>
          <w:ilvl w:val="0"/>
          <w:numId w:val="4"/>
        </w:numPr>
        <w:kinsoku/>
        <w:wordWrap/>
        <w:overflowPunct/>
        <w:topLinePunct w:val="0"/>
        <w:autoSpaceDE/>
        <w:autoSpaceDN/>
        <w:bidi w:val="0"/>
        <w:adjustRightInd/>
        <w:snapToGrid/>
        <w:spacing w:before="0" w:after="0" w:line="560" w:lineRule="exact"/>
        <w:ind w:firstLine="711" w:firstLineChars="200"/>
        <w:jc w:val="both"/>
        <w:textAlignment w:val="auto"/>
        <w:rPr>
          <w:rFonts w:ascii="Times New Roman" w:hAnsi="Times New Roman" w:eastAsia="仿宋_GB2312"/>
          <w:color w:val="000000"/>
          <w:spacing w:val="17"/>
          <w:sz w:val="32"/>
          <w:highlight w:val="none"/>
        </w:rPr>
      </w:pPr>
      <w:r>
        <w:rPr>
          <w:rFonts w:ascii="Times New Roman" w:hAnsi="Times New Roman" w:eastAsia="仿宋_GB2312"/>
          <w:color w:val="000000"/>
          <w:spacing w:val="17"/>
          <w:sz w:val="32"/>
          <w:highlight w:val="none"/>
        </w:rPr>
        <w:t>绩效评价工作</w:t>
      </w:r>
      <w:bookmarkStart w:id="3" w:name="_GoBack"/>
      <w:bookmarkEnd w:id="3"/>
      <w:r>
        <w:rPr>
          <w:rFonts w:ascii="Times New Roman" w:hAnsi="Times New Roman" w:eastAsia="仿宋_GB2312"/>
          <w:color w:val="000000"/>
          <w:spacing w:val="17"/>
          <w:sz w:val="32"/>
          <w:highlight w:val="none"/>
        </w:rPr>
        <w:t>过程</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前期准备与规划</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指标体系构建</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依据项目的性质、目标以及预期成果，构建了科学合理的绩效评价指标体系。该指标体系涵盖了</w:t>
      </w:r>
      <w:r>
        <w:rPr>
          <w:rFonts w:ascii="Times New Roman" w:hAnsi="Times New Roman" w:eastAsia="仿宋_GB2312"/>
          <w:color w:val="000000"/>
          <w:spacing w:val="17"/>
          <w:sz w:val="32"/>
          <w:szCs w:val="32"/>
          <w:highlight w:val="none"/>
        </w:rPr>
        <w:t>项目决策、项目过程、项目产出、项目效益四个维度</w:t>
      </w:r>
      <w:r>
        <w:rPr>
          <w:rFonts w:ascii="Times New Roman" w:hAnsi="Times New Roman" w:eastAsia="仿宋_GB2312"/>
          <w:sz w:val="32"/>
          <w:szCs w:val="32"/>
          <w:highlight w:val="none"/>
        </w:rPr>
        <w:t>，选取了具有代表性和可衡量性的关键指标，并为每个指标设定了明确的评价标准与权重，确保评价结果能够全面、准确地反映项目的绩效状况。</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数据收集与整理</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数据分析与评估</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报告撰写与反馈</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后续跟踪与改进</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ageBreakBefore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综合评价情况及评价结论（附相关评分表）</w:t>
      </w:r>
    </w:p>
    <w:p>
      <w:pPr>
        <w:pStyle w:val="1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sz w:val="32"/>
          <w:highlight w:val="none"/>
        </w:rPr>
      </w:pPr>
      <w:r>
        <w:rPr>
          <w:rFonts w:ascii="Times New Roman" w:hAnsi="Times New Roman" w:eastAsia="仿宋_GB2312"/>
          <w:sz w:val="32"/>
          <w:highlight w:val="none"/>
        </w:rPr>
        <w:t>（一）评价情况</w:t>
      </w:r>
    </w:p>
    <w:p>
      <w:pPr>
        <w:pStyle w:val="9"/>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本项目的综合评价基于对项目各方面绩效的深入分析与评估。从项目目标的达成情况来看，弥补人员经费支出项目</w:t>
      </w:r>
      <w:r>
        <w:rPr>
          <w:rFonts w:hint="eastAsia" w:ascii="Times New Roman" w:hAnsi="Times New Roman" w:eastAsia="仿宋_GB2312"/>
          <w:sz w:val="32"/>
          <w:szCs w:val="32"/>
          <w:highlight w:val="none"/>
        </w:rPr>
        <w:t>在数量指标、质量指标、时效指标</w:t>
      </w:r>
      <w:r>
        <w:rPr>
          <w:rFonts w:ascii="Times New Roman" w:hAnsi="Times New Roman" w:eastAsia="仿宋_GB2312"/>
          <w:sz w:val="32"/>
          <w:szCs w:val="32"/>
          <w:highlight w:val="none"/>
        </w:rPr>
        <w:t>等方面表现出色，达到了预期的标准与要求。同时，项目也在</w:t>
      </w:r>
      <w:r>
        <w:rPr>
          <w:rFonts w:hint="eastAsia" w:ascii="Times New Roman" w:hAnsi="Times New Roman" w:eastAsia="仿宋_GB2312"/>
          <w:sz w:val="32"/>
          <w:szCs w:val="32"/>
          <w:highlight w:val="none"/>
        </w:rPr>
        <w:t>各项培训、考试业务开展方面</w:t>
      </w:r>
      <w:r>
        <w:rPr>
          <w:rFonts w:ascii="Times New Roman" w:hAnsi="Times New Roman" w:eastAsia="仿宋_GB2312"/>
          <w:sz w:val="32"/>
          <w:szCs w:val="32"/>
          <w:highlight w:val="none"/>
        </w:rPr>
        <w:t>取得了显著的成效，</w:t>
      </w:r>
      <w:r>
        <w:rPr>
          <w:rFonts w:hint="eastAsia" w:ascii="Times New Roman" w:hAnsi="Times New Roman" w:eastAsia="仿宋_GB2312"/>
          <w:sz w:val="32"/>
          <w:szCs w:val="32"/>
          <w:highlight w:val="none"/>
        </w:rPr>
        <w:t>有效保障中心各类培训、考试业务开展工作</w:t>
      </w:r>
      <w:r>
        <w:rPr>
          <w:rFonts w:ascii="Times New Roman" w:hAnsi="Times New Roman" w:eastAsia="仿宋_GB2312"/>
          <w:sz w:val="32"/>
          <w:szCs w:val="32"/>
          <w:highlight w:val="none"/>
        </w:rPr>
        <w:t>。</w:t>
      </w:r>
    </w:p>
    <w:p>
      <w:pPr>
        <w:pStyle w:val="9"/>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在项目管理方面，</w:t>
      </w:r>
      <w:r>
        <w:rPr>
          <w:rFonts w:hint="eastAsia" w:ascii="Times New Roman" w:hAnsi="Times New Roman" w:eastAsia="仿宋_GB2312"/>
          <w:sz w:val="32"/>
          <w:szCs w:val="32"/>
          <w:highlight w:val="none"/>
        </w:rPr>
        <w:t>新疆维吾尔自治区工业和信息化培训中心</w:t>
      </w:r>
      <w:r>
        <w:rPr>
          <w:rFonts w:ascii="Times New Roman" w:hAnsi="Times New Roman" w:eastAsia="仿宋_GB2312"/>
          <w:sz w:val="32"/>
          <w:szCs w:val="32"/>
          <w:highlight w:val="none"/>
        </w:rPr>
        <w:t>通过有效的规划、组织与协调，项目得以顺利实施，并在预算与时间上保持了良好的控制。</w:t>
      </w:r>
    </w:p>
    <w:p>
      <w:pPr>
        <w:pStyle w:val="9"/>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从项目效益的角度来看，本项目不仅实现了预期的社会效益方面产生了积极的影响。具体而言，</w:t>
      </w:r>
      <w:r>
        <w:rPr>
          <w:rFonts w:hint="eastAsia" w:ascii="Times New Roman" w:hAnsi="Times New Roman" w:eastAsia="仿宋_GB2312"/>
          <w:sz w:val="32"/>
          <w:szCs w:val="32"/>
          <w:highlight w:val="none"/>
        </w:rPr>
        <w:t>开展各项培训、考试工作</w:t>
      </w:r>
      <w:r>
        <w:rPr>
          <w:rFonts w:ascii="Times New Roman" w:hAnsi="Times New Roman" w:eastAsia="仿宋_GB2312"/>
          <w:sz w:val="32"/>
          <w:szCs w:val="32"/>
          <w:highlight w:val="none"/>
        </w:rPr>
        <w:t>等方面的</w:t>
      </w:r>
      <w:r>
        <w:rPr>
          <w:rFonts w:hint="eastAsia" w:ascii="Times New Roman" w:hAnsi="Times New Roman" w:eastAsia="仿宋_GB2312"/>
          <w:sz w:val="32"/>
          <w:szCs w:val="32"/>
          <w:highlight w:val="none"/>
        </w:rPr>
        <w:t>保障</w:t>
      </w:r>
      <w:r>
        <w:rPr>
          <w:rFonts w:ascii="Times New Roman" w:hAnsi="Times New Roman" w:eastAsia="仿宋_GB2312"/>
          <w:sz w:val="32"/>
          <w:szCs w:val="32"/>
          <w:highlight w:val="none"/>
        </w:rPr>
        <w:t>，为项目的利益相关者带来了实实在在的利益。</w:t>
      </w:r>
    </w:p>
    <w:p>
      <w:pPr>
        <w:pStyle w:val="9"/>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仿宋_GB2312"/>
          <w:sz w:val="32"/>
          <w:highlight w:val="none"/>
        </w:rPr>
      </w:pPr>
      <w:r>
        <w:rPr>
          <w:rFonts w:ascii="Times New Roman" w:hAnsi="Times New Roman" w:eastAsia="仿宋_GB2312"/>
          <w:sz w:val="32"/>
          <w:szCs w:val="32"/>
          <w:highlight w:val="none"/>
        </w:rPr>
        <w:t>综上所述，弥补人员经费支出项目在绩效评价中表现出色，达到了项目的预期目标，并在多个方面取得了显著的成效。</w:t>
      </w:r>
    </w:p>
    <w:p>
      <w:pPr>
        <w:pStyle w:val="1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sz w:val="32"/>
          <w:highlight w:val="none"/>
        </w:rPr>
      </w:pPr>
      <w:r>
        <w:rPr>
          <w:rFonts w:ascii="Times New Roman" w:hAnsi="Times New Roman" w:eastAsia="仿宋_GB2312"/>
          <w:sz w:val="32"/>
          <w:highlight w:val="none"/>
        </w:rPr>
        <w:t>（二）评价结论</w:t>
      </w:r>
    </w:p>
    <w:p>
      <w:pPr>
        <w:pStyle w:val="1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highlight w:val="none"/>
        </w:rPr>
      </w:pPr>
      <w:r>
        <w:rPr>
          <w:rFonts w:ascii="Times New Roman" w:hAnsi="Times New Roman" w:eastAsia="仿宋_GB2312"/>
          <w:b w:val="0"/>
          <w:bCs w:val="0"/>
          <w:sz w:val="32"/>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sz w:val="32"/>
          <w:highlight w:val="none"/>
        </w:rPr>
        <w:t>100</w:t>
      </w:r>
      <w:r>
        <w:rPr>
          <w:rFonts w:ascii="Times New Roman" w:hAnsi="Times New Roman" w:eastAsia="仿宋_GB2312"/>
          <w:b w:val="0"/>
          <w:bCs w:val="0"/>
          <w:sz w:val="32"/>
          <w:highlight w:val="none"/>
        </w:rPr>
        <w:t>分，属于“优”。其中，项目决策类指标权重为20分，得分为</w:t>
      </w:r>
      <w:r>
        <w:rPr>
          <w:rFonts w:hint="eastAsia" w:ascii="Times New Roman" w:hAnsi="Times New Roman" w:eastAsia="仿宋_GB2312"/>
          <w:b w:val="0"/>
          <w:bCs w:val="0"/>
          <w:sz w:val="32"/>
          <w:highlight w:val="none"/>
        </w:rPr>
        <w:t>20</w:t>
      </w:r>
      <w:r>
        <w:rPr>
          <w:rFonts w:ascii="Times New Roman" w:hAnsi="Times New Roman" w:eastAsia="仿宋_GB2312"/>
          <w:b w:val="0"/>
          <w:bCs w:val="0"/>
          <w:sz w:val="32"/>
          <w:highlight w:val="none"/>
        </w:rPr>
        <w:t>分，得分率为</w:t>
      </w:r>
      <w:r>
        <w:rPr>
          <w:rFonts w:hint="eastAsia" w:ascii="Times New Roman" w:hAnsi="Times New Roman" w:eastAsia="仿宋_GB2312"/>
          <w:b w:val="0"/>
          <w:bCs w:val="0"/>
          <w:sz w:val="32"/>
          <w:highlight w:val="none"/>
        </w:rPr>
        <w:t>100</w:t>
      </w:r>
      <w:r>
        <w:rPr>
          <w:rFonts w:ascii="Times New Roman" w:hAnsi="Times New Roman" w:eastAsia="仿宋_GB2312"/>
          <w:b w:val="0"/>
          <w:bCs w:val="0"/>
          <w:sz w:val="32"/>
          <w:highlight w:val="none"/>
        </w:rPr>
        <w:t>%。项目过程类指标权重为20分，得分为</w:t>
      </w:r>
      <w:r>
        <w:rPr>
          <w:rFonts w:hint="eastAsia" w:ascii="Times New Roman" w:hAnsi="Times New Roman" w:eastAsia="仿宋_GB2312"/>
          <w:b w:val="0"/>
          <w:bCs w:val="0"/>
          <w:sz w:val="32"/>
          <w:highlight w:val="none"/>
        </w:rPr>
        <w:t>20</w:t>
      </w:r>
      <w:r>
        <w:rPr>
          <w:rFonts w:ascii="Times New Roman" w:hAnsi="Times New Roman" w:eastAsia="仿宋_GB2312"/>
          <w:b w:val="0"/>
          <w:bCs w:val="0"/>
          <w:sz w:val="32"/>
          <w:highlight w:val="none"/>
        </w:rPr>
        <w:t>分，得分率为</w:t>
      </w:r>
      <w:r>
        <w:rPr>
          <w:rFonts w:hint="eastAsia" w:ascii="Times New Roman" w:hAnsi="Times New Roman" w:eastAsia="仿宋_GB2312"/>
          <w:b w:val="0"/>
          <w:bCs w:val="0"/>
          <w:sz w:val="32"/>
          <w:highlight w:val="none"/>
        </w:rPr>
        <w:t>100</w:t>
      </w:r>
      <w:r>
        <w:rPr>
          <w:rFonts w:ascii="Times New Roman" w:hAnsi="Times New Roman" w:eastAsia="仿宋_GB2312"/>
          <w:b w:val="0"/>
          <w:bCs w:val="0"/>
          <w:sz w:val="32"/>
          <w:highlight w:val="none"/>
        </w:rPr>
        <w:t>%。项目产出类指标权重为40分，得分为</w:t>
      </w:r>
      <w:r>
        <w:rPr>
          <w:rFonts w:hint="eastAsia" w:ascii="Times New Roman" w:hAnsi="Times New Roman" w:eastAsia="仿宋_GB2312"/>
          <w:b w:val="0"/>
          <w:bCs w:val="0"/>
          <w:sz w:val="32"/>
          <w:highlight w:val="none"/>
        </w:rPr>
        <w:t>40</w:t>
      </w:r>
      <w:r>
        <w:rPr>
          <w:rFonts w:ascii="Times New Roman" w:hAnsi="Times New Roman" w:eastAsia="仿宋_GB2312"/>
          <w:b w:val="0"/>
          <w:bCs w:val="0"/>
          <w:sz w:val="32"/>
          <w:highlight w:val="none"/>
        </w:rPr>
        <w:t>分，得分率为</w:t>
      </w:r>
      <w:r>
        <w:rPr>
          <w:rFonts w:hint="eastAsia" w:ascii="Times New Roman" w:hAnsi="Times New Roman" w:eastAsia="仿宋_GB2312"/>
          <w:b w:val="0"/>
          <w:bCs w:val="0"/>
          <w:sz w:val="32"/>
          <w:highlight w:val="none"/>
        </w:rPr>
        <w:t>100</w:t>
      </w:r>
      <w:r>
        <w:rPr>
          <w:rFonts w:ascii="Times New Roman" w:hAnsi="Times New Roman" w:eastAsia="仿宋_GB2312"/>
          <w:b w:val="0"/>
          <w:bCs w:val="0"/>
          <w:sz w:val="32"/>
          <w:highlight w:val="none"/>
        </w:rPr>
        <w:t>%。项目效益类指标权重为20分，得分为</w:t>
      </w:r>
      <w:r>
        <w:rPr>
          <w:rFonts w:hint="eastAsia" w:ascii="Times New Roman" w:hAnsi="Times New Roman" w:eastAsia="仿宋_GB2312"/>
          <w:b w:val="0"/>
          <w:bCs w:val="0"/>
          <w:sz w:val="32"/>
          <w:highlight w:val="none"/>
        </w:rPr>
        <w:t>20</w:t>
      </w:r>
      <w:r>
        <w:rPr>
          <w:rFonts w:ascii="Times New Roman" w:hAnsi="Times New Roman" w:eastAsia="仿宋_GB2312"/>
          <w:b w:val="0"/>
          <w:bCs w:val="0"/>
          <w:sz w:val="32"/>
          <w:highlight w:val="none"/>
        </w:rPr>
        <w:t>分，得分率为</w:t>
      </w:r>
      <w:r>
        <w:rPr>
          <w:rFonts w:hint="eastAsia" w:ascii="Times New Roman" w:hAnsi="Times New Roman" w:eastAsia="仿宋_GB2312"/>
          <w:b w:val="0"/>
          <w:bCs w:val="0"/>
          <w:sz w:val="32"/>
          <w:highlight w:val="none"/>
        </w:rPr>
        <w:t>100</w:t>
      </w:r>
      <w:r>
        <w:rPr>
          <w:rFonts w:ascii="Times New Roman" w:hAnsi="Times New Roman" w:eastAsia="仿宋_GB2312"/>
          <w:b w:val="0"/>
          <w:bCs w:val="0"/>
          <w:sz w:val="32"/>
          <w:highlight w:val="none"/>
        </w:rPr>
        <w:t>%。具体打分情况详见：附件1综合评分表。</w:t>
      </w:r>
    </w:p>
    <w:p>
      <w:pPr>
        <w:pStyle w:val="10"/>
        <w:pageBreakBefore w:val="0"/>
        <w:kinsoku/>
        <w:wordWrap/>
        <w:overflowPunct/>
        <w:topLinePunct w:val="0"/>
        <w:autoSpaceDE/>
        <w:autoSpaceDN/>
        <w:bidi w:val="0"/>
        <w:adjustRightInd/>
        <w:snapToGrid/>
        <w:spacing w:before="0" w:after="0" w:line="560" w:lineRule="exact"/>
        <w:ind w:firstLine="643" w:firstLineChars="200"/>
        <w:textAlignment w:val="auto"/>
        <w:rPr>
          <w:rFonts w:ascii="Times New Roman" w:hAnsi="Times New Roman" w:eastAsia="仿宋_GB2312"/>
          <w:sz w:val="32"/>
          <w:szCs w:val="21"/>
          <w:highlight w:val="none"/>
        </w:rPr>
      </w:pPr>
      <w:r>
        <w:rPr>
          <w:rFonts w:ascii="Times New Roman" w:hAnsi="Times New Roman" w:eastAsia="仿宋_GB2312"/>
          <w:sz w:val="32"/>
          <w:szCs w:val="21"/>
          <w:highlight w:val="none"/>
        </w:rPr>
        <w:t>表1综合评分表</w:t>
      </w:r>
    </w:p>
    <w:tbl>
      <w:tblPr>
        <w:tblStyle w:val="14"/>
        <w:tblW w:w="9059" w:type="dxa"/>
        <w:jc w:val="center"/>
        <w:tblInd w:w="0" w:type="dxa"/>
        <w:tblLayout w:type="fixed"/>
        <w:tblCellMar>
          <w:top w:w="0" w:type="dxa"/>
          <w:left w:w="108" w:type="dxa"/>
          <w:bottom w:w="0" w:type="dxa"/>
          <w:right w:w="108" w:type="dxa"/>
        </w:tblCellMar>
      </w:tblPr>
      <w:tblGrid>
        <w:gridCol w:w="3747"/>
        <w:gridCol w:w="2590"/>
        <w:gridCol w:w="2722"/>
      </w:tblGrid>
      <w:tr>
        <w:tblPrEx>
          <w:tblLayout w:type="fixed"/>
          <w:tblCellMar>
            <w:top w:w="0" w:type="dxa"/>
            <w:left w:w="108" w:type="dxa"/>
            <w:bottom w:w="0" w:type="dxa"/>
            <w:right w:w="108" w:type="dxa"/>
          </w:tblCellMar>
        </w:tblPrEx>
        <w:trPr>
          <w:trHeight w:val="90" w:hRule="atLeast"/>
          <w:tblHeader/>
          <w:jc w:val="center"/>
        </w:trPr>
        <w:tc>
          <w:tcPr>
            <w:tcW w:w="374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b/>
                <w:bCs/>
                <w:color w:val="000000"/>
                <w:sz w:val="32"/>
                <w:szCs w:val="21"/>
                <w:highlight w:val="none"/>
              </w:rPr>
            </w:pPr>
            <w:r>
              <w:rPr>
                <w:rFonts w:ascii="Times New Roman" w:hAnsi="Times New Roman" w:eastAsia="仿宋_GB2312"/>
                <w:b/>
                <w:bCs/>
                <w:color w:val="000000"/>
                <w:sz w:val="32"/>
                <w:szCs w:val="21"/>
                <w:highlight w:val="none"/>
              </w:rPr>
              <w:t>一级指标</w:t>
            </w:r>
          </w:p>
        </w:tc>
        <w:tc>
          <w:tcPr>
            <w:tcW w:w="2590"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b/>
                <w:bCs/>
                <w:color w:val="000000"/>
                <w:sz w:val="32"/>
                <w:szCs w:val="21"/>
                <w:highlight w:val="none"/>
              </w:rPr>
            </w:pPr>
            <w:r>
              <w:rPr>
                <w:rFonts w:ascii="Times New Roman" w:hAnsi="Times New Roman" w:eastAsia="仿宋_GB2312"/>
                <w:b/>
                <w:bCs/>
                <w:color w:val="000000"/>
                <w:sz w:val="32"/>
                <w:szCs w:val="21"/>
                <w:highlight w:val="none"/>
              </w:rPr>
              <w:t>权重分</w:t>
            </w:r>
          </w:p>
        </w:tc>
        <w:tc>
          <w:tcPr>
            <w:tcW w:w="2722"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b/>
                <w:bCs/>
                <w:color w:val="000000"/>
                <w:sz w:val="32"/>
                <w:szCs w:val="21"/>
                <w:highlight w:val="none"/>
              </w:rPr>
            </w:pPr>
            <w:r>
              <w:rPr>
                <w:rFonts w:ascii="Times New Roman" w:hAnsi="Times New Roman" w:eastAsia="仿宋_GB2312"/>
                <w:b/>
                <w:bCs/>
                <w:color w:val="000000"/>
                <w:sz w:val="32"/>
                <w:szCs w:val="21"/>
                <w:highlight w:val="none"/>
              </w:rPr>
              <w:t>得分</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ascii="Times New Roman" w:hAnsi="Times New Roman" w:eastAsia="仿宋_GB2312"/>
                <w:color w:val="000000"/>
                <w:sz w:val="32"/>
                <w:szCs w:val="21"/>
                <w:highlight w:val="none"/>
              </w:rPr>
              <w:t>项目决策</w:t>
            </w:r>
          </w:p>
        </w:tc>
        <w:tc>
          <w:tcPr>
            <w:tcW w:w="259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ascii="Times New Roman" w:hAnsi="Times New Roman" w:eastAsia="仿宋_GB2312"/>
                <w:color w:val="000000"/>
                <w:sz w:val="32"/>
                <w:szCs w:val="21"/>
                <w:highlight w:val="none"/>
              </w:rPr>
              <w:t>20</w:t>
            </w:r>
          </w:p>
        </w:tc>
        <w:tc>
          <w:tcPr>
            <w:tcW w:w="272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hint="eastAsia" w:ascii="Times New Roman" w:hAnsi="Times New Roman" w:eastAsia="仿宋_GB2312"/>
                <w:color w:val="000000"/>
                <w:sz w:val="32"/>
                <w:szCs w:val="21"/>
                <w:highlight w:val="none"/>
              </w:rPr>
              <w:t>20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ascii="Times New Roman" w:hAnsi="Times New Roman" w:eastAsia="仿宋_GB2312"/>
                <w:color w:val="000000"/>
                <w:sz w:val="32"/>
                <w:szCs w:val="21"/>
                <w:highlight w:val="none"/>
              </w:rPr>
              <w:t>项目过程</w:t>
            </w:r>
          </w:p>
        </w:tc>
        <w:tc>
          <w:tcPr>
            <w:tcW w:w="259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ascii="Times New Roman" w:hAnsi="Times New Roman" w:eastAsia="仿宋_GB2312"/>
                <w:color w:val="000000"/>
                <w:sz w:val="32"/>
                <w:szCs w:val="21"/>
                <w:highlight w:val="none"/>
              </w:rPr>
              <w:t>20</w:t>
            </w:r>
          </w:p>
        </w:tc>
        <w:tc>
          <w:tcPr>
            <w:tcW w:w="272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hint="eastAsia" w:ascii="Times New Roman" w:hAnsi="Times New Roman" w:eastAsia="仿宋_GB2312"/>
                <w:color w:val="000000"/>
                <w:sz w:val="32"/>
                <w:szCs w:val="21"/>
                <w:highlight w:val="none"/>
              </w:rPr>
              <w:t>20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ascii="Times New Roman" w:hAnsi="Times New Roman" w:eastAsia="仿宋_GB2312"/>
                <w:color w:val="000000"/>
                <w:sz w:val="32"/>
                <w:szCs w:val="21"/>
                <w:highlight w:val="none"/>
              </w:rPr>
              <w:t>项目产出</w:t>
            </w:r>
          </w:p>
        </w:tc>
        <w:tc>
          <w:tcPr>
            <w:tcW w:w="259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ascii="Times New Roman" w:hAnsi="Times New Roman" w:eastAsia="仿宋_GB2312"/>
                <w:color w:val="000000"/>
                <w:sz w:val="32"/>
                <w:szCs w:val="21"/>
                <w:highlight w:val="none"/>
              </w:rPr>
              <w:t>40</w:t>
            </w:r>
          </w:p>
        </w:tc>
        <w:tc>
          <w:tcPr>
            <w:tcW w:w="272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hint="eastAsia" w:ascii="Times New Roman" w:hAnsi="Times New Roman" w:eastAsia="仿宋_GB2312"/>
                <w:color w:val="000000"/>
                <w:sz w:val="32"/>
                <w:szCs w:val="21"/>
                <w:highlight w:val="none"/>
              </w:rPr>
              <w:t>40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ascii="Times New Roman" w:hAnsi="Times New Roman" w:eastAsia="仿宋_GB2312"/>
                <w:color w:val="000000"/>
                <w:sz w:val="32"/>
                <w:szCs w:val="21"/>
                <w:highlight w:val="none"/>
              </w:rPr>
              <w:t>项目效益</w:t>
            </w:r>
          </w:p>
        </w:tc>
        <w:tc>
          <w:tcPr>
            <w:tcW w:w="259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ascii="Times New Roman" w:hAnsi="Times New Roman" w:eastAsia="仿宋_GB2312"/>
                <w:color w:val="000000"/>
                <w:sz w:val="32"/>
                <w:szCs w:val="21"/>
                <w:highlight w:val="none"/>
              </w:rPr>
              <w:t>20</w:t>
            </w:r>
          </w:p>
        </w:tc>
        <w:tc>
          <w:tcPr>
            <w:tcW w:w="272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color w:val="000000"/>
                <w:sz w:val="32"/>
                <w:szCs w:val="21"/>
                <w:highlight w:val="none"/>
              </w:rPr>
            </w:pPr>
            <w:r>
              <w:rPr>
                <w:rFonts w:hint="eastAsia" w:ascii="Times New Roman" w:hAnsi="Times New Roman" w:eastAsia="仿宋_GB2312"/>
                <w:color w:val="000000"/>
                <w:sz w:val="32"/>
                <w:szCs w:val="21"/>
                <w:highlight w:val="none"/>
              </w:rPr>
              <w:t>20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b/>
                <w:bCs/>
                <w:color w:val="000000"/>
                <w:sz w:val="32"/>
                <w:szCs w:val="21"/>
                <w:highlight w:val="none"/>
              </w:rPr>
            </w:pPr>
            <w:r>
              <w:rPr>
                <w:rFonts w:ascii="Times New Roman" w:hAnsi="Times New Roman" w:eastAsia="仿宋_GB2312"/>
                <w:b/>
                <w:bCs/>
                <w:color w:val="000000"/>
                <w:sz w:val="32"/>
                <w:szCs w:val="21"/>
                <w:highlight w:val="none"/>
              </w:rPr>
              <w:t>合计</w:t>
            </w:r>
          </w:p>
        </w:tc>
        <w:tc>
          <w:tcPr>
            <w:tcW w:w="259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b/>
                <w:bCs/>
                <w:color w:val="000000"/>
                <w:sz w:val="32"/>
                <w:szCs w:val="21"/>
                <w:highlight w:val="none"/>
              </w:rPr>
            </w:pPr>
            <w:r>
              <w:rPr>
                <w:rFonts w:ascii="Times New Roman" w:hAnsi="Times New Roman" w:eastAsia="仿宋_GB2312"/>
                <w:b/>
                <w:bCs/>
                <w:color w:val="000000"/>
                <w:sz w:val="32"/>
                <w:szCs w:val="21"/>
                <w:highlight w:val="none"/>
              </w:rPr>
              <w:t>100</w:t>
            </w:r>
          </w:p>
        </w:tc>
        <w:tc>
          <w:tcPr>
            <w:tcW w:w="272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Times New Roman" w:hAnsi="Times New Roman" w:eastAsia="仿宋_GB2312"/>
                <w:b/>
                <w:bCs/>
                <w:color w:val="000000"/>
                <w:sz w:val="32"/>
                <w:szCs w:val="21"/>
                <w:highlight w:val="none"/>
              </w:rPr>
            </w:pPr>
            <w:r>
              <w:rPr>
                <w:rFonts w:hint="eastAsia" w:ascii="Times New Roman" w:hAnsi="Times New Roman" w:eastAsia="仿宋_GB2312"/>
                <w:b/>
                <w:bCs/>
                <w:color w:val="000000"/>
                <w:sz w:val="32"/>
                <w:szCs w:val="21"/>
                <w:highlight w:val="none"/>
              </w:rPr>
              <w:t>100</w:t>
            </w:r>
          </w:p>
        </w:tc>
      </w:tr>
    </w:tbl>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pPr>
        <w:pStyle w:val="1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sz w:val="32"/>
          <w:highlight w:val="none"/>
        </w:rPr>
      </w:pPr>
      <w:r>
        <w:rPr>
          <w:rFonts w:ascii="Times New Roman" w:hAnsi="Times New Roman" w:eastAsia="仿宋_GB2312"/>
          <w:sz w:val="32"/>
          <w:highlight w:val="none"/>
        </w:rPr>
        <w:t>（一）项目决策情况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项目决策类指标包括项目立项、绩效目标和资金投入三方面的内容，由</w:t>
      </w:r>
      <w:r>
        <w:rPr>
          <w:rFonts w:hint="eastAsia" w:ascii="Times New Roman" w:hAnsi="Times New Roman" w:eastAsia="仿宋_GB2312"/>
          <w:color w:val="auto"/>
          <w:sz w:val="32"/>
          <w:szCs w:val="32"/>
          <w:highlight w:val="none"/>
          <w:lang w:val="en-US" w:eastAsia="zh-CN"/>
        </w:rPr>
        <w:t>6</w:t>
      </w:r>
      <w:r>
        <w:rPr>
          <w:rFonts w:ascii="Times New Roman" w:hAnsi="Times New Roman" w:eastAsia="仿宋_GB2312"/>
          <w:color w:val="auto"/>
          <w:sz w:val="32"/>
          <w:szCs w:val="32"/>
          <w:highlight w:val="none"/>
        </w:rPr>
        <w:t>个</w:t>
      </w:r>
      <w:r>
        <w:rPr>
          <w:rFonts w:ascii="Times New Roman" w:hAnsi="Times New Roman" w:eastAsia="仿宋_GB2312"/>
          <w:sz w:val="32"/>
          <w:szCs w:val="32"/>
          <w:highlight w:val="none"/>
        </w:rPr>
        <w:t>三级指标构成，权重分值为20分，实际得分</w:t>
      </w:r>
      <w:r>
        <w:rPr>
          <w:rFonts w:hint="eastAsia" w:ascii="Times New Roman" w:hAnsi="Times New Roman" w:eastAsia="仿宋_GB2312"/>
          <w:sz w:val="32"/>
          <w:szCs w:val="32"/>
          <w:highlight w:val="none"/>
        </w:rPr>
        <w:t>20</w:t>
      </w:r>
      <w:r>
        <w:rPr>
          <w:rFonts w:ascii="Times New Roman" w:hAnsi="Times New Roman" w:eastAsia="仿宋_GB2312"/>
          <w:sz w:val="32"/>
          <w:szCs w:val="32"/>
          <w:highlight w:val="none"/>
        </w:rPr>
        <w:t>分，得分率为</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p>
    <w:p>
      <w:pPr>
        <w:pStyle w:val="19"/>
        <w:pageBreakBefore w:val="0"/>
        <w:numPr>
          <w:ilvl w:val="0"/>
          <w:numId w:val="7"/>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项目立项</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（1）立项依据充分性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（2）立项程序规范性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项目申请、设立过程符合相关要求，</w:t>
      </w:r>
      <w:r>
        <w:rPr>
          <w:rFonts w:ascii="Times New Roman" w:hAnsi="Times New Roman" w:eastAsia="仿宋_GB2312"/>
          <w:sz w:val="32"/>
          <w:szCs w:val="32"/>
          <w:highlight w:val="none"/>
          <w:lang w:eastAsia="zh-Hans"/>
        </w:rPr>
        <w:t>严格按照审批流程准备符合要求的文件、材料；</w:t>
      </w:r>
      <w:r>
        <w:rPr>
          <w:rFonts w:ascii="Times New Roman" w:hAnsi="Times New Roman" w:eastAsia="仿宋_GB2312"/>
          <w:sz w:val="32"/>
          <w:szCs w:val="32"/>
          <w:highlight w:val="none"/>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pageBreakBefore w:val="0"/>
        <w:numPr>
          <w:ilvl w:val="0"/>
          <w:numId w:val="7"/>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绩效目标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（1）绩效目标合理性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lang w:eastAsia="zh-Hans"/>
        </w:rPr>
        <w:t>年初结合实际工作内容</w:t>
      </w:r>
      <w:r>
        <w:rPr>
          <w:rFonts w:ascii="Times New Roman" w:hAnsi="Times New Roman" w:eastAsia="仿宋_GB2312"/>
          <w:sz w:val="32"/>
          <w:szCs w:val="32"/>
          <w:highlight w:val="none"/>
        </w:rPr>
        <w:t>设定绩效目标</w:t>
      </w:r>
      <w:r>
        <w:rPr>
          <w:rFonts w:ascii="Times New Roman" w:hAnsi="Times New Roman" w:eastAsia="仿宋_GB2312"/>
          <w:sz w:val="32"/>
          <w:szCs w:val="32"/>
          <w:highlight w:val="none"/>
          <w:lang w:eastAsia="zh-Hans"/>
        </w:rPr>
        <w:t>，绩效目标</w:t>
      </w:r>
      <w:r>
        <w:rPr>
          <w:rFonts w:ascii="Times New Roman" w:hAnsi="Times New Roman" w:eastAsia="仿宋_GB2312"/>
          <w:sz w:val="32"/>
          <w:szCs w:val="32"/>
          <w:highlight w:val="none"/>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（2）绩效指标明确性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项目设置了明确的预期产出效益和效果，将绩效目标细化分解为具体的绩效指标，绩效目标与项目目标任务数相对应，绩效目标设定的绩效指标清晰、细化、可衡量。</w:t>
      </w:r>
    </w:p>
    <w:p>
      <w:pPr>
        <w:pStyle w:val="19"/>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3.</w:t>
      </w:r>
      <w:r>
        <w:rPr>
          <w:rFonts w:hint="eastAsia" w:ascii="Times New Roman" w:hAnsi="Times New Roman" w:eastAsia="仿宋_GB2312"/>
          <w:b/>
          <w:bCs/>
          <w:sz w:val="32"/>
          <w:szCs w:val="32"/>
          <w:highlight w:val="none"/>
        </w:rPr>
        <w:t xml:space="preserve"> </w:t>
      </w:r>
      <w:r>
        <w:rPr>
          <w:rFonts w:ascii="Times New Roman" w:hAnsi="Times New Roman" w:eastAsia="仿宋_GB2312"/>
          <w:b/>
          <w:bCs/>
          <w:sz w:val="32"/>
          <w:szCs w:val="32"/>
          <w:highlight w:val="none"/>
        </w:rPr>
        <w:t>资金投入</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（1）预算编制科学性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（2）资金分配合理性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pageBreakBefore w:val="0"/>
        <w:numPr>
          <w:ilvl w:val="0"/>
          <w:numId w:val="8"/>
        </w:numPr>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sz w:val="32"/>
          <w:highlight w:val="none"/>
        </w:rPr>
      </w:pPr>
      <w:r>
        <w:rPr>
          <w:rFonts w:ascii="Times New Roman" w:hAnsi="Times New Roman" w:eastAsia="仿宋_GB2312"/>
          <w:sz w:val="32"/>
          <w:highlight w:val="none"/>
        </w:rPr>
        <w:t>项目过程情况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项目过程类指标包括资金管理和组织实施两方面的内容，由5个三级指标构成，权重分值为20分，实际得分</w:t>
      </w:r>
      <w:r>
        <w:rPr>
          <w:rFonts w:hint="eastAsia" w:ascii="Times New Roman" w:hAnsi="Times New Roman" w:eastAsia="仿宋_GB2312"/>
          <w:sz w:val="32"/>
          <w:szCs w:val="32"/>
          <w:highlight w:val="none"/>
        </w:rPr>
        <w:t>20</w:t>
      </w:r>
      <w:r>
        <w:rPr>
          <w:rFonts w:ascii="Times New Roman" w:hAnsi="Times New Roman" w:eastAsia="仿宋_GB2312"/>
          <w:sz w:val="32"/>
          <w:szCs w:val="32"/>
          <w:highlight w:val="none"/>
        </w:rPr>
        <w:t>分，得分率为</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p>
    <w:p>
      <w:pPr>
        <w:pStyle w:val="19"/>
        <w:pageBreakBefore w:val="0"/>
        <w:numPr>
          <w:ilvl w:val="0"/>
          <w:numId w:val="9"/>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资金管理</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（1）资金到位率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本项目总投资</w:t>
      </w:r>
      <w:r>
        <w:rPr>
          <w:rFonts w:hint="eastAsia" w:ascii="Times New Roman" w:hAnsi="Times New Roman" w:eastAsia="仿宋_GB2312"/>
          <w:sz w:val="32"/>
          <w:szCs w:val="32"/>
          <w:highlight w:val="none"/>
        </w:rPr>
        <w:t>85.86</w:t>
      </w:r>
      <w:r>
        <w:rPr>
          <w:rFonts w:ascii="Times New Roman" w:hAnsi="Times New Roman" w:eastAsia="仿宋_GB2312"/>
          <w:sz w:val="32"/>
          <w:szCs w:val="32"/>
          <w:highlight w:val="none"/>
        </w:rPr>
        <w:t>万元，财政资金及时足额到位，到位率</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%，预算资金按计划进度执行。</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（2）预算执行率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预算编制较为详细，项目资金支出总体能够按照预算执行，预算资金支出</w:t>
      </w:r>
      <w:r>
        <w:rPr>
          <w:rFonts w:hint="eastAsia" w:ascii="Times New Roman" w:hAnsi="Times New Roman" w:eastAsia="仿宋_GB2312"/>
          <w:sz w:val="32"/>
          <w:szCs w:val="32"/>
          <w:highlight w:val="none"/>
        </w:rPr>
        <w:t>85.86</w:t>
      </w:r>
      <w:r>
        <w:rPr>
          <w:rFonts w:ascii="Times New Roman" w:hAnsi="Times New Roman" w:eastAsia="仿宋_GB2312"/>
          <w:sz w:val="32"/>
          <w:szCs w:val="32"/>
          <w:highlight w:val="none"/>
        </w:rPr>
        <w:t>万元，预算执行率为</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（3）资金使用合规性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本项目的资金使用严格遵循了国家相关法律法规与财务制度，确保了资金的合规性与安全性。在资金使用过程中，我们建立了完善的财务管理体系，对资金的流动进行了全程监控与记录。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pageBreakBefore w:val="0"/>
        <w:numPr>
          <w:ilvl w:val="0"/>
          <w:numId w:val="9"/>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组织实施</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（1）管理制度健全性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本项目拥有一套完善、健全的管理制度体系，为项目的成功实施提供了坚实的制度保障。项目管理制度的制定紧密结合了项目的特点与实际情况，涵盖了项目的策划、组织、实施、监控与收尾等各个环节。</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在制度设计上，我们注重了制度的科学性与可操作性，确保制度能够切实指导项目的执行与管理。</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综上所述，本项目的管理制度是健全的、有效的，既符合项目的实际情况，又满足了项目管理的需要。管理制度的健全性为项目的成功实施提供了有力的保障，也为项目的绩效评价奠定了坚实的基础。</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（2）制度执行有效性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在具体执行过程中，项目团队成员严格按照制度要求进行操作。同时，我们还建立了有效的沟通机制与反馈机制，确保项目信息的及时传递与问题的及时解决，进一步提高了制度执行的效率与效果。</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综上所述，本项目的管理制度在执行过程中表现出了高度的有效性，既确保了项目的顺利进行，又实现了项目目标的有效达成。</w:t>
      </w:r>
    </w:p>
    <w:p>
      <w:pPr>
        <w:pStyle w:val="12"/>
        <w:pageBreakBefore w:val="0"/>
        <w:numPr>
          <w:ilvl w:val="0"/>
          <w:numId w:val="8"/>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项目产出情况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项目产出类指标包括产出数量、产出质量、产出时效、产出成本四方面的内容，由</w:t>
      </w:r>
      <w:r>
        <w:rPr>
          <w:rFonts w:hint="eastAsia" w:ascii="Times New Roman" w:hAnsi="Times New Roman" w:eastAsia="仿宋_GB2312"/>
          <w:sz w:val="32"/>
          <w:szCs w:val="32"/>
          <w:highlight w:val="none"/>
          <w:lang w:val="en-US" w:eastAsia="zh-CN"/>
        </w:rPr>
        <w:t>6</w:t>
      </w:r>
      <w:r>
        <w:rPr>
          <w:rFonts w:ascii="Times New Roman" w:hAnsi="Times New Roman" w:eastAsia="仿宋_GB2312"/>
          <w:sz w:val="32"/>
          <w:szCs w:val="32"/>
          <w:highlight w:val="none"/>
        </w:rPr>
        <w:t>个三级指标构成，权重分为40分，实际得分</w:t>
      </w:r>
      <w:r>
        <w:rPr>
          <w:rFonts w:hint="eastAsia" w:ascii="Times New Roman" w:hAnsi="Times New Roman" w:eastAsia="仿宋_GB2312"/>
          <w:sz w:val="32"/>
          <w:szCs w:val="32"/>
          <w:highlight w:val="none"/>
        </w:rPr>
        <w:t>40</w:t>
      </w:r>
      <w:r>
        <w:rPr>
          <w:rFonts w:ascii="Times New Roman" w:hAnsi="Times New Roman" w:eastAsia="仿宋_GB2312"/>
          <w:sz w:val="32"/>
          <w:szCs w:val="32"/>
          <w:highlight w:val="none"/>
        </w:rPr>
        <w:t>分，得分率为</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%。具体产出指标完成情况如下：</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fldChar w:fldCharType="begin"/>
      </w:r>
      <w:r>
        <w:rPr>
          <w:rFonts w:ascii="Times New Roman" w:hAnsi="Times New Roman" w:eastAsia="仿宋_GB2312"/>
          <w:sz w:val="32"/>
          <w:szCs w:val="32"/>
          <w:highlight w:val="none"/>
        </w:rPr>
        <w:instrText xml:space="preserve"> = 1 \* GB3 </w:instrText>
      </w:r>
      <w:r>
        <w:rPr>
          <w:rFonts w:ascii="Times New Roman" w:hAnsi="Times New Roman" w:eastAsia="仿宋_GB2312"/>
          <w:sz w:val="32"/>
          <w:szCs w:val="32"/>
          <w:highlight w:val="none"/>
        </w:rPr>
        <w:fldChar w:fldCharType="separate"/>
      </w:r>
      <w:r>
        <w:rPr>
          <w:rFonts w:ascii="Times New Roman" w:hAnsi="Times New Roman" w:eastAsia="仿宋_GB2312"/>
          <w:sz w:val="32"/>
          <w:szCs w:val="32"/>
          <w:highlight w:val="none"/>
        </w:rPr>
        <w:t>①</w:t>
      </w:r>
      <w:r>
        <w:rPr>
          <w:rFonts w:ascii="Times New Roman" w:hAnsi="Times New Roman" w:eastAsia="仿宋_GB2312"/>
          <w:sz w:val="32"/>
          <w:szCs w:val="32"/>
          <w:highlight w:val="none"/>
        </w:rPr>
        <w:fldChar w:fldCharType="end"/>
      </w:r>
      <w:r>
        <w:rPr>
          <w:rFonts w:ascii="Times New Roman" w:hAnsi="Times New Roman" w:eastAsia="仿宋_GB2312"/>
          <w:sz w:val="32"/>
          <w:szCs w:val="32"/>
          <w:highlight w:val="none"/>
        </w:rPr>
        <w:t>数量指标：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sz w:val="32"/>
          <w:szCs w:val="32"/>
          <w:highlight w:val="none"/>
        </w:rPr>
      </w:pPr>
      <w:r>
        <w:rPr>
          <w:rFonts w:ascii="Times New Roman" w:hAnsi="Times New Roman" w:eastAsia="仿宋_GB2312"/>
          <w:sz w:val="32"/>
          <w:szCs w:val="32"/>
          <w:highlight w:val="none"/>
        </w:rPr>
        <w:t>指标1：</w:t>
      </w:r>
      <w:r>
        <w:rPr>
          <w:rFonts w:hint="eastAsia" w:eastAsia="仿宋_GB2312"/>
          <w:sz w:val="32"/>
          <w:szCs w:val="32"/>
          <w:highlight w:val="none"/>
          <w:lang w:eastAsia="zh-CN"/>
        </w:rPr>
        <w:t>保障人员人数</w:t>
      </w:r>
      <w:r>
        <w:rPr>
          <w:rFonts w:ascii="Times New Roman" w:hAnsi="Times New Roman" w:eastAsia="仿宋_GB2312"/>
          <w:sz w:val="32"/>
          <w:szCs w:val="32"/>
          <w:highlight w:val="none"/>
        </w:rPr>
        <w:t>，指标值：</w:t>
      </w:r>
      <w:r>
        <w:rPr>
          <w:rFonts w:hint="default" w:ascii="Times New Roman" w:hAnsi="Times New Roman" w:eastAsia="仿宋_GB2312" w:cs="Arial"/>
          <w:sz w:val="32"/>
          <w:szCs w:val="32"/>
          <w:highlight w:val="none"/>
        </w:rPr>
        <w:t>≥</w:t>
      </w:r>
      <w:r>
        <w:rPr>
          <w:rFonts w:hint="eastAsia" w:ascii="Times New Roman" w:hAnsi="Times New Roman" w:eastAsia="仿宋_GB2312"/>
          <w:sz w:val="32"/>
          <w:szCs w:val="32"/>
          <w:highlight w:val="none"/>
        </w:rPr>
        <w:t>7人</w:t>
      </w:r>
      <w:r>
        <w:rPr>
          <w:rFonts w:ascii="Times New Roman" w:hAnsi="Times New Roman" w:eastAsia="仿宋_GB2312"/>
          <w:sz w:val="32"/>
          <w:szCs w:val="32"/>
          <w:highlight w:val="none"/>
        </w:rPr>
        <w:t>，实际完成值：</w:t>
      </w:r>
      <w:r>
        <w:rPr>
          <w:rFonts w:hint="eastAsia" w:ascii="Times New Roman" w:hAnsi="Times New Roman" w:eastAsia="仿宋_GB2312"/>
          <w:sz w:val="32"/>
          <w:szCs w:val="32"/>
          <w:highlight w:val="none"/>
        </w:rPr>
        <w:t>7人</w:t>
      </w:r>
      <w:r>
        <w:rPr>
          <w:rFonts w:ascii="Times New Roman" w:hAnsi="Times New Roman" w:eastAsia="仿宋_GB2312"/>
          <w:sz w:val="32"/>
          <w:szCs w:val="32"/>
          <w:highlight w:val="none"/>
        </w:rPr>
        <w:t>，指标完成率</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，无偏差</w:t>
      </w:r>
      <w:r>
        <w:rPr>
          <w:rFonts w:hint="eastAsia" w:ascii="Times New Roman" w:hAnsi="Times New Roman" w:eastAsia="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sz w:val="32"/>
          <w:szCs w:val="32"/>
          <w:highlight w:val="none"/>
        </w:rPr>
      </w:pPr>
      <w:r>
        <w:rPr>
          <w:rFonts w:ascii="Times New Roman" w:hAnsi="Times New Roman" w:eastAsia="仿宋_GB2312"/>
          <w:sz w:val="32"/>
          <w:szCs w:val="32"/>
          <w:highlight w:val="none"/>
        </w:rPr>
        <w:t>指标</w:t>
      </w:r>
      <w:r>
        <w:rPr>
          <w:rFonts w:hint="eastAsia" w:ascii="Times New Roman" w:hAnsi="Times New Roman" w:eastAsia="仿宋_GB2312"/>
          <w:sz w:val="32"/>
          <w:szCs w:val="32"/>
          <w:highlight w:val="none"/>
          <w:lang w:val="en-US" w:eastAsia="zh-CN"/>
        </w:rPr>
        <w:t>2</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经费发放次数</w:t>
      </w:r>
      <w:r>
        <w:rPr>
          <w:rFonts w:ascii="Times New Roman" w:hAnsi="Times New Roman" w:eastAsia="仿宋_GB2312"/>
          <w:sz w:val="32"/>
          <w:szCs w:val="32"/>
          <w:highlight w:val="none"/>
        </w:rPr>
        <w:t>，指标值：</w:t>
      </w:r>
      <w:r>
        <w:rPr>
          <w:rFonts w:hint="default" w:ascii="Times New Roman" w:hAnsi="Times New Roman" w:eastAsia="仿宋_GB2312" w:cs="Arial"/>
          <w:sz w:val="32"/>
          <w:szCs w:val="32"/>
          <w:highlight w:val="none"/>
        </w:rPr>
        <w:t>≥</w:t>
      </w:r>
      <w:r>
        <w:rPr>
          <w:rFonts w:hint="eastAsia" w:ascii="Times New Roman" w:hAnsi="Times New Roman" w:eastAsia="仿宋_GB2312" w:cs="Arial"/>
          <w:sz w:val="32"/>
          <w:szCs w:val="32"/>
          <w:highlight w:val="none"/>
          <w:lang w:val="en-US" w:eastAsia="zh-CN"/>
        </w:rPr>
        <w:t>12次</w:t>
      </w:r>
      <w:r>
        <w:rPr>
          <w:rFonts w:ascii="Times New Roman" w:hAnsi="Times New Roman" w:eastAsia="仿宋_GB2312"/>
          <w:sz w:val="32"/>
          <w:szCs w:val="32"/>
          <w:highlight w:val="none"/>
        </w:rPr>
        <w:t>，实际完成值：</w:t>
      </w:r>
      <w:r>
        <w:rPr>
          <w:rFonts w:hint="eastAsia" w:ascii="Times New Roman" w:hAnsi="Times New Roman" w:eastAsia="仿宋_GB2312"/>
          <w:sz w:val="32"/>
          <w:szCs w:val="32"/>
          <w:highlight w:val="none"/>
          <w:lang w:val="en-US" w:eastAsia="zh-CN"/>
        </w:rPr>
        <w:t>12次</w:t>
      </w:r>
      <w:r>
        <w:rPr>
          <w:rFonts w:ascii="Times New Roman" w:hAnsi="Times New Roman" w:eastAsia="仿宋_GB2312"/>
          <w:sz w:val="32"/>
          <w:szCs w:val="32"/>
          <w:highlight w:val="none"/>
        </w:rPr>
        <w:t>，指标完成率</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，无偏差</w:t>
      </w:r>
      <w:r>
        <w:rPr>
          <w:rFonts w:hint="eastAsia" w:ascii="Times New Roman" w:hAnsi="Times New Roman" w:eastAsia="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fldChar w:fldCharType="begin"/>
      </w:r>
      <w:r>
        <w:rPr>
          <w:rFonts w:ascii="Times New Roman" w:hAnsi="Times New Roman" w:eastAsia="仿宋_GB2312"/>
          <w:sz w:val="32"/>
          <w:szCs w:val="32"/>
          <w:highlight w:val="none"/>
        </w:rPr>
        <w:instrText xml:space="preserve"> = 2 \* GB3 </w:instrText>
      </w:r>
      <w:r>
        <w:rPr>
          <w:rFonts w:ascii="Times New Roman" w:hAnsi="Times New Roman" w:eastAsia="仿宋_GB2312"/>
          <w:sz w:val="32"/>
          <w:szCs w:val="32"/>
          <w:highlight w:val="none"/>
        </w:rPr>
        <w:fldChar w:fldCharType="separate"/>
      </w:r>
      <w:r>
        <w:rPr>
          <w:rFonts w:ascii="Times New Roman" w:hAnsi="Times New Roman" w:eastAsia="仿宋_GB2312"/>
          <w:sz w:val="32"/>
          <w:szCs w:val="32"/>
          <w:highlight w:val="none"/>
        </w:rPr>
        <w:t>②</w:t>
      </w:r>
      <w:r>
        <w:rPr>
          <w:rFonts w:ascii="Times New Roman" w:hAnsi="Times New Roman" w:eastAsia="仿宋_GB2312"/>
          <w:sz w:val="32"/>
          <w:szCs w:val="32"/>
          <w:highlight w:val="none"/>
        </w:rPr>
        <w:fldChar w:fldCharType="end"/>
      </w:r>
      <w:r>
        <w:rPr>
          <w:rFonts w:ascii="Times New Roman" w:hAnsi="Times New Roman" w:eastAsia="仿宋_GB2312"/>
          <w:sz w:val="32"/>
          <w:szCs w:val="32"/>
          <w:highlight w:val="none"/>
        </w:rPr>
        <w:t>质量指标：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指标1：</w:t>
      </w:r>
      <w:r>
        <w:rPr>
          <w:rFonts w:hint="eastAsia" w:ascii="Times New Roman" w:hAnsi="Times New Roman" w:eastAsia="仿宋_GB2312"/>
          <w:sz w:val="32"/>
          <w:szCs w:val="32"/>
          <w:highlight w:val="none"/>
        </w:rPr>
        <w:t>绩效考核通过率</w:t>
      </w:r>
      <w:r>
        <w:rPr>
          <w:rFonts w:ascii="Times New Roman" w:hAnsi="Times New Roman" w:eastAsia="仿宋_GB2312"/>
          <w:sz w:val="32"/>
          <w:szCs w:val="32"/>
          <w:highlight w:val="none"/>
        </w:rPr>
        <w:t>，指标值：</w:t>
      </w:r>
      <w:r>
        <w:rPr>
          <w:rFonts w:hint="eastAsia" w:ascii="Times New Roman" w:hAnsi="Times New Roman" w:eastAsia="仿宋_GB2312" w:cs="Arial"/>
          <w:sz w:val="32"/>
          <w:szCs w:val="32"/>
          <w:highlight w:val="none"/>
        </w:rPr>
        <w:t>=100%</w:t>
      </w:r>
      <w:r>
        <w:rPr>
          <w:rFonts w:ascii="Times New Roman" w:hAnsi="Times New Roman" w:eastAsia="仿宋_GB2312"/>
          <w:sz w:val="32"/>
          <w:szCs w:val="32"/>
          <w:highlight w:val="none"/>
        </w:rPr>
        <w:t>，实际完成值：</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，指标完成率</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，无偏差</w:t>
      </w:r>
      <w:r>
        <w:rPr>
          <w:rFonts w:hint="eastAsia" w:ascii="Times New Roman" w:hAnsi="Times New Roman" w:eastAsia="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fldChar w:fldCharType="begin"/>
      </w:r>
      <w:r>
        <w:rPr>
          <w:rFonts w:ascii="Times New Roman" w:hAnsi="Times New Roman" w:eastAsia="仿宋_GB2312"/>
          <w:sz w:val="32"/>
          <w:szCs w:val="32"/>
          <w:highlight w:val="none"/>
        </w:rPr>
        <w:instrText xml:space="preserve"> = 3 \* GB3 </w:instrText>
      </w:r>
      <w:r>
        <w:rPr>
          <w:rFonts w:ascii="Times New Roman" w:hAnsi="Times New Roman" w:eastAsia="仿宋_GB2312"/>
          <w:sz w:val="32"/>
          <w:szCs w:val="32"/>
          <w:highlight w:val="none"/>
        </w:rPr>
        <w:fldChar w:fldCharType="separate"/>
      </w:r>
      <w:r>
        <w:rPr>
          <w:rFonts w:ascii="Times New Roman" w:hAnsi="Times New Roman" w:eastAsia="仿宋_GB2312"/>
          <w:sz w:val="32"/>
          <w:szCs w:val="32"/>
          <w:highlight w:val="none"/>
        </w:rPr>
        <w:t>③</w:t>
      </w:r>
      <w:r>
        <w:rPr>
          <w:rFonts w:ascii="Times New Roman" w:hAnsi="Times New Roman" w:eastAsia="仿宋_GB2312"/>
          <w:sz w:val="32"/>
          <w:szCs w:val="32"/>
          <w:highlight w:val="none"/>
        </w:rPr>
        <w:fldChar w:fldCharType="end"/>
      </w:r>
      <w:r>
        <w:rPr>
          <w:rFonts w:ascii="Times New Roman" w:hAnsi="Times New Roman" w:eastAsia="仿宋_GB2312"/>
          <w:sz w:val="32"/>
          <w:szCs w:val="32"/>
          <w:highlight w:val="none"/>
        </w:rPr>
        <w:t>时效指标：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指标1：</w:t>
      </w:r>
      <w:r>
        <w:rPr>
          <w:rFonts w:hint="eastAsia" w:ascii="Times New Roman" w:hAnsi="Times New Roman" w:eastAsia="仿宋_GB2312"/>
          <w:sz w:val="32"/>
          <w:szCs w:val="32"/>
          <w:highlight w:val="none"/>
        </w:rPr>
        <w:t>经费支出及时率</w:t>
      </w:r>
      <w:r>
        <w:rPr>
          <w:rFonts w:ascii="Times New Roman" w:hAnsi="Times New Roman" w:eastAsia="仿宋_GB2312"/>
          <w:sz w:val="32"/>
          <w:szCs w:val="32"/>
          <w:highlight w:val="none"/>
        </w:rPr>
        <w:t>，指标值：</w:t>
      </w:r>
      <w:r>
        <w:rPr>
          <w:rFonts w:hint="eastAsia" w:ascii="Times New Roman" w:hAnsi="Times New Roman" w:eastAsia="仿宋_GB2312" w:cs="Arial"/>
          <w:sz w:val="32"/>
          <w:szCs w:val="32"/>
          <w:highlight w:val="none"/>
        </w:rPr>
        <w:t>=100%</w:t>
      </w:r>
      <w:r>
        <w:rPr>
          <w:rFonts w:ascii="Times New Roman" w:hAnsi="Times New Roman" w:eastAsia="仿宋_GB2312"/>
          <w:sz w:val="32"/>
          <w:szCs w:val="32"/>
          <w:highlight w:val="none"/>
        </w:rPr>
        <w:t>，实际完成值：</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，指标完成率</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，无偏差</w:t>
      </w:r>
      <w:r>
        <w:rPr>
          <w:rFonts w:hint="eastAsia" w:ascii="Times New Roman" w:hAnsi="Times New Roman" w:eastAsia="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指标</w:t>
      </w:r>
      <w:r>
        <w:rPr>
          <w:rFonts w:hint="eastAsia" w:ascii="Times New Roman" w:hAnsi="Times New Roman" w:eastAsia="仿宋_GB2312"/>
          <w:sz w:val="32"/>
          <w:szCs w:val="32"/>
          <w:highlight w:val="none"/>
        </w:rPr>
        <w:t>2</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rPr>
        <w:t>资金拨付及时率</w:t>
      </w:r>
      <w:r>
        <w:rPr>
          <w:rFonts w:ascii="Times New Roman" w:hAnsi="Times New Roman" w:eastAsia="仿宋_GB2312"/>
          <w:sz w:val="32"/>
          <w:szCs w:val="32"/>
          <w:highlight w:val="none"/>
        </w:rPr>
        <w:t>，指标值：</w:t>
      </w:r>
      <w:r>
        <w:rPr>
          <w:rFonts w:hint="eastAsia" w:ascii="Times New Roman" w:hAnsi="Times New Roman" w:eastAsia="仿宋_GB2312" w:cs="Arial"/>
          <w:sz w:val="32"/>
          <w:szCs w:val="32"/>
          <w:highlight w:val="none"/>
        </w:rPr>
        <w:t>=100%</w:t>
      </w:r>
      <w:r>
        <w:rPr>
          <w:rFonts w:ascii="Times New Roman" w:hAnsi="Times New Roman" w:eastAsia="仿宋_GB2312"/>
          <w:sz w:val="32"/>
          <w:szCs w:val="32"/>
          <w:highlight w:val="none"/>
        </w:rPr>
        <w:t>，实际完成值：</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，指标完成率</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，无偏差</w:t>
      </w:r>
      <w:r>
        <w:rPr>
          <w:rFonts w:hint="eastAsia" w:ascii="Times New Roman" w:hAnsi="Times New Roman" w:eastAsia="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fldChar w:fldCharType="begin"/>
      </w:r>
      <w:r>
        <w:rPr>
          <w:rFonts w:ascii="Times New Roman" w:hAnsi="Times New Roman" w:eastAsia="仿宋_GB2312"/>
          <w:sz w:val="32"/>
          <w:szCs w:val="32"/>
          <w:highlight w:val="none"/>
        </w:rPr>
        <w:instrText xml:space="preserve"> = 4 \* GB3 </w:instrText>
      </w:r>
      <w:r>
        <w:rPr>
          <w:rFonts w:ascii="Times New Roman" w:hAnsi="Times New Roman" w:eastAsia="仿宋_GB2312"/>
          <w:sz w:val="32"/>
          <w:szCs w:val="32"/>
          <w:highlight w:val="none"/>
        </w:rPr>
        <w:fldChar w:fldCharType="separate"/>
      </w:r>
      <w:r>
        <w:rPr>
          <w:rFonts w:ascii="Times New Roman" w:hAnsi="Times New Roman" w:eastAsia="仿宋_GB2312"/>
          <w:sz w:val="32"/>
          <w:szCs w:val="32"/>
          <w:highlight w:val="none"/>
        </w:rPr>
        <w:t>④</w:t>
      </w:r>
      <w:r>
        <w:rPr>
          <w:rFonts w:ascii="Times New Roman" w:hAnsi="Times New Roman" w:eastAsia="仿宋_GB2312"/>
          <w:sz w:val="32"/>
          <w:szCs w:val="32"/>
          <w:highlight w:val="none"/>
        </w:rPr>
        <w:fldChar w:fldCharType="end"/>
      </w:r>
      <w:r>
        <w:rPr>
          <w:rFonts w:ascii="Times New Roman" w:hAnsi="Times New Roman" w:eastAsia="仿宋_GB2312"/>
          <w:sz w:val="32"/>
          <w:szCs w:val="32"/>
          <w:highlight w:val="none"/>
        </w:rPr>
        <w:t>成本指标：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指标1：</w:t>
      </w:r>
      <w:r>
        <w:rPr>
          <w:rFonts w:hint="eastAsia" w:ascii="Times New Roman" w:hAnsi="Times New Roman" w:eastAsia="仿宋_GB2312"/>
          <w:sz w:val="32"/>
          <w:szCs w:val="32"/>
          <w:highlight w:val="none"/>
        </w:rPr>
        <w:t>人均运转经费</w:t>
      </w:r>
      <w:r>
        <w:rPr>
          <w:rFonts w:ascii="Times New Roman" w:hAnsi="Times New Roman" w:eastAsia="仿宋_GB2312"/>
          <w:sz w:val="32"/>
          <w:szCs w:val="32"/>
          <w:highlight w:val="none"/>
        </w:rPr>
        <w:t>，指标值：</w:t>
      </w:r>
      <w:r>
        <w:rPr>
          <w:rFonts w:ascii="Times New Roman" w:hAnsi="Times New Roman" w:eastAsia="仿宋_GB2312" w:cs="Arial"/>
          <w:sz w:val="32"/>
          <w:szCs w:val="32"/>
          <w:highlight w:val="none"/>
        </w:rPr>
        <w:t>≤</w:t>
      </w:r>
      <w:r>
        <w:rPr>
          <w:rFonts w:hint="eastAsia" w:ascii="Times New Roman" w:hAnsi="Times New Roman" w:eastAsia="仿宋_GB2312" w:cs="Arial"/>
          <w:sz w:val="32"/>
          <w:szCs w:val="32"/>
          <w:highlight w:val="none"/>
          <w:lang w:val="en-US" w:eastAsia="zh-CN"/>
        </w:rPr>
        <w:t>1.03</w:t>
      </w:r>
      <w:r>
        <w:rPr>
          <w:rFonts w:hint="eastAsia" w:ascii="Times New Roman" w:hAnsi="Times New Roman" w:eastAsia="仿宋_GB2312" w:cs="Arial"/>
          <w:sz w:val="32"/>
          <w:szCs w:val="32"/>
          <w:highlight w:val="none"/>
        </w:rPr>
        <w:t>万元</w:t>
      </w:r>
      <w:r>
        <w:rPr>
          <w:rFonts w:hint="eastAsia" w:ascii="Times New Roman" w:hAnsi="Times New Roman" w:eastAsia="仿宋_GB2312" w:cs="Arial"/>
          <w:sz w:val="32"/>
          <w:szCs w:val="32"/>
          <w:highlight w:val="none"/>
          <w:lang w:val="en-US" w:eastAsia="zh-CN"/>
        </w:rPr>
        <w:t>/月</w:t>
      </w:r>
      <w:r>
        <w:rPr>
          <w:rFonts w:ascii="Times New Roman" w:hAnsi="Times New Roman" w:eastAsia="仿宋_GB2312"/>
          <w:sz w:val="32"/>
          <w:szCs w:val="32"/>
          <w:highlight w:val="none"/>
        </w:rPr>
        <w:t>，实际完成值：</w:t>
      </w:r>
      <w:r>
        <w:rPr>
          <w:rFonts w:hint="eastAsia" w:ascii="Times New Roman" w:hAnsi="Times New Roman" w:eastAsia="仿宋_GB2312" w:cs="Arial"/>
          <w:sz w:val="32"/>
          <w:szCs w:val="32"/>
          <w:highlight w:val="none"/>
          <w:lang w:val="en-US" w:eastAsia="zh-CN"/>
        </w:rPr>
        <w:t>1.03</w:t>
      </w:r>
      <w:r>
        <w:rPr>
          <w:rFonts w:hint="eastAsia" w:ascii="Times New Roman" w:hAnsi="Times New Roman" w:eastAsia="仿宋_GB2312" w:cs="Arial"/>
          <w:sz w:val="32"/>
          <w:szCs w:val="32"/>
          <w:highlight w:val="none"/>
        </w:rPr>
        <w:t>万元</w:t>
      </w:r>
      <w:r>
        <w:rPr>
          <w:rFonts w:hint="eastAsia" w:ascii="Times New Roman" w:hAnsi="Times New Roman" w:eastAsia="仿宋_GB2312" w:cs="Arial"/>
          <w:sz w:val="32"/>
          <w:szCs w:val="32"/>
          <w:highlight w:val="none"/>
          <w:lang w:val="en-US" w:eastAsia="zh-CN"/>
        </w:rPr>
        <w:t>/月</w:t>
      </w:r>
      <w:r>
        <w:rPr>
          <w:rFonts w:ascii="Times New Roman" w:hAnsi="Times New Roman" w:eastAsia="仿宋_GB2312"/>
          <w:sz w:val="32"/>
          <w:szCs w:val="32"/>
          <w:highlight w:val="none"/>
        </w:rPr>
        <w:t>，指标完成率</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，无偏差</w:t>
      </w:r>
      <w:r>
        <w:rPr>
          <w:rFonts w:hint="eastAsia" w:ascii="Times New Roman" w:hAnsi="Times New Roman" w:eastAsia="仿宋_GB2312"/>
          <w:sz w:val="32"/>
          <w:szCs w:val="32"/>
          <w:highlight w:val="none"/>
        </w:rPr>
        <w:t>。</w:t>
      </w:r>
    </w:p>
    <w:p>
      <w:pPr>
        <w:pStyle w:val="12"/>
        <w:pageBreakBefore w:val="0"/>
        <w:numPr>
          <w:ilvl w:val="0"/>
          <w:numId w:val="8"/>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项目效益情况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项目效益类指标包括项目实施效益和满意度两方面的内容，由</w:t>
      </w:r>
      <w:r>
        <w:rPr>
          <w:rFonts w:hint="eastAsia" w:ascii="Times New Roman" w:hAnsi="Times New Roman" w:eastAsia="仿宋_GB2312"/>
          <w:sz w:val="32"/>
          <w:szCs w:val="32"/>
          <w:highlight w:val="none"/>
          <w:lang w:val="en-US" w:eastAsia="zh-CN"/>
        </w:rPr>
        <w:t>1</w:t>
      </w:r>
      <w:r>
        <w:rPr>
          <w:rFonts w:ascii="Times New Roman" w:hAnsi="Times New Roman" w:eastAsia="仿宋_GB2312"/>
          <w:sz w:val="32"/>
          <w:szCs w:val="32"/>
          <w:highlight w:val="none"/>
        </w:rPr>
        <w:t>个三级指标构成，权重分为20分，实际得分</w:t>
      </w:r>
      <w:r>
        <w:rPr>
          <w:rFonts w:hint="eastAsia" w:ascii="Times New Roman" w:hAnsi="Times New Roman" w:eastAsia="仿宋_GB2312"/>
          <w:sz w:val="32"/>
          <w:szCs w:val="32"/>
          <w:highlight w:val="none"/>
        </w:rPr>
        <w:t>20</w:t>
      </w:r>
      <w:r>
        <w:rPr>
          <w:rFonts w:ascii="Times New Roman" w:hAnsi="Times New Roman" w:eastAsia="仿宋_GB2312"/>
          <w:sz w:val="32"/>
          <w:szCs w:val="32"/>
          <w:highlight w:val="none"/>
        </w:rPr>
        <w:t>分，得分率为</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%。具体效益指标及满意度指标完成情况如下：</w:t>
      </w:r>
    </w:p>
    <w:p>
      <w:pPr>
        <w:pageBreakBefore w:val="0"/>
        <w:numPr>
          <w:ilvl w:val="0"/>
          <w:numId w:val="10"/>
        </w:numPr>
        <w:kinsoku/>
        <w:wordWrap/>
        <w:overflowPunct/>
        <w:topLinePunct w:val="0"/>
        <w:autoSpaceDE/>
        <w:autoSpaceDN/>
        <w:bidi w:val="0"/>
        <w:adjustRightInd/>
        <w:snapToGrid/>
        <w:spacing w:line="560" w:lineRule="exact"/>
        <w:ind w:firstLine="643" w:firstLineChars="200"/>
        <w:textAlignment w:val="auto"/>
        <w:outlineLvl w:val="0"/>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满意度</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指标1：</w:t>
      </w:r>
      <w:r>
        <w:rPr>
          <w:rFonts w:hint="eastAsia" w:ascii="Times New Roman" w:hAnsi="Times New Roman" w:eastAsia="仿宋_GB2312"/>
          <w:sz w:val="32"/>
          <w:szCs w:val="32"/>
          <w:highlight w:val="none"/>
        </w:rPr>
        <w:t>职工满意度</w:t>
      </w:r>
      <w:r>
        <w:rPr>
          <w:rFonts w:ascii="Times New Roman" w:hAnsi="Times New Roman" w:eastAsia="仿宋_GB2312"/>
          <w:sz w:val="32"/>
          <w:szCs w:val="32"/>
          <w:highlight w:val="none"/>
        </w:rPr>
        <w:t>，指标值：</w:t>
      </w:r>
      <w:r>
        <w:rPr>
          <w:rFonts w:ascii="Times New Roman" w:hAnsi="Times New Roman" w:eastAsia="仿宋_GB2312" w:cs="Arial"/>
          <w:sz w:val="32"/>
          <w:szCs w:val="32"/>
          <w:highlight w:val="none"/>
        </w:rPr>
        <w:t>≥</w:t>
      </w:r>
      <w:r>
        <w:rPr>
          <w:rFonts w:hint="eastAsia" w:ascii="Times New Roman" w:hAnsi="Times New Roman" w:eastAsia="仿宋_GB2312" w:cs="Arial"/>
          <w:sz w:val="32"/>
          <w:szCs w:val="32"/>
          <w:highlight w:val="none"/>
        </w:rPr>
        <w:t>95%</w:t>
      </w:r>
      <w:r>
        <w:rPr>
          <w:rFonts w:ascii="Times New Roman" w:hAnsi="Times New Roman" w:eastAsia="仿宋_GB2312"/>
          <w:sz w:val="32"/>
          <w:szCs w:val="32"/>
          <w:highlight w:val="none"/>
        </w:rPr>
        <w:t>，实际完成值：</w:t>
      </w:r>
      <w:r>
        <w:rPr>
          <w:rFonts w:hint="eastAsia" w:ascii="Times New Roman" w:hAnsi="Times New Roman" w:eastAsia="仿宋_GB2312"/>
          <w:sz w:val="32"/>
          <w:szCs w:val="32"/>
          <w:highlight w:val="none"/>
        </w:rPr>
        <w:t>9</w:t>
      </w:r>
      <w:r>
        <w:rPr>
          <w:rFonts w:hint="eastAsia" w:ascii="Times New Roman" w:hAnsi="Times New Roman" w:eastAsia="仿宋_GB2312"/>
          <w:sz w:val="32"/>
          <w:szCs w:val="32"/>
          <w:highlight w:val="none"/>
          <w:lang w:val="en-US" w:eastAsia="zh-CN"/>
        </w:rPr>
        <w:t>8</w:t>
      </w:r>
      <w:r>
        <w:rPr>
          <w:rFonts w:hint="eastAsia" w:ascii="Times New Roman" w:hAnsi="Times New Roman" w:eastAsia="仿宋_GB2312"/>
          <w:sz w:val="32"/>
          <w:szCs w:val="32"/>
          <w:highlight w:val="none"/>
        </w:rPr>
        <w:t>%</w:t>
      </w:r>
      <w:r>
        <w:rPr>
          <w:rFonts w:ascii="Times New Roman" w:hAnsi="Times New Roman" w:eastAsia="仿宋_GB2312"/>
          <w:sz w:val="32"/>
          <w:szCs w:val="32"/>
          <w:highlight w:val="none"/>
        </w:rPr>
        <w:t>，指标完成率</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，无偏差</w:t>
      </w:r>
      <w:r>
        <w:rPr>
          <w:rFonts w:hint="eastAsia" w:ascii="Times New Roman" w:hAnsi="Times New Roman" w:eastAsia="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highlight w:val="none"/>
          <w:lang w:eastAsia="zh-Hans"/>
        </w:rPr>
      </w:pPr>
      <w:r>
        <w:rPr>
          <w:rFonts w:hint="eastAsia" w:ascii="黑体" w:hAnsi="黑体" w:eastAsia="黑体" w:cs="黑体"/>
          <w:sz w:val="32"/>
          <w:szCs w:val="32"/>
          <w:highlight w:val="none"/>
        </w:rPr>
        <w:t>五、</w:t>
      </w:r>
      <w:r>
        <w:rPr>
          <w:rFonts w:hint="eastAsia" w:ascii="黑体" w:hAnsi="黑体" w:eastAsia="黑体" w:cs="黑体"/>
          <w:sz w:val="32"/>
          <w:szCs w:val="32"/>
          <w:highlight w:val="none"/>
          <w:lang w:eastAsia="zh-Hans"/>
        </w:rPr>
        <w:t>预算执行进度与绩效指标总体完成率偏差</w:t>
      </w:r>
    </w:p>
    <w:p>
      <w:pPr>
        <w:pStyle w:val="19"/>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弥补人员经费支出项目年初预算85.86万元，全年预算85.86万元，实际支出85.</w:t>
      </w:r>
      <w:r>
        <w:rPr>
          <w:rFonts w:hint="eastAsia" w:ascii="Times New Roman" w:hAnsi="Times New Roman" w:eastAsia="仿宋_GB2312" w:cs="仿宋_GB2312"/>
          <w:sz w:val="32"/>
          <w:szCs w:val="32"/>
          <w:highlight w:val="none"/>
          <w:lang w:val="en-US" w:eastAsia="zh-CN"/>
        </w:rPr>
        <w:t>8</w:t>
      </w:r>
      <w:r>
        <w:rPr>
          <w:rFonts w:hint="eastAsia" w:ascii="Times New Roman" w:hAnsi="Times New Roman" w:eastAsia="仿宋_GB2312" w:cs="仿宋_GB2312"/>
          <w:sz w:val="32"/>
          <w:szCs w:val="32"/>
          <w:highlight w:val="none"/>
        </w:rPr>
        <w:t>6万元，预算执行率为100%，项目绩效指标总体完成率为100%，</w:t>
      </w:r>
      <w:r>
        <w:rPr>
          <w:rFonts w:hint="eastAsia" w:ascii="Times New Roman" w:hAnsi="Times New Roman" w:eastAsia="仿宋_GB2312" w:cs="仿宋_GB2312"/>
          <w:sz w:val="32"/>
          <w:szCs w:val="32"/>
          <w:highlight w:val="none"/>
          <w:lang w:eastAsia="zh-Hans"/>
        </w:rPr>
        <w:t>总体</w:t>
      </w:r>
      <w:r>
        <w:rPr>
          <w:rFonts w:hint="eastAsia" w:ascii="Times New Roman" w:hAnsi="Times New Roman" w:eastAsia="仿宋_GB2312" w:cs="仿宋_GB2312"/>
          <w:sz w:val="32"/>
          <w:szCs w:val="32"/>
          <w:highlight w:val="none"/>
        </w:rPr>
        <w:t>偏差率为0%。</w:t>
      </w:r>
    </w:p>
    <w:p>
      <w:pPr>
        <w:pageBreakBefore w:val="0"/>
        <w:kinsoku/>
        <w:wordWrap/>
        <w:overflowPunct/>
        <w:topLinePunct w:val="0"/>
        <w:autoSpaceDE/>
        <w:autoSpaceDN/>
        <w:bidi w:val="0"/>
        <w:adjustRightInd/>
        <w:snapToGrid/>
        <w:spacing w:line="560" w:lineRule="exact"/>
        <w:ind w:firstLine="640" w:firstLineChars="200"/>
        <w:textAlignment w:val="auto"/>
        <w:rPr>
          <w:rStyle w:val="18"/>
          <w:rFonts w:hint="eastAsia" w:ascii="黑体" w:hAnsi="黑体" w:eastAsia="黑体" w:cs="黑体"/>
          <w:color w:val="auto"/>
          <w:sz w:val="32"/>
          <w:highlight w:val="none"/>
        </w:rPr>
      </w:pPr>
      <w:r>
        <w:rPr>
          <w:rFonts w:hint="eastAsia" w:ascii="黑体" w:hAnsi="黑体" w:eastAsia="黑体" w:cs="黑体"/>
          <w:sz w:val="32"/>
          <w:szCs w:val="32"/>
          <w:highlight w:val="none"/>
        </w:rPr>
        <w:t>六</w:t>
      </w:r>
      <w:r>
        <w:rPr>
          <w:rFonts w:hint="eastAsia" w:ascii="黑体" w:hAnsi="黑体" w:eastAsia="黑体" w:cs="黑体"/>
          <w:sz w:val="32"/>
          <w:szCs w:val="32"/>
          <w:highlight w:val="none"/>
          <w:lang w:eastAsia="zh-CN"/>
        </w:rPr>
        <w:t>、</w:t>
      </w:r>
      <w:r>
        <w:rPr>
          <w:rFonts w:hint="eastAsia" w:ascii="黑体" w:hAnsi="黑体" w:eastAsia="黑体" w:cs="黑体"/>
          <w:sz w:val="32"/>
          <w:szCs w:val="32"/>
          <w:highlight w:val="none"/>
        </w:rPr>
        <w:t>主要经验及做法、存在的问题及原因分析</w:t>
      </w:r>
    </w:p>
    <w:p>
      <w:pPr>
        <w:pageBreakBefore w:val="0"/>
        <w:kinsoku/>
        <w:wordWrap/>
        <w:overflowPunct/>
        <w:topLinePunct w:val="0"/>
        <w:autoSpaceDE/>
        <w:autoSpaceDN/>
        <w:bidi w:val="0"/>
        <w:adjustRightInd/>
        <w:snapToGrid/>
        <w:spacing w:line="560" w:lineRule="exact"/>
        <w:ind w:firstLine="627" w:firstLineChars="200"/>
        <w:textAlignment w:val="auto"/>
        <w:rPr>
          <w:rFonts w:ascii="Times New Roman" w:hAnsi="Times New Roman" w:eastAsia="仿宋_GB2312"/>
          <w:b/>
          <w:spacing w:val="-4"/>
          <w:sz w:val="32"/>
          <w:szCs w:val="32"/>
          <w:highlight w:val="none"/>
        </w:rPr>
      </w:pPr>
      <w:r>
        <w:rPr>
          <w:rFonts w:ascii="Times New Roman" w:hAnsi="Times New Roman" w:eastAsia="仿宋_GB2312"/>
          <w:b/>
          <w:spacing w:val="-4"/>
          <w:sz w:val="32"/>
          <w:szCs w:val="32"/>
          <w:highlight w:val="none"/>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hAnsi="Times New Roman" w:eastAsia="仿宋_GB2312"/>
          <w:b w:val="0"/>
          <w:bCs w:val="0"/>
          <w:kern w:val="2"/>
          <w:sz w:val="32"/>
          <w:highlight w:val="none"/>
        </w:rPr>
      </w:pPr>
      <w:r>
        <w:rPr>
          <w:rFonts w:ascii="Times New Roman" w:hAnsi="Times New Roman" w:eastAsia="仿宋_GB2312"/>
          <w:b w:val="0"/>
          <w:bCs w:val="0"/>
          <w:kern w:val="2"/>
          <w:sz w:val="32"/>
          <w:highlight w:val="none"/>
        </w:rPr>
        <w:t>严格坚持先做事、后验收、再拨付的原则，</w:t>
      </w:r>
      <w:r>
        <w:rPr>
          <w:rFonts w:hint="eastAsia" w:ascii="Times New Roman" w:hAnsi="Times New Roman" w:eastAsia="仿宋_GB2312"/>
          <w:b w:val="0"/>
          <w:bCs w:val="0"/>
          <w:kern w:val="2"/>
          <w:sz w:val="32"/>
          <w:highlight w:val="none"/>
        </w:rPr>
        <w:t>杜绝</w:t>
      </w:r>
      <w:r>
        <w:rPr>
          <w:rFonts w:ascii="Times New Roman" w:hAnsi="Times New Roman" w:eastAsia="仿宋_GB2312"/>
          <w:b w:val="0"/>
          <w:bCs w:val="0"/>
          <w:kern w:val="2"/>
          <w:sz w:val="3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hAnsi="Times New Roman" w:eastAsia="仿宋_GB2312"/>
          <w:b w:val="0"/>
          <w:bCs w:val="0"/>
          <w:kern w:val="2"/>
          <w:sz w:val="32"/>
          <w:highlight w:val="none"/>
        </w:rPr>
      </w:pPr>
      <w:r>
        <w:rPr>
          <w:rFonts w:ascii="Times New Roman" w:hAnsi="Times New Roman" w:eastAsia="仿宋_GB2312"/>
          <w:b w:val="0"/>
          <w:bCs w:val="0"/>
          <w:kern w:val="2"/>
          <w:sz w:val="32"/>
          <w:highlight w:val="none"/>
        </w:rPr>
        <w:t>保障长期稳定开展自治区工业和信息化培训中心各项业务，稳定人员队伍，同时也保障各项业务顺利开展。</w:t>
      </w:r>
      <w:r>
        <w:rPr>
          <w:rFonts w:hint="eastAsia" w:ascii="Times New Roman" w:hAnsi="Times New Roman" w:eastAsia="仿宋_GB2312"/>
          <w:b w:val="0"/>
          <w:bCs w:val="0"/>
          <w:kern w:val="2"/>
          <w:sz w:val="32"/>
          <w:highlight w:val="none"/>
          <w:lang w:eastAsia="zh-CN"/>
        </w:rPr>
        <w:t>长期聘用</w:t>
      </w:r>
      <w:r>
        <w:rPr>
          <w:rFonts w:ascii="Times New Roman" w:hAnsi="Times New Roman" w:eastAsia="仿宋_GB2312"/>
          <w:b w:val="0"/>
          <w:bCs w:val="0"/>
          <w:kern w:val="2"/>
          <w:sz w:val="32"/>
          <w:highlight w:val="none"/>
        </w:rPr>
        <w:t>人员在自治区工业和信息培训中心工作时间较长，各项业务熟悉，对以后的业务拓展和提高也奠定一定的基础。</w:t>
      </w:r>
    </w:p>
    <w:p>
      <w:pPr>
        <w:keepNext/>
        <w:keepLines/>
        <w:pageBreakBefore w:val="0"/>
        <w:numPr>
          <w:ilvl w:val="0"/>
          <w:numId w:val="11"/>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存在的问题及原因分析</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2.</w:t>
      </w:r>
      <w:r>
        <w:rPr>
          <w:rFonts w:hint="eastAsia" w:ascii="Times New Roman" w:hAnsi="Times New Roman" w:eastAsia="仿宋_GB2312"/>
          <w:sz w:val="32"/>
          <w:szCs w:val="32"/>
          <w:highlight w:val="none"/>
        </w:rPr>
        <w:t>存在预算整体支出绩效目标与产出的数量指标、质量指标缺乏对应性，关联性和可操作性不强。</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3</w:t>
      </w:r>
      <w:r>
        <w:rPr>
          <w:rFonts w:hint="eastAsia" w:ascii="Times New Roman" w:hAnsi="Times New Roman" w:eastAsia="仿宋_GB2312"/>
          <w:sz w:val="32"/>
          <w:szCs w:val="32"/>
          <w:highlight w:val="none"/>
        </w:rPr>
        <w:t>.</w:t>
      </w:r>
      <w:r>
        <w:rPr>
          <w:rFonts w:ascii="Times New Roman" w:hAnsi="Times New Roman" w:eastAsia="仿宋_GB2312"/>
          <w:sz w:val="32"/>
          <w:szCs w:val="32"/>
          <w:highlight w:val="none"/>
        </w:rPr>
        <w:t>存在对项目绩效目标的设定和各项指标的理解、认识不到位，导致项目绩效目标不够明确、不够细化、不够量化、缺乏可衡量性和可实现性。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4.预算编制和执行存在差异，部分项目未按预算批复的明细项目使用，不仅损害了预算的严肃性，而且给预算绩效评价带来困难。</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七</w:t>
      </w:r>
      <w:r>
        <w:rPr>
          <w:rFonts w:hint="eastAsia" w:ascii="黑体" w:hAnsi="黑体" w:eastAsia="黑体" w:cs="黑体"/>
          <w:sz w:val="32"/>
          <w:szCs w:val="32"/>
          <w:highlight w:val="none"/>
          <w:lang w:eastAsia="zh-CN"/>
        </w:rPr>
        <w:t>、</w:t>
      </w:r>
      <w:r>
        <w:rPr>
          <w:rFonts w:hint="eastAsia" w:ascii="黑体" w:hAnsi="黑体" w:eastAsia="黑体" w:cs="黑体"/>
          <w:sz w:val="32"/>
          <w:szCs w:val="32"/>
          <w:highlight w:val="none"/>
        </w:rPr>
        <w:t>有关建议</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1.多进行有关绩效管理工作方面的培训。积极组织第三方开展绩效管理工作培训，进一步夯实业务基础，提高我单位绩效人员水平。</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2.专门设定对绩效工作人员定职、定岗、定责等相关制度措施，进一步提升我单位绩效管理工作业务水平，扎实做好绩效管理工作。</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3. 弥补人员经费支出是长期的项目，严格执行资金管理办法和财政资金管理制度，后续根据项目资金的管理办法和人员管理办法，依照执行。</w:t>
      </w:r>
      <w:r>
        <w:rPr>
          <w:rFonts w:hint="eastAsia" w:ascii="Times New Roman" w:hAnsi="Times New Roman" w:eastAsia="仿宋_GB2312"/>
          <w:sz w:val="32"/>
          <w:szCs w:val="32"/>
          <w:highlight w:val="none"/>
        </w:rPr>
        <w:t>并</w:t>
      </w:r>
      <w:r>
        <w:rPr>
          <w:rFonts w:ascii="Times New Roman" w:hAnsi="Times New Roman" w:eastAsia="仿宋_GB2312"/>
          <w:sz w:val="32"/>
          <w:szCs w:val="32"/>
          <w:highlight w:val="none"/>
        </w:rPr>
        <w:t>严格按照项目实施</w:t>
      </w:r>
      <w:r>
        <w:rPr>
          <w:rFonts w:hint="eastAsia" w:ascii="Times New Roman" w:hAnsi="Times New Roman" w:eastAsia="仿宋_GB2312"/>
          <w:sz w:val="32"/>
          <w:szCs w:val="32"/>
          <w:highlight w:val="none"/>
        </w:rPr>
        <w:t>计划</w:t>
      </w:r>
      <w:r>
        <w:rPr>
          <w:rFonts w:ascii="Times New Roman" w:hAnsi="Times New Roman" w:eastAsia="仿宋_GB2312"/>
          <w:sz w:val="32"/>
          <w:szCs w:val="32"/>
          <w:highlight w:val="none"/>
        </w:rPr>
        <w:t>稳步推进工作。</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28"/>
          <w:highlight w:val="none"/>
        </w:rPr>
      </w:pPr>
      <w:r>
        <w:rPr>
          <w:rFonts w:ascii="Times New Roman" w:hAnsi="Times New Roman" w:eastAsia="仿宋_GB2312"/>
          <w:sz w:val="32"/>
          <w:szCs w:val="32"/>
          <w:highlight w:val="none"/>
        </w:rPr>
        <w:t>4.进一步完善项目评价过程中有关数据和资料的收集、整理、审核及分析。项目启动时同步做好档案的归纳与整理，及时整理、收集、汇总，健全档案资料。项目后续管理有待进一步加强和跟踪。</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5.进一步加强对绩效管理工作的组织领导，提高对预算绩效管理工作重要性的认识，总结经验查找问题，抓紧研究制定更全面更完善的绩效评价管理办法。结</w:t>
      </w:r>
      <w:r>
        <w:rPr>
          <w:rFonts w:hint="eastAsia" w:ascii="Times New Roman" w:hAnsi="Times New Roman" w:eastAsia="仿宋_GB2312"/>
          <w:sz w:val="32"/>
          <w:szCs w:val="32"/>
          <w:highlight w:val="none"/>
        </w:rPr>
        <w:t>合培训</w:t>
      </w:r>
      <w:r>
        <w:rPr>
          <w:rFonts w:ascii="Times New Roman" w:hAnsi="Times New Roman" w:eastAsia="仿宋_GB2312"/>
          <w:sz w:val="32"/>
          <w:szCs w:val="32"/>
          <w:highlight w:val="none"/>
        </w:rPr>
        <w:t>中心考核</w:t>
      </w:r>
      <w:r>
        <w:rPr>
          <w:rFonts w:hint="eastAsia" w:ascii="Times New Roman" w:hAnsi="Times New Roman" w:eastAsia="仿宋_GB2312"/>
          <w:sz w:val="32"/>
          <w:szCs w:val="32"/>
          <w:highlight w:val="none"/>
        </w:rPr>
        <w:t>机制</w:t>
      </w:r>
      <w:r>
        <w:rPr>
          <w:rFonts w:ascii="Times New Roman" w:hAnsi="Times New Roman" w:eastAsia="仿宋_GB2312"/>
          <w:sz w:val="32"/>
          <w:szCs w:val="32"/>
          <w:highlight w:val="none"/>
        </w:rPr>
        <w:t>建立绩效工作考核制度，加大实施预算绩效管理和绩效管理工作的学习力度，让“花钱必问效，无效必问责”的理念深入工作每个环节。</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6.</w:t>
      </w:r>
      <w:r>
        <w:rPr>
          <w:rFonts w:ascii="Times New Roman" w:hAnsi="Times New Roman" w:eastAsia="仿宋_GB2312"/>
          <w:sz w:val="32"/>
          <w:szCs w:val="32"/>
          <w:highlight w:val="none"/>
        </w:rPr>
        <w:t xml:space="preserve"> 专项业务费为考试考务业务上缴财政专户（教育收费）的预算资金，跟当前年度考试考务收费收缴进度息息相关，后期自治区工业和信息化培训中心将提高考试考务业务收缴力度，提前谋划，高效组织，确保考务费应收尽收。</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八</w:t>
      </w:r>
      <w:r>
        <w:rPr>
          <w:rFonts w:hint="eastAsia" w:ascii="黑体" w:hAnsi="黑体" w:eastAsia="黑体" w:cs="黑体"/>
          <w:sz w:val="32"/>
          <w:szCs w:val="32"/>
          <w:highlight w:val="none"/>
          <w:lang w:eastAsia="zh-CN"/>
        </w:rPr>
        <w:t>、</w:t>
      </w:r>
      <w:r>
        <w:rPr>
          <w:rFonts w:hint="eastAsia" w:ascii="黑体" w:hAnsi="黑体" w:eastAsia="黑体" w:cs="黑体"/>
          <w:sz w:val="32"/>
          <w:szCs w:val="32"/>
          <w:highlight w:val="none"/>
        </w:rPr>
        <w:t>其他需要说</w:t>
      </w:r>
      <w:bookmarkStart w:id="0" w:name="page8"/>
      <w:bookmarkEnd w:id="0"/>
      <w:r>
        <w:rPr>
          <w:rFonts w:hint="eastAsia" w:ascii="黑体" w:hAnsi="黑体" w:eastAsia="黑体" w:cs="黑体"/>
          <w:sz w:val="32"/>
          <w:szCs w:val="32"/>
          <w:highlight w:val="none"/>
        </w:rPr>
        <w:t>明的问题</w:t>
      </w:r>
    </w:p>
    <w:p>
      <w:pPr>
        <w:pStyle w:val="13"/>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ascii="Times New Roman" w:hAnsi="Times New Roman" w:eastAsia="仿宋_GB2312"/>
          <w:sz w:val="32"/>
          <w:szCs w:val="32"/>
          <w:highlight w:val="none"/>
          <w:lang w:eastAsia="zh-Hans"/>
        </w:rPr>
      </w:pPr>
      <w:r>
        <w:rPr>
          <w:rFonts w:ascii="Times New Roman" w:hAnsi="Times New Roman" w:eastAsia="仿宋_GB2312"/>
          <w:sz w:val="32"/>
          <w:szCs w:val="32"/>
          <w:highlight w:val="none"/>
          <w:lang w:eastAsia="zh-Hans"/>
        </w:rPr>
        <w:t>本项目无其他需说明的问题。</w:t>
      </w:r>
    </w:p>
    <w:p>
      <w:pPr>
        <w:pStyle w:val="13"/>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ascii="Times New Roman" w:hAnsi="Times New Roman" w:eastAsia="仿宋_GB2312"/>
          <w:sz w:val="32"/>
          <w:szCs w:val="32"/>
          <w:highlight w:val="none"/>
        </w:rPr>
      </w:pPr>
    </w:p>
    <w:p>
      <w:pPr>
        <w:pStyle w:val="13"/>
        <w:spacing w:after="0" w:line="560" w:lineRule="exact"/>
        <w:ind w:left="0" w:leftChars="0" w:firstLine="640"/>
        <w:rPr>
          <w:rFonts w:ascii="Times New Roman" w:hAnsi="Times New Roman" w:eastAsia="仿宋_GB2312"/>
          <w:sz w:val="32"/>
          <w:szCs w:val="32"/>
          <w:highlight w:val="none"/>
        </w:rPr>
      </w:pPr>
    </w:p>
    <w:p>
      <w:pPr>
        <w:pStyle w:val="13"/>
        <w:spacing w:after="0" w:line="560" w:lineRule="exact"/>
        <w:ind w:left="0" w:leftChars="0" w:firstLine="640"/>
        <w:rPr>
          <w:rFonts w:ascii="Times New Roman" w:hAnsi="Times New Roman" w:eastAsia="仿宋_GB2312"/>
          <w:sz w:val="32"/>
          <w:szCs w:val="32"/>
          <w:highlight w:val="none"/>
        </w:rPr>
      </w:pPr>
    </w:p>
    <w:p>
      <w:pPr>
        <w:pStyle w:val="13"/>
        <w:spacing w:after="0" w:line="560" w:lineRule="exact"/>
        <w:ind w:left="0" w:leftChars="0" w:firstLine="0" w:firstLineChars="0"/>
        <w:rPr>
          <w:rFonts w:ascii="Times New Roman" w:hAnsi="Times New Roman" w:eastAsia="仿宋_GB2312"/>
          <w:sz w:val="32"/>
          <w:szCs w:val="32"/>
          <w:highlight w:val="none"/>
        </w:rPr>
      </w:pPr>
    </w:p>
    <w:p>
      <w:pPr>
        <w:spacing w:line="600" w:lineRule="exact"/>
        <w:rPr>
          <w:rFonts w:eastAsia="黑体"/>
          <w:sz w:val="32"/>
          <w:szCs w:val="32"/>
          <w:highlight w:val="none"/>
        </w:rPr>
        <w:sectPr>
          <w:footerReference r:id="rId3" w:type="default"/>
          <w:pgSz w:w="11906" w:h="16838"/>
          <w:pgMar w:top="2098" w:right="1474" w:bottom="1984" w:left="1587" w:header="851" w:footer="992" w:gutter="0"/>
          <w:pgNumType w:start="1"/>
          <w:cols w:space="425" w:num="1"/>
          <w:docGrid w:type="lines" w:linePitch="312" w:charSpace="0"/>
        </w:sectPr>
      </w:pPr>
    </w:p>
    <w:p>
      <w:pPr>
        <w:spacing w:line="600" w:lineRule="exact"/>
        <w:rPr>
          <w:rFonts w:eastAsia="黑体"/>
          <w:sz w:val="32"/>
          <w:szCs w:val="32"/>
          <w:highlight w:val="none"/>
        </w:rPr>
      </w:pPr>
      <w:r>
        <w:rPr>
          <w:rFonts w:hint="eastAsia" w:eastAsia="黑体"/>
          <w:sz w:val="32"/>
          <w:szCs w:val="32"/>
          <w:highlight w:val="none"/>
        </w:rPr>
        <w:t>附件1</w:t>
      </w:r>
    </w:p>
    <w:p>
      <w:pPr>
        <w:pStyle w:val="19"/>
        <w:ind w:firstLine="562"/>
        <w:jc w:val="center"/>
        <w:rPr>
          <w:rFonts w:ascii="仿宋_GB2312" w:hAnsi="仿宋_GB2312" w:eastAsia="仿宋_GB2312" w:cs="仿宋_GB2312"/>
          <w:b/>
          <w:bCs/>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rPr>
        <w:t>弥补人员经费支出项目绩效评价指标体系及综合评分表</w:t>
      </w:r>
      <w:bookmarkEnd w:id="1"/>
      <w:bookmarkEnd w:id="2"/>
    </w:p>
    <w:tbl>
      <w:tblPr>
        <w:tblStyle w:val="14"/>
        <w:tblW w:w="1417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96"/>
        <w:gridCol w:w="596"/>
        <w:gridCol w:w="661"/>
        <w:gridCol w:w="4407"/>
        <w:gridCol w:w="6986"/>
        <w:gridCol w:w="464"/>
        <w:gridCol w:w="46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一级指标</w:t>
            </w: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二级指标</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三级指标</w:t>
            </w:r>
          </w:p>
        </w:tc>
        <w:tc>
          <w:tcPr>
            <w:tcW w:w="4407"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指标解释</w:t>
            </w:r>
          </w:p>
        </w:tc>
        <w:tc>
          <w:tcPr>
            <w:tcW w:w="6986"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指标说明</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权重</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68" w:hRule="atLeast"/>
          <w:jc w:val="center"/>
        </w:trPr>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决策　</w:t>
            </w: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项目立项　</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立项依据</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充分性</w:t>
            </w:r>
          </w:p>
        </w:tc>
        <w:tc>
          <w:tcPr>
            <w:tcW w:w="4407"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项目立项是否符合法律法规、相关政策、发展规划以及部门职责，用以反映和考核项目立项依据情况。</w:t>
            </w:r>
          </w:p>
        </w:tc>
        <w:tc>
          <w:tcPr>
            <w:tcW w:w="6986" w:type="dxa"/>
            <w:shd w:val="clear" w:color="auto" w:fill="FFFFFF"/>
            <w:vAlign w:val="center"/>
          </w:tcPr>
          <w:p>
            <w:pPr>
              <w:widowControl/>
              <w:spacing w:line="0" w:lineRule="atLeast"/>
              <w:jc w:val="lef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①项目立项是否符合国家法律法规、国民经济发展规划和相关政策；</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②项目立项是否符合行业发展规划和政策要求；</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③项目立项是否与部门职责范围相符，属于部门履职所需；</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④项目是否属于公共财政支持范围，是否符合中央、地方事权支出责任划分原则；</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⑤项目是否与相关部门同类项目或部门内部相关项目重复。</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01"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立项程序</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规范性</w:t>
            </w:r>
          </w:p>
        </w:tc>
        <w:tc>
          <w:tcPr>
            <w:tcW w:w="4407"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项目申请、设立过程是否符合相关要求，用以反映和考核项目立项的规范情况。</w:t>
            </w:r>
          </w:p>
        </w:tc>
        <w:tc>
          <w:tcPr>
            <w:tcW w:w="6986" w:type="dxa"/>
            <w:shd w:val="clear" w:color="auto" w:fill="FFFFFF"/>
            <w:vAlign w:val="center"/>
          </w:tcPr>
          <w:p>
            <w:pPr>
              <w:widowControl/>
              <w:spacing w:line="0" w:lineRule="atLeast"/>
              <w:jc w:val="lef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①项目是否按照规定的程序申请设立；</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②审批文件、材料是否符合相关要求；</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③事前是否已经过必要的可行性研究、专家论证、风险评估、绩效评估、集体决策。</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43"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绩效目标　</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绩效目标</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合理性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项目所设定的绩效目标是否依据充分，是否符合客观实际，用以反映和考核项目绩效目标与项目实施的相符情况。</w:t>
            </w:r>
          </w:p>
        </w:tc>
        <w:tc>
          <w:tcPr>
            <w:tcW w:w="6986" w:type="dxa"/>
            <w:shd w:val="clear" w:color="000000" w:fill="FFFFFF"/>
            <w:vAlign w:val="center"/>
          </w:tcPr>
          <w:p>
            <w:pPr>
              <w:widowControl/>
              <w:spacing w:line="0" w:lineRule="atLeast"/>
              <w:jc w:val="lef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（如未设定预算绩效目标，也可考核其他工作任务目标）</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①项目是否有绩效目标；</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②项目绩效目标与实际工作内容是否具有相关性；</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③项目预期产出效益和效果是否符合正常的业绩水平；</w:t>
            </w:r>
          </w:p>
          <w:p>
            <w:pPr>
              <w:widowControl/>
              <w:spacing w:line="0" w:lineRule="atLeast"/>
              <w:jc w:val="lef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④是否与预算确定的项目投资额或资金量相匹配。</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44"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绩效指标</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明确性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依据绩效目标设定的绩效指标是否清晰、细化、可衡量等，用以反映和考核项目绩效目标的明细化情况。</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①是否将项目绩效目标细化分解为具体的绩效指标；</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②是否通过清晰、可衡量的指标值予以体现；</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③是否与项目目标任务数或计划数相对应。</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60"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资金投入</w:t>
            </w:r>
          </w:p>
          <w:p>
            <w:pPr>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　</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预算编制</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科学性</w:t>
            </w:r>
          </w:p>
        </w:tc>
        <w:tc>
          <w:tcPr>
            <w:tcW w:w="4407"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项目预算编制是否经过科学论证、有明确标准，资金额度与年度目标是否相适应，用以反映和考核项目预算编制的科学性、合理性情况。</w:t>
            </w:r>
          </w:p>
        </w:tc>
        <w:tc>
          <w:tcPr>
            <w:tcW w:w="6986"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①预算编制是否经过科学论证；</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②预算内容与项目内容是否匹配；</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③预算额度测算依据是否充分，是否按照标准编制；</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④预算确定的项目投资额或资金量是否与工作任务相匹配。</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61"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资金分配</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合理性</w:t>
            </w:r>
          </w:p>
        </w:tc>
        <w:tc>
          <w:tcPr>
            <w:tcW w:w="4407"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项目预算资金分配是否有测算依据，与补助单位或地方实际是否相适应，用以反映和考核项目预算资金分配的科学性、合理性情况。</w:t>
            </w:r>
          </w:p>
        </w:tc>
        <w:tc>
          <w:tcPr>
            <w:tcW w:w="6986"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①预算资金分配依据是否充分；</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②资金分配额度是否合理，与项目单位或地方实际是否相适应。</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50" w:hRule="atLeast"/>
          <w:jc w:val="center"/>
        </w:trPr>
        <w:tc>
          <w:tcPr>
            <w:tcW w:w="596" w:type="dxa"/>
            <w:vMerge w:val="restart"/>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过程</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　　</w:t>
            </w: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资金管理</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资金到位率</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实际到位资金与预算资金的比率，用以反映和考核资金落实情况对项目实施的总体保障程度。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资金到位率=（实际到位资金/预算资金）×100%。</w:t>
            </w:r>
          </w:p>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实际到位资金：一定时期（本年度或项目期）内落实到具体项目的资金。</w:t>
            </w:r>
          </w:p>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预算资金：一定时期（本年度或项目期）内预算安排到具体项目的资金。</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8"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预算执行率</w:t>
            </w:r>
          </w:p>
        </w:tc>
        <w:tc>
          <w:tcPr>
            <w:tcW w:w="4407"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项目预算资金是否按照计划执行，用以反映或考核项目预算执行情况。</w:t>
            </w:r>
          </w:p>
        </w:tc>
        <w:tc>
          <w:tcPr>
            <w:tcW w:w="6986"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预算执行率=（实际支出资金/实际到位资金）×100%。</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实际支出资金：一定时期（本年度或项目期）内项目实际拨付的资金。</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261"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资金管理</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资金使用</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合规性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项目资金使用是否符合相关的财务管理制度规定，用以反映和考核项目资金的规范运行情况。</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①是否符合国家财经法规和财务管理制度以及有关专项资金管理办法的规定；</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②资金的拨付是否有完整的审批程序和手续；</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③是否符合项目预算批复或合同规定的用途；</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④是否存在截留、挤占、挪用、虚列支出等情况。</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90"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组织实施</w:t>
            </w:r>
          </w:p>
          <w:p>
            <w:pPr>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　</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管理制度</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健全性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项目实施单位的财务和业务管理制度是否健全，用以反映和考核财务和业务管理制度对项目顺利实施的保障情况。</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①是否已制定或具有相应的财务和业务管理制度；</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②财务和业务管理制度是否合法、合规、完整。</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297"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制度执行</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有效性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项目实施是否符合相关管理规定，用以反映和考核相关管理制度的有效执行情况。</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①是否遵守相关法律法规和相关管理规定；</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②项目调整及支出调整手续是否完备；</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③项目合同书、验收报告、技术鉴定等资料是否齐全并及时归档；</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④项目实施的人员条件、场地设备、信息支撑等是否落实到位。</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239" w:hRule="atLeast"/>
          <w:jc w:val="center"/>
        </w:trPr>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w:t>
            </w: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产出数量</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实际完成率</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项目实施的实际产出数与计划产出数的比率，用以反映和考核项目产出数量目标的实现程度。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实际完成率=（实际产出数/计划产出数）×100%。</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实际产出数：一定时期（本年度或项目期）内项目实际产出的产品或提供的服务数量。</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计划产出数：项目绩效目标确定的在一定时期（本年度或项目期）内计划产出的产品或提供的服务数量。</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65"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产出质量</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质量达标率</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项目完成的质量达标产出数与实际产出数的比率，用以反映和考核项目产出质量目标的实现程度。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质量达标率=（质量达标产出数/实际产出数）×100%。</w:t>
            </w:r>
          </w:p>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91"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产出时效</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完成及时性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项目实际完成时间与计划完成时间的比较，用以反映和考核项目产出时效目标的实现程度。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实际完成时间：项目实施单位完成该项目实际所耗用的时间。</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计划完成时间：按照项目实施计划或相关规定完成该项目所需的时间。</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079"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产出成本</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成本节约率</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完成项目计划工作目标的实际节约成本与计划成本的比率，用以反映和考核项目的成本节约程度。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成本节约率=[（计划成本-实际成本）/计划成本]×100%。</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实际成本：项目实施单位如期、保质、保量完成既定工作目标实际所耗费的支出。</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计划成本：项目实施单位为完成工作目标计划安排的支出，一般以项目预算为参考。</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效益　</w:t>
            </w: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项目效益　</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实施效益</w:t>
            </w:r>
          </w:p>
        </w:tc>
        <w:tc>
          <w:tcPr>
            <w:tcW w:w="4407" w:type="dxa"/>
            <w:shd w:val="clear" w:color="auto" w:fill="FFFFFF"/>
            <w:vAlign w:val="center"/>
          </w:tcPr>
          <w:p>
            <w:pPr>
              <w:widowControl/>
              <w:spacing w:line="0" w:lineRule="atLeast"/>
              <w:jc w:val="lef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项目实施所产生的效益。</w:t>
            </w:r>
          </w:p>
        </w:tc>
        <w:tc>
          <w:tcPr>
            <w:tcW w:w="6986"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项目实施所产生的社会效益、经济效益、生态效益、可持续影响等。可根据项目实际情况有选择地设置和细化。</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12"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满意度</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社会公众或服务对象对项目实施效果的满意程度。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社会公众或服务对象是指因该项目实施而受到影响的部门（单位）、群体或个人。一般采取社会调查的方式。</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r>
    </w:tbl>
    <w:p>
      <w:pPr>
        <w:rPr>
          <w:highlight w:val="none"/>
        </w:rPr>
        <w:sectPr>
          <w:pgSz w:w="16838" w:h="11906" w:orient="landscape"/>
          <w:pgMar w:top="1800" w:right="1440" w:bottom="1558" w:left="1440" w:header="851" w:footer="992" w:gutter="0"/>
          <w:cols w:space="425" w:num="1"/>
          <w:docGrid w:type="lines" w:linePitch="312" w:charSpace="0"/>
        </w:sectPr>
      </w:pPr>
    </w:p>
    <w:p>
      <w:pPr>
        <w:spacing w:line="240" w:lineRule="atLeast"/>
        <w:jc w:val="left"/>
        <w:rPr>
          <w:rFonts w:ascii="黑体" w:hAnsi="黑体" w:eastAsia="黑体" w:cs="黑体"/>
          <w:b/>
          <w:bCs/>
          <w:color w:val="000000"/>
          <w:kern w:val="0"/>
          <w:sz w:val="32"/>
          <w:szCs w:val="32"/>
          <w:highlight w:val="none"/>
          <w:lang w:bidi="ar"/>
        </w:rPr>
      </w:pPr>
      <w:r>
        <w:rPr>
          <w:rFonts w:hint="eastAsia" w:ascii="黑体" w:hAnsi="黑体" w:eastAsia="黑体" w:cs="黑体"/>
          <w:b/>
          <w:bCs/>
          <w:color w:val="000000"/>
          <w:kern w:val="0"/>
          <w:sz w:val="32"/>
          <w:szCs w:val="32"/>
          <w:highlight w:val="none"/>
          <w:lang w:bidi="ar"/>
        </w:rPr>
        <w:t>附件2</w:t>
      </w:r>
    </w:p>
    <w:p>
      <w:pPr>
        <w:spacing w:line="240" w:lineRule="atLeast"/>
        <w:jc w:val="center"/>
        <w:rPr>
          <w:rFonts w:ascii="仿宋_GB2312" w:hAnsi="仿宋_GB2312" w:eastAsia="仿宋_GB2312" w:cs="仿宋_GB2312"/>
          <w:b/>
          <w:bCs/>
          <w:color w:val="000000"/>
          <w:kern w:val="0"/>
          <w:sz w:val="28"/>
          <w:szCs w:val="28"/>
          <w:highlight w:val="none"/>
          <w:lang w:bidi="ar"/>
        </w:rPr>
      </w:pPr>
      <w:r>
        <w:rPr>
          <w:rFonts w:hint="eastAsia" w:ascii="仿宋_GB2312" w:hAnsi="仿宋_GB2312" w:eastAsia="仿宋_GB2312" w:cs="仿宋_GB2312"/>
          <w:b/>
          <w:bCs/>
          <w:color w:val="000000"/>
          <w:kern w:val="0"/>
          <w:sz w:val="28"/>
          <w:szCs w:val="28"/>
          <w:highlight w:val="none"/>
          <w:lang w:bidi="ar"/>
        </w:rPr>
        <w:t>项目支出绩效自评表</w:t>
      </w:r>
    </w:p>
    <w:p>
      <w:pPr>
        <w:spacing w:line="240" w:lineRule="atLeast"/>
        <w:jc w:val="center"/>
        <w:rPr>
          <w:rFonts w:eastAsia="仿宋_GB2312"/>
          <w:b/>
          <w:bCs/>
          <w:color w:val="000000"/>
          <w:kern w:val="0"/>
          <w:sz w:val="22"/>
          <w:szCs w:val="22"/>
          <w:highlight w:val="none"/>
          <w:lang w:bidi="ar"/>
        </w:rPr>
      </w:pPr>
      <w:r>
        <w:rPr>
          <w:rFonts w:eastAsia="仿宋_GB2312"/>
          <w:b/>
          <w:bCs/>
          <w:color w:val="000000"/>
          <w:kern w:val="0"/>
          <w:sz w:val="22"/>
          <w:szCs w:val="22"/>
          <w:highlight w:val="none"/>
          <w:lang w:bidi="ar"/>
        </w:rPr>
        <w:t>（ 2024年度）</w:t>
      </w:r>
    </w:p>
    <w:tbl>
      <w:tblPr>
        <w:tblStyle w:val="14"/>
        <w:tblW w:w="141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6"/>
        <w:gridCol w:w="591"/>
        <w:gridCol w:w="589"/>
        <w:gridCol w:w="1326"/>
        <w:gridCol w:w="941"/>
        <w:gridCol w:w="941"/>
        <w:gridCol w:w="944"/>
        <w:gridCol w:w="941"/>
        <w:gridCol w:w="941"/>
        <w:gridCol w:w="941"/>
        <w:gridCol w:w="941"/>
        <w:gridCol w:w="1131"/>
        <w:gridCol w:w="1006"/>
        <w:gridCol w:w="23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0" w:hRule="atLeast"/>
        </w:trPr>
        <w:tc>
          <w:tcPr>
            <w:tcW w:w="11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299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弥补人员经费支出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4" w:hRule="atLeast"/>
        </w:trPr>
        <w:tc>
          <w:tcPr>
            <w:tcW w:w="11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主管部门</w:t>
            </w:r>
          </w:p>
        </w:tc>
        <w:tc>
          <w:tcPr>
            <w:tcW w:w="474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新疆维吾尔自治区工业和信息化</w:t>
            </w:r>
            <w:r>
              <w:rPr>
                <w:rFonts w:hint="eastAsia" w:ascii="宋体" w:hAnsi="宋体" w:cs="宋体"/>
                <w:i w:val="0"/>
                <w:iCs w:val="0"/>
                <w:color w:val="000000"/>
                <w:kern w:val="0"/>
                <w:sz w:val="18"/>
                <w:szCs w:val="18"/>
                <w:highlight w:val="none"/>
                <w:u w:val="none"/>
                <w:lang w:val="en-US" w:eastAsia="zh-CN" w:bidi="ar"/>
              </w:rPr>
              <w:t>厅</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实施单位</w:t>
            </w:r>
          </w:p>
        </w:tc>
        <w:tc>
          <w:tcPr>
            <w:tcW w:w="63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新疆维吾尔自治区工业和信息化培训中心（自治区计算机培训中心）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11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w:t>
            </w:r>
            <w:r>
              <w:rPr>
                <w:rFonts w:hint="eastAsia" w:ascii="宋体" w:hAnsi="宋体" w:eastAsia="宋体" w:cs="宋体"/>
                <w:b/>
                <w:bCs/>
                <w:i w:val="0"/>
                <w:iCs w:val="0"/>
                <w:color w:val="000000"/>
                <w:kern w:val="0"/>
                <w:sz w:val="18"/>
                <w:szCs w:val="18"/>
                <w:highlight w:val="none"/>
                <w:u w:val="none"/>
                <w:lang w:val="en-US" w:eastAsia="zh-CN" w:bidi="ar"/>
              </w:rPr>
              <w:br w:type="textWrapping"/>
            </w:r>
            <w:r>
              <w:rPr>
                <w:rFonts w:hint="eastAsia" w:ascii="宋体" w:hAnsi="宋体" w:eastAsia="宋体" w:cs="宋体"/>
                <w:b/>
                <w:bCs/>
                <w:i w:val="0"/>
                <w:iCs w:val="0"/>
                <w:color w:val="000000"/>
                <w:kern w:val="0"/>
                <w:sz w:val="18"/>
                <w:szCs w:val="18"/>
                <w:highlight w:val="none"/>
                <w:u w:val="none"/>
                <w:lang w:val="en-US" w:eastAsia="zh-CN" w:bidi="ar"/>
              </w:rPr>
              <w:t>（万元）</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年初预算数</w:t>
            </w:r>
          </w:p>
        </w:tc>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全年预算数</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全年执行数</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分值</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执行率</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11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年度资金总额</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85.86</w:t>
            </w:r>
          </w:p>
        </w:tc>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85.86</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85.86</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11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其中：当年财政拨款</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0.00</w:t>
            </w:r>
          </w:p>
        </w:tc>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0.00</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11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 xml:space="preserve">  其他资金</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85.86</w:t>
            </w:r>
          </w:p>
        </w:tc>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85.86</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85.86</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年度总体目标</w:t>
            </w:r>
          </w:p>
        </w:tc>
        <w:tc>
          <w:tcPr>
            <w:tcW w:w="53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预期目标</w:t>
            </w:r>
          </w:p>
        </w:tc>
        <w:tc>
          <w:tcPr>
            <w:tcW w:w="82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04" w:hRule="atLeast"/>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53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培训中心长期聘用7人，聘用人员均在培训中心工作10年以上，均成长为各部门业务骨干，为稳定培训中心教职员工队伍，提高工作质量和效率，长期创新开拓业务，也为培训中心的各项业务能够长期持续性的发展下去，有利于培训中心长远发展规划。长期聘用人员7人的经费支出，按照测算2024年工资、社保等经费需要支出85.86万元，按时按月足量发放到位，以确保单位业务正常开展。</w:t>
            </w:r>
          </w:p>
        </w:tc>
        <w:tc>
          <w:tcPr>
            <w:tcW w:w="82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培训中心长期聘用7人，聘用人员均在培训中心工作10年以上，均成长为各部门业务骨干，为稳定培训中心教职员工队伍，提高工作质量和效率，长期创新开拓业务，也为培训中心的各项业务能够长期持续性的发展下去，有利于培训中心长远发展规划。长期聘用人员7人的经费支出，按照测算2024年工资、社保等经费需要支出85.86万元，按时按月足量发放到位，以确保单位业务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权重</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目标值</w:t>
            </w:r>
          </w:p>
        </w:tc>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业绩值</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完成率</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指标得分</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指标值设定依据</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赋分规则</w:t>
            </w:r>
          </w:p>
        </w:tc>
        <w:tc>
          <w:tcPr>
            <w:tcW w:w="10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c>
          <w:tcPr>
            <w:tcW w:w="2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2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年度绩效指标完成情况</w:t>
            </w: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保障人员人数</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&gt;=7人</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=7人</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历史标准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7人</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经费发放次数</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&gt;=12次</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=12次</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绩效考核通过率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历史标准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经费支出及时率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历史标准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资金拨付及时率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历史标准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人均运转经费</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&lt;=1.03万元/月</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=1.03万元/月</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highlight w:val="none"/>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职工满意度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历史标准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3092"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总分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41"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bl>
    <w:p>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28</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D6B38A"/>
    <w:multiLevelType w:val="singleLevel"/>
    <w:tmpl w:val="96D6B38A"/>
    <w:lvl w:ilvl="0" w:tentative="0">
      <w:start w:val="1"/>
      <w:numFmt w:val="decimal"/>
      <w:suff w:val="space"/>
      <w:lvlText w:val="%1."/>
      <w:lvlJc w:val="left"/>
    </w:lvl>
  </w:abstractNum>
  <w:abstractNum w:abstractNumId="1">
    <w:nsid w:val="B5A63CC8"/>
    <w:multiLevelType w:val="singleLevel"/>
    <w:tmpl w:val="B5A63CC8"/>
    <w:lvl w:ilvl="0" w:tentative="0">
      <w:start w:val="1"/>
      <w:numFmt w:val="decimal"/>
      <w:suff w:val="space"/>
      <w:lvlText w:val="%1."/>
      <w:lvlJc w:val="left"/>
    </w:lvl>
  </w:abstractNum>
  <w:abstractNum w:abstractNumId="2">
    <w:nsid w:val="E22CDF89"/>
    <w:multiLevelType w:val="singleLevel"/>
    <w:tmpl w:val="E22CDF89"/>
    <w:lvl w:ilvl="0" w:tentative="0">
      <w:start w:val="2"/>
      <w:numFmt w:val="decimal"/>
      <w:suff w:val="space"/>
      <w:lvlText w:val="%1."/>
      <w:lvlJc w:val="left"/>
    </w:lvl>
  </w:abstractNum>
  <w:abstractNum w:abstractNumId="3">
    <w:nsid w:val="ECD140A1"/>
    <w:multiLevelType w:val="singleLevel"/>
    <w:tmpl w:val="ECD140A1"/>
    <w:lvl w:ilvl="0" w:tentative="0">
      <w:start w:val="1"/>
      <w:numFmt w:val="decimal"/>
      <w:suff w:val="space"/>
      <w:lvlText w:val="%1."/>
      <w:lvlJc w:val="left"/>
    </w:lvl>
  </w:abstractNum>
  <w:abstractNum w:abstractNumId="4">
    <w:nsid w:val="F4CD2B0F"/>
    <w:multiLevelType w:val="singleLevel"/>
    <w:tmpl w:val="F4CD2B0F"/>
    <w:lvl w:ilvl="0" w:tentative="0">
      <w:start w:val="1"/>
      <w:numFmt w:val="decimal"/>
      <w:suff w:val="nothing"/>
      <w:lvlText w:val="（%1）"/>
      <w:lvlJc w:val="left"/>
    </w:lvl>
  </w:abstractNum>
  <w:abstractNum w:abstractNumId="5">
    <w:nsid w:val="FF40B523"/>
    <w:multiLevelType w:val="singleLevel"/>
    <w:tmpl w:val="FF40B523"/>
    <w:lvl w:ilvl="0" w:tentative="0">
      <w:start w:val="2"/>
      <w:numFmt w:val="decimal"/>
      <w:suff w:val="space"/>
      <w:lvlText w:val="%1."/>
      <w:lvlJc w:val="left"/>
    </w:lvl>
  </w:abstractNum>
  <w:abstractNum w:abstractNumId="6">
    <w:nsid w:val="FF9379A8"/>
    <w:multiLevelType w:val="singleLevel"/>
    <w:tmpl w:val="FF9379A8"/>
    <w:lvl w:ilvl="0" w:tentative="0">
      <w:start w:val="2"/>
      <w:numFmt w:val="chineseCounting"/>
      <w:suff w:val="nothing"/>
      <w:lvlText w:val="（%1）"/>
      <w:lvlJc w:val="left"/>
      <w:rPr>
        <w:rFonts w:hint="eastAsia"/>
      </w:rPr>
    </w:lvl>
  </w:abstractNum>
  <w:abstractNum w:abstractNumId="7">
    <w:nsid w:val="116B29BF"/>
    <w:multiLevelType w:val="singleLevel"/>
    <w:tmpl w:val="116B29BF"/>
    <w:lvl w:ilvl="0" w:tentative="0">
      <w:start w:val="3"/>
      <w:numFmt w:val="chineseCounting"/>
      <w:suff w:val="nothing"/>
      <w:lvlText w:val="%1、"/>
      <w:lvlJc w:val="left"/>
      <w:rPr>
        <w:rFonts w:hint="eastAsia"/>
      </w:rPr>
    </w:lvl>
  </w:abstractNum>
  <w:abstractNum w:abstractNumId="8">
    <w:nsid w:val="27813159"/>
    <w:multiLevelType w:val="singleLevel"/>
    <w:tmpl w:val="27813159"/>
    <w:lvl w:ilvl="0" w:tentative="0">
      <w:start w:val="3"/>
      <w:numFmt w:val="chineseCounting"/>
      <w:suff w:val="nothing"/>
      <w:lvlText w:val="（%1）"/>
      <w:lvlJc w:val="left"/>
      <w:rPr>
        <w:rFonts w:hint="eastAsia"/>
      </w:rPr>
    </w:lvl>
  </w:abstractNum>
  <w:abstractNum w:abstractNumId="9">
    <w:nsid w:val="59B090AE"/>
    <w:multiLevelType w:val="singleLevel"/>
    <w:tmpl w:val="59B090AE"/>
    <w:lvl w:ilvl="0" w:tentative="0">
      <w:start w:val="1"/>
      <w:numFmt w:val="decimal"/>
      <w:suff w:val="space"/>
      <w:lvlText w:val="%1."/>
      <w:lvlJc w:val="left"/>
    </w:lvl>
  </w:abstractNum>
  <w:abstractNum w:abstractNumId="10">
    <w:nsid w:val="6FAA0AB1"/>
    <w:multiLevelType w:val="singleLevel"/>
    <w:tmpl w:val="6FAA0AB1"/>
    <w:lvl w:ilvl="0" w:tentative="0">
      <w:start w:val="2"/>
      <w:numFmt w:val="chineseCounting"/>
      <w:suff w:val="nothing"/>
      <w:lvlText w:val="（%1）"/>
      <w:lvlJc w:val="left"/>
      <w:rPr>
        <w:rFonts w:hint="eastAsia"/>
      </w:rPr>
    </w:lvl>
  </w:abstractNum>
  <w:num w:numId="1">
    <w:abstractNumId w:val="5"/>
  </w:num>
  <w:num w:numId="2">
    <w:abstractNumId w:val="2"/>
  </w:num>
  <w:num w:numId="3">
    <w:abstractNumId w:val="4"/>
  </w:num>
  <w:num w:numId="4">
    <w:abstractNumId w:val="8"/>
  </w:num>
  <w:num w:numId="5">
    <w:abstractNumId w:val="0"/>
  </w:num>
  <w:num w:numId="6">
    <w:abstractNumId w:val="7"/>
  </w:num>
  <w:num w:numId="7">
    <w:abstractNumId w:val="3"/>
  </w:num>
  <w:num w:numId="8">
    <w:abstractNumId w:val="10"/>
  </w:num>
  <w:num w:numId="9">
    <w:abstractNumId w:val="1"/>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403B1"/>
    <w:rsid w:val="008B2CFE"/>
    <w:rsid w:val="009E0A34"/>
    <w:rsid w:val="00B41058"/>
    <w:rsid w:val="00C6551A"/>
    <w:rsid w:val="00F26FF6"/>
    <w:rsid w:val="01610122"/>
    <w:rsid w:val="02510197"/>
    <w:rsid w:val="03EC461B"/>
    <w:rsid w:val="03FB485E"/>
    <w:rsid w:val="05201206"/>
    <w:rsid w:val="07397B77"/>
    <w:rsid w:val="095D5673"/>
    <w:rsid w:val="0AD007F3"/>
    <w:rsid w:val="0E3C619F"/>
    <w:rsid w:val="0E4F5023"/>
    <w:rsid w:val="11170296"/>
    <w:rsid w:val="11875983"/>
    <w:rsid w:val="13471461"/>
    <w:rsid w:val="13946135"/>
    <w:rsid w:val="13B90F01"/>
    <w:rsid w:val="15475F72"/>
    <w:rsid w:val="155E4C4D"/>
    <w:rsid w:val="17462648"/>
    <w:rsid w:val="181066D2"/>
    <w:rsid w:val="19AA1F83"/>
    <w:rsid w:val="19C84D8B"/>
    <w:rsid w:val="1C671E73"/>
    <w:rsid w:val="1D1125A5"/>
    <w:rsid w:val="1D322C47"/>
    <w:rsid w:val="23616034"/>
    <w:rsid w:val="23D4607E"/>
    <w:rsid w:val="24480FA2"/>
    <w:rsid w:val="24A870D3"/>
    <w:rsid w:val="25227A45"/>
    <w:rsid w:val="260373E5"/>
    <w:rsid w:val="26AC3A6A"/>
    <w:rsid w:val="27865378"/>
    <w:rsid w:val="281178FD"/>
    <w:rsid w:val="290D296B"/>
    <w:rsid w:val="2B9D7E25"/>
    <w:rsid w:val="2C0734F1"/>
    <w:rsid w:val="2C7C7A3B"/>
    <w:rsid w:val="2DB8102A"/>
    <w:rsid w:val="2EFC0D68"/>
    <w:rsid w:val="2F364819"/>
    <w:rsid w:val="2FD63906"/>
    <w:rsid w:val="31A16195"/>
    <w:rsid w:val="365E6403"/>
    <w:rsid w:val="37215DAE"/>
    <w:rsid w:val="37C41C87"/>
    <w:rsid w:val="38797524"/>
    <w:rsid w:val="38CA40DD"/>
    <w:rsid w:val="395F2B56"/>
    <w:rsid w:val="399A59A4"/>
    <w:rsid w:val="3A076141"/>
    <w:rsid w:val="3BBA0580"/>
    <w:rsid w:val="3BECE841"/>
    <w:rsid w:val="3CDE204C"/>
    <w:rsid w:val="3D363C36"/>
    <w:rsid w:val="3DDD4853"/>
    <w:rsid w:val="3E9C3F6D"/>
    <w:rsid w:val="3FA0183A"/>
    <w:rsid w:val="3FF7797D"/>
    <w:rsid w:val="40D479EE"/>
    <w:rsid w:val="450F07E3"/>
    <w:rsid w:val="46690BD8"/>
    <w:rsid w:val="4701242C"/>
    <w:rsid w:val="473D2525"/>
    <w:rsid w:val="49F70BF1"/>
    <w:rsid w:val="4B4340EE"/>
    <w:rsid w:val="4BF06537"/>
    <w:rsid w:val="4C7E1155"/>
    <w:rsid w:val="503D507A"/>
    <w:rsid w:val="51FA74D0"/>
    <w:rsid w:val="526D7CA2"/>
    <w:rsid w:val="52AA4A52"/>
    <w:rsid w:val="54EB1352"/>
    <w:rsid w:val="574C5EF3"/>
    <w:rsid w:val="59943D66"/>
    <w:rsid w:val="59E051FD"/>
    <w:rsid w:val="59E6355E"/>
    <w:rsid w:val="5A0F163F"/>
    <w:rsid w:val="5B821531"/>
    <w:rsid w:val="5BFF6039"/>
    <w:rsid w:val="5D76A616"/>
    <w:rsid w:val="5D7F20B9"/>
    <w:rsid w:val="5DAC7D0E"/>
    <w:rsid w:val="5F98B5AF"/>
    <w:rsid w:val="5FFE8511"/>
    <w:rsid w:val="5FFEACE2"/>
    <w:rsid w:val="609D5BF6"/>
    <w:rsid w:val="61073070"/>
    <w:rsid w:val="61960AC1"/>
    <w:rsid w:val="61B9080E"/>
    <w:rsid w:val="61DF3FED"/>
    <w:rsid w:val="642B176B"/>
    <w:rsid w:val="643EE26D"/>
    <w:rsid w:val="652266CA"/>
    <w:rsid w:val="656019A0"/>
    <w:rsid w:val="65F242EE"/>
    <w:rsid w:val="666D7E19"/>
    <w:rsid w:val="68376930"/>
    <w:rsid w:val="68F91E38"/>
    <w:rsid w:val="69767E03"/>
    <w:rsid w:val="6988301E"/>
    <w:rsid w:val="6A3C022E"/>
    <w:rsid w:val="6B3158B9"/>
    <w:rsid w:val="6BA02A3F"/>
    <w:rsid w:val="6BD73208"/>
    <w:rsid w:val="6C1E5A53"/>
    <w:rsid w:val="6C61675C"/>
    <w:rsid w:val="6DD20F3C"/>
    <w:rsid w:val="6F5C41AC"/>
    <w:rsid w:val="6FAF6C78"/>
    <w:rsid w:val="716167CC"/>
    <w:rsid w:val="718A7AD1"/>
    <w:rsid w:val="72A44BC2"/>
    <w:rsid w:val="72F316A6"/>
    <w:rsid w:val="7317C656"/>
    <w:rsid w:val="734ED73F"/>
    <w:rsid w:val="73C82B32"/>
    <w:rsid w:val="73F94DAE"/>
    <w:rsid w:val="74220495"/>
    <w:rsid w:val="747D1B6F"/>
    <w:rsid w:val="749E5641"/>
    <w:rsid w:val="76271066"/>
    <w:rsid w:val="766823AB"/>
    <w:rsid w:val="76872831"/>
    <w:rsid w:val="776FF713"/>
    <w:rsid w:val="77FD8BE9"/>
    <w:rsid w:val="78000AED"/>
    <w:rsid w:val="784E646D"/>
    <w:rsid w:val="79322EFA"/>
    <w:rsid w:val="79A9BD3F"/>
    <w:rsid w:val="7B5B24DE"/>
    <w:rsid w:val="7B776F12"/>
    <w:rsid w:val="7BFFFDD0"/>
    <w:rsid w:val="7C336E5F"/>
    <w:rsid w:val="7C7B1C48"/>
    <w:rsid w:val="7C8D4919"/>
    <w:rsid w:val="7CE22529"/>
    <w:rsid w:val="7D7A5F86"/>
    <w:rsid w:val="7E4B683A"/>
    <w:rsid w:val="7E5E656D"/>
    <w:rsid w:val="7E8F2BCB"/>
    <w:rsid w:val="7F37BB4E"/>
    <w:rsid w:val="7F390F10"/>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28</Pages>
  <Words>476</Words>
  <Characters>495</Characters>
  <Lines>8</Lines>
  <Paragraphs>27</Paragraphs>
  <TotalTime>7</TotalTime>
  <ScaleCrop>false</ScaleCrop>
  <LinksUpToDate>false</LinksUpToDate>
  <CharactersWithSpaces>496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Administrator</cp:lastModifiedBy>
  <cp:lastPrinted>2025-04-29T08:48:00Z</cp:lastPrinted>
  <dcterms:modified xsi:type="dcterms:W3CDTF">2025-08-27T04:43:01Z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B413FD25FF344FE9B75EC7202B701ECD_13</vt:lpwstr>
  </property>
  <property fmtid="{D5CDD505-2E9C-101B-9397-08002B2CF9AE}" pid="4" name="KSOTemplateDocerSaveRecord">
    <vt:lpwstr>eyJoZGlkIjoiMzNiNGI2MGU3ZTBiNDlmYjExZDc5YzVmNjk5Y2MxNTQiLCJ1c2VySWQiOiIxMzUyMjgzNTc4In0=</vt:lpwstr>
  </property>
</Properties>
</file>