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eastAsia="华文中宋"/>
          <w:b/>
          <w:kern w:val="0"/>
          <w:sz w:val="52"/>
          <w:szCs w:val="52"/>
        </w:rPr>
      </w:pPr>
    </w:p>
    <w:p>
      <w:pPr>
        <w:spacing w:line="540" w:lineRule="exact"/>
        <w:jc w:val="both"/>
        <w:rPr>
          <w:rFonts w:eastAsia="华文中宋"/>
          <w:b/>
          <w:kern w:val="0"/>
          <w:sz w:val="52"/>
          <w:szCs w:val="52"/>
        </w:rPr>
      </w:pPr>
    </w:p>
    <w:p>
      <w:pPr>
        <w:spacing w:line="540" w:lineRule="exact"/>
        <w:jc w:val="both"/>
        <w:rPr>
          <w:rFonts w:eastAsia="华文中宋"/>
          <w:b/>
          <w:kern w:val="0"/>
          <w:sz w:val="52"/>
          <w:szCs w:val="52"/>
        </w:rPr>
      </w:pPr>
    </w:p>
    <w:p>
      <w:pPr>
        <w:spacing w:line="540" w:lineRule="exact"/>
        <w:jc w:val="both"/>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计算机技术与软件专业技术资格（水平）</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新疆区考试收费项目支出绩效评价报告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both"/>
        <w:rPr>
          <w:rFonts w:eastAsia="仿宋_GB2312"/>
          <w:kern w:val="0"/>
          <w:sz w:val="30"/>
          <w:szCs w:val="30"/>
        </w:rPr>
      </w:pPr>
    </w:p>
    <w:p>
      <w:pPr>
        <w:spacing w:line="540" w:lineRule="exact"/>
        <w:jc w:val="both"/>
        <w:rPr>
          <w:rFonts w:eastAsia="仿宋_GB2312"/>
          <w:kern w:val="0"/>
          <w:sz w:val="30"/>
          <w:szCs w:val="30"/>
        </w:rPr>
      </w:pPr>
    </w:p>
    <w:p>
      <w:pPr>
        <w:pStyle w:val="2"/>
        <w:jc w:val="both"/>
        <w:rPr>
          <w:rFonts w:ascii="Times New Roman" w:hAnsi="Times New Roman"/>
        </w:rPr>
      </w:pPr>
    </w:p>
    <w:p>
      <w:pPr>
        <w:spacing w:line="540" w:lineRule="exact"/>
        <w:jc w:val="both"/>
        <w:rPr>
          <w:rFonts w:eastAsia="仿宋_GB2312"/>
          <w:kern w:val="0"/>
          <w:sz w:val="30"/>
          <w:szCs w:val="30"/>
        </w:rPr>
      </w:pPr>
    </w:p>
    <w:p>
      <w:pPr>
        <w:spacing w:line="540" w:lineRule="exact"/>
        <w:jc w:val="both"/>
        <w:rPr>
          <w:rFonts w:eastAsia="仿宋_GB2312"/>
          <w:kern w:val="0"/>
          <w:sz w:val="30"/>
          <w:szCs w:val="30"/>
        </w:rPr>
      </w:pPr>
    </w:p>
    <w:p>
      <w:pPr>
        <w:keepNext w:val="0"/>
        <w:keepLines w:val="0"/>
        <w:pageBreakBefore w:val="0"/>
        <w:widowControl w:val="0"/>
        <w:kinsoku/>
        <w:wordWrap/>
        <w:overflowPunct/>
        <w:topLinePunct w:val="0"/>
        <w:autoSpaceDE/>
        <w:autoSpaceDN/>
        <w:bidi w:val="0"/>
        <w:adjustRightInd/>
        <w:snapToGrid/>
        <w:spacing w:line="700" w:lineRule="exact"/>
        <w:ind w:left="2710" w:leftChars="504" w:hanging="1652" w:hangingChars="459"/>
        <w:jc w:val="both"/>
        <w:textAlignment w:val="auto"/>
        <w:rPr>
          <w:rFonts w:eastAsia="仿宋_GB2312"/>
          <w:kern w:val="0"/>
          <w:sz w:val="36"/>
          <w:szCs w:val="36"/>
        </w:rPr>
      </w:pPr>
      <w:r>
        <w:rPr>
          <w:rFonts w:eastAsia="仿宋_GB2312"/>
          <w:kern w:val="0"/>
          <w:sz w:val="36"/>
          <w:szCs w:val="36"/>
        </w:rPr>
        <w:t>项目名称：</w:t>
      </w:r>
      <w:r>
        <w:rPr>
          <w:rFonts w:hint="eastAsia" w:eastAsia="仿宋_GB2312"/>
          <w:kern w:val="0"/>
          <w:sz w:val="36"/>
          <w:szCs w:val="36"/>
        </w:rPr>
        <w:t>计算机技术与软件专业技术资格（水平）新疆区考试收费项目</w:t>
      </w:r>
    </w:p>
    <w:p>
      <w:pPr>
        <w:keepNext w:val="0"/>
        <w:keepLines w:val="0"/>
        <w:pageBreakBefore w:val="0"/>
        <w:widowControl w:val="0"/>
        <w:kinsoku/>
        <w:wordWrap/>
        <w:overflowPunct/>
        <w:topLinePunct w:val="0"/>
        <w:autoSpaceDE/>
        <w:autoSpaceDN/>
        <w:bidi w:val="0"/>
        <w:adjustRightInd/>
        <w:snapToGrid/>
        <w:spacing w:line="700" w:lineRule="exact"/>
        <w:ind w:left="4154" w:leftChars="504" w:hanging="3096" w:hangingChars="860"/>
        <w:jc w:val="both"/>
        <w:textAlignment w:val="auto"/>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新疆维吾尔自治区工业和信息化培训中心</w:t>
      </w:r>
    </w:p>
    <w:p>
      <w:pPr>
        <w:spacing w:line="700" w:lineRule="exact"/>
        <w:ind w:left="3232" w:leftChars="504" w:hanging="2174" w:hangingChars="604"/>
        <w:jc w:val="both"/>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樊</w:t>
      </w:r>
      <w:r>
        <w:rPr>
          <w:rFonts w:eastAsia="仿宋_GB2312"/>
          <w:kern w:val="0"/>
          <w:sz w:val="36"/>
          <w:szCs w:val="36"/>
        </w:rPr>
        <w:t>矾</w:t>
      </w:r>
    </w:p>
    <w:p>
      <w:pPr>
        <w:spacing w:line="700" w:lineRule="exact"/>
        <w:ind w:left="3232" w:leftChars="504" w:hanging="2174" w:hangingChars="604"/>
        <w:jc w:val="both"/>
        <w:rPr>
          <w:rStyle w:val="16"/>
          <w:rFonts w:eastAsia="仿宋_GB2312"/>
          <w:b w:val="0"/>
          <w:spacing w:val="-4"/>
          <w:sz w:val="32"/>
          <w:szCs w:val="32"/>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11</w:t>
      </w:r>
      <w:r>
        <w:rPr>
          <w:rFonts w:eastAsia="仿宋_GB2312"/>
          <w:kern w:val="0"/>
          <w:sz w:val="36"/>
          <w:szCs w:val="36"/>
        </w:rPr>
        <w:t>日</w:t>
      </w:r>
    </w:p>
    <w:p>
      <w:pPr>
        <w:spacing w:line="560" w:lineRule="exact"/>
        <w:ind w:left="2990" w:leftChars="504" w:hanging="1932" w:hangingChars="604"/>
        <w:jc w:val="both"/>
        <w:rPr>
          <w:rFonts w:eastAsia="黑体"/>
          <w:bCs/>
          <w:sz w:val="32"/>
          <w:szCs w:val="32"/>
        </w:rPr>
        <w:sectPr>
          <w:pgSz w:w="11906" w:h="16838"/>
          <w:pgMar w:top="2098" w:right="1474" w:bottom="1984" w:left="1587"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一、基本情况</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ascii="Times New Roman" w:hAnsi="Times New Roman" w:eastAsia="仿宋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 项目背景</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计算机技术与软件专业技术资格（水平）考试（以下简称计算机软件资格考试）是由国家人力资源和社会保障部、工业和信息化部领导下的国家级考试，其目的是科学、公正地对全国计算机与软件专业技术人员进行职业资格、专业技术资格认定和专业技术水平测试。计算机软件资格考试设置了27个专业资格，涵盖5个专业领域，3个级别层次（初级、中级、高级）,该考试由于其权威性和严肃性，得到了社会各界及用人单位的广泛认同，并为推动国家信息产业发展，特别是在软件和服务产业的发展,以及提高各类信息技术人才的素质和能力中发挥了重要作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原人事部、原信息产业部文件（国人部发〔2003〕39号）文件规定，计算机软件资格考试纳入全国专业技术人员职业资格证书制度的统一规划，实行统一大纲、统一试题、统一标准、统一证书的考试办法，每年举行两次。计算机软件资格考试作为国家职业资格考试的重要组成部分，担负着为数字经济产业发展选拔人才的重要使命，是推动行业人才职业发展和评价的重要举措，实施30余年来，充分发挥国家职业资格考试“指挥棒”作用，以产业技术发展方向引领人才培养，在构建人才评价体系以及拓展人才职业发展空间等方面取得了积极成效，培养选拔了近200万名专业技术人才，为产业数字化、数字产业化的发展提供了重要的人才支撑。</w:t>
      </w:r>
    </w:p>
    <w:p>
      <w:pPr>
        <w:pStyle w:val="2"/>
        <w:keepNext w:val="0"/>
        <w:keepLines w:val="0"/>
        <w:pageBreakBefore w:val="0"/>
        <w:numPr>
          <w:ilvl w:val="0"/>
          <w:numId w:val="1"/>
        </w:numPr>
        <w:kinsoku/>
        <w:wordWrap/>
        <w:overflowPunct/>
        <w:topLinePunct w:val="0"/>
        <w:autoSpaceDE/>
        <w:autoSpaceDN/>
        <w:bidi w:val="0"/>
        <w:adjustRightInd/>
        <w:snapToGrid/>
        <w:spacing w:before="0" w:after="0" w:line="560" w:lineRule="exact"/>
        <w:ind w:left="0" w:leftChars="0" w:firstLine="643" w:firstLineChars="200"/>
        <w:jc w:val="both"/>
        <w:textAlignment w:val="auto"/>
        <w:rPr>
          <w:rFonts w:ascii="Times New Roman" w:hAnsi="Times New Roman" w:eastAsia="仿宋_GB2312" w:cs="仿宋_GB2312"/>
          <w:kern w:val="2"/>
          <w:sz w:val="32"/>
        </w:rPr>
      </w:pPr>
      <w:r>
        <w:rPr>
          <w:rFonts w:hint="eastAsia" w:ascii="Times New Roman" w:hAnsi="Times New Roman" w:eastAsia="仿宋_GB2312" w:cs="仿宋_GB2312"/>
          <w:kern w:val="2"/>
          <w:sz w:val="32"/>
        </w:rPr>
        <w:t>项目主要内容及实施情况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highlight w:val="yellow"/>
        </w:rPr>
      </w:pPr>
      <w:r>
        <w:rPr>
          <w:rFonts w:hint="eastAsia" w:ascii="Times New Roman" w:hAnsi="Times New Roman" w:eastAsia="仿宋_GB2312" w:cs="仿宋_GB2312"/>
          <w:sz w:val="32"/>
          <w:szCs w:val="32"/>
        </w:rPr>
        <w:t>项目主要内容：根据《全国计算机专业技术资格考试办公室关于2024年度计算机技术与软件专业技术资格（水平）考试工作安排及有关事项的通知》（计考办〔2024〕1号）要求，我培训中心作为计算机软件资格考试新疆考区考试机构，按照计算机软件资格考试年度工作计划和考务管理等规定，负责新疆考区2024年度计算机软件资格考试的组织实施工作，做好新疆考区计算机软件资格考试的组织报名，考区、考点考场设置，组织考区管理人员培训和考核，计算机化考试系统使用、管理和维护，成绩复查和证书发放等工作。</w:t>
      </w:r>
    </w:p>
    <w:p>
      <w:pPr>
        <w:pStyle w:val="10"/>
        <w:keepNext w:val="0"/>
        <w:keepLines w:val="0"/>
        <w:pageBreakBefore w:val="0"/>
        <w:shd w:val="clear" w:color="auto" w:fill="FFFFFF"/>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Times New Roman" w:hAnsi="Times New Roman" w:eastAsia="仿宋_GB2312" w:cs="仿宋_GB2312"/>
          <w:bCs/>
          <w:kern w:val="2"/>
          <w:sz w:val="32"/>
          <w:szCs w:val="32"/>
        </w:rPr>
      </w:pPr>
      <w:r>
        <w:rPr>
          <w:rFonts w:hint="eastAsia" w:ascii="Times New Roman" w:hAnsi="Times New Roman" w:eastAsia="仿宋_GB2312" w:cs="仿宋_GB2312"/>
          <w:sz w:val="32"/>
          <w:szCs w:val="32"/>
        </w:rPr>
        <w:t>项目实施情况：</w:t>
      </w:r>
      <w:r>
        <w:rPr>
          <w:rFonts w:hint="eastAsia" w:ascii="Times New Roman" w:hAnsi="Times New Roman" w:eastAsia="仿宋_GB2312" w:cs="仿宋_GB2312"/>
          <w:bCs/>
          <w:kern w:val="2"/>
          <w:sz w:val="32"/>
          <w:szCs w:val="32"/>
        </w:rPr>
        <w:t>认真组织2024年全年报名和考试实施工作，报考人数共计13337人；全疆7个考区的设置、考点审核和组织实施工作。</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资金投入和使用情况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（1）资金投入情况</w:t>
      </w:r>
    </w:p>
    <w:p>
      <w:pPr>
        <w:keepNext w:val="0"/>
        <w:keepLines w:val="0"/>
        <w:pageBreakBefore w:val="0"/>
        <w:kinsoku/>
        <w:wordWrap/>
        <w:overflowPunct/>
        <w:topLinePunct w:val="0"/>
        <w:autoSpaceDE/>
        <w:autoSpaceDN/>
        <w:bidi w:val="0"/>
        <w:adjustRightInd/>
        <w:snapToGrid/>
        <w:spacing w:line="560" w:lineRule="exact"/>
        <w:ind w:left="0" w:leftChars="0" w:firstLine="64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该项目年初预算数65万元，全年预算数65万元，该项目资金已全部落实到位，资金来源为财政</w:t>
      </w:r>
      <w:r>
        <w:rPr>
          <w:rFonts w:hint="eastAsia" w:eastAsia="仿宋_GB2312" w:cs="仿宋_GB2312"/>
          <w:sz w:val="32"/>
          <w:szCs w:val="32"/>
          <w:lang w:val="en-US" w:eastAsia="zh-CN"/>
        </w:rPr>
        <w:t>拨款</w:t>
      </w:r>
      <w:r>
        <w:rPr>
          <w:rFonts w:hint="eastAsia" w:ascii="Times New Roman" w:hAnsi="Times New Roman"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（2）资金使用情况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该项目年初预算数65万元，全年预算数65万元，全年执行数65万元，预算执行率为100%，主要用于：支付项目实施进程中的各项费用。</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 总体目标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新发改收费〔2017〕1648关于全面实行收费单位收费情况统计报告和公示公告制度的通知，新发改规〔2019〕2号文，计算机技术与软件专业技术资格（水平）考试是由国家人力资源和社会保障部、工业和信息化部领导下的国家级专业技术考试。根据《全国计算机专业技术资格考试办公室关于2023年计算机技术与软件专业技术资格（水平）考试工作计划及有关事项的通知》计考办〔2023〕1号，2023年度上半年考试已完成，下半年考试正在执行中。2024年计算机技术与软件专业技术资格（水平）新疆区考试预计全年报考初级1000人、中级8970人、高级3800人，合计14500人，预计开考31340科次，考务费上缴国库168万元。严格落实预算项目资金，专款专用，按照预算批复项目执行。</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新疆维吾尔自治区工业和信息化培训中心作为计算机软件资格考试新疆考区考试机构，按照计算机软件资格考试年度工作计划和考务管理规定以及相关考务要求，负责新疆考区考生2024年度计算机软件资格考试的组织实施工作和证书获取工作。计算机软件资格考试担负着为新疆数字经济产业发展选拔人才的重要使命，推动行业人才职业发展和评价的重要举措，不断推进新疆工业和信息化人才队伍建设，更好地支撑产业加快迈向中高端。</w:t>
      </w:r>
    </w:p>
    <w:p>
      <w:pPr>
        <w:pStyle w:val="2"/>
      </w:pPr>
    </w:p>
    <w:p>
      <w:pPr>
        <w:keepNext w:val="0"/>
        <w:keepLines w:val="0"/>
        <w:pageBreakBefore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阶段性目标</w:t>
      </w:r>
    </w:p>
    <w:p>
      <w:pPr>
        <w:keepNext w:val="0"/>
        <w:keepLines w:val="0"/>
        <w:pageBreakBefore w:val="0"/>
        <w:kinsoku/>
        <w:wordWrap/>
        <w:overflowPunct/>
        <w:topLinePunct w:val="0"/>
        <w:autoSpaceDE/>
        <w:autoSpaceDN/>
        <w:bidi w:val="0"/>
        <w:adjustRightInd/>
        <w:snapToGrid/>
        <w:spacing w:line="560" w:lineRule="exact"/>
        <w:ind w:left="0" w:leftChars="0" w:firstLine="643"/>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（1）前期准备：通过制定项目实施方案，经项目负责人审核通过后，有序开展后续工作。</w:t>
      </w:r>
    </w:p>
    <w:p>
      <w:pPr>
        <w:keepNext w:val="0"/>
        <w:keepLines w:val="0"/>
        <w:pageBreakBefore w:val="0"/>
        <w:kinsoku/>
        <w:wordWrap/>
        <w:overflowPunct/>
        <w:topLinePunct w:val="0"/>
        <w:autoSpaceDE/>
        <w:autoSpaceDN/>
        <w:bidi w:val="0"/>
        <w:adjustRightInd/>
        <w:snapToGrid/>
        <w:spacing w:line="560" w:lineRule="exact"/>
        <w:ind w:left="0" w:leftChars="0" w:firstLine="643"/>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（2）组织实施：资金一到位，立即根据项目要求实施项目。项目责任人按照项目实施方案要求逐一进行项目部署安排，提高项目质量及效率性。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Times New Roman" w:hAnsi="Times New Roman" w:eastAsia="仿宋_GB2312" w:cs="仿宋_GB2312"/>
          <w:sz w:val="32"/>
        </w:rPr>
      </w:pPr>
      <w:r>
        <w:rPr>
          <w:rFonts w:hint="eastAsia" w:ascii="Times New Roman" w:hAnsi="Times New Roman" w:eastAsia="仿宋_GB2312" w:cs="仿宋_GB2312"/>
          <w:sz w:val="32"/>
        </w:rPr>
        <w:t>1. 绩效评价完整性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2. 绩效评价的目的</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（1）评估项目实施效果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（2）提升资源利用效率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（3）强化项目管理责任</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（4）为决策提供支持</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（5）促进项目持续改进</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Times New Roman" w:hAnsi="Times New Roman" w:eastAsia="仿宋_GB2312" w:cs="仿宋_GB2312"/>
          <w:sz w:val="32"/>
        </w:rPr>
      </w:pPr>
      <w:r>
        <w:rPr>
          <w:rFonts w:hint="eastAsia" w:ascii="Times New Roman" w:hAnsi="Times New Roman" w:eastAsia="仿宋_GB2312" w:cs="仿宋_GB2312"/>
          <w:sz w:val="32"/>
        </w:rPr>
        <w:t>绩效评价的对象</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本项目预算绩效评价报告的评价对象是计算机技术与软件专业技术资格（水平）新疆区考试收费项目及其预算执行情况。该项目由新疆维吾尔自治区工业和信息化培训中心负责实施，旨在担负着为新疆数字经济产业发展选拔人才的重要使命，推动行业人才职业发展和评价的重要举措，不断推进新疆工业和信息化人才队伍建设，更好地支撑产业加快迈向中高端。项目预算涵盖从2024年1月1日至2024年12月</w:t>
      </w:r>
      <w:r>
        <w:rPr>
          <w:rFonts w:ascii="Times New Roman" w:hAnsi="Times New Roman" w:eastAsia="仿宋_GB2312" w:cs="仿宋_GB2312"/>
          <w:b w:val="0"/>
          <w:bCs w:val="0"/>
          <w:sz w:val="32"/>
        </w:rPr>
        <w:t>10</w:t>
      </w:r>
      <w:r>
        <w:rPr>
          <w:rFonts w:hint="eastAsia" w:ascii="Times New Roman" w:hAnsi="Times New Roman" w:eastAsia="仿宋_GB2312" w:cs="仿宋_GB2312"/>
          <w:b w:val="0"/>
          <w:bCs w:val="0"/>
          <w:sz w:val="32"/>
        </w:rPr>
        <w:t>日的全部资金投入与支出，涉及资金总额为65万元。</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Times New Roman" w:hAnsi="Times New Roman" w:eastAsia="仿宋_GB2312" w:cs="仿宋_GB2312"/>
          <w:sz w:val="32"/>
        </w:rPr>
      </w:pPr>
      <w:r>
        <w:rPr>
          <w:rFonts w:hint="eastAsia" w:ascii="Times New Roman" w:hAnsi="Times New Roman" w:eastAsia="仿宋_GB2312" w:cs="仿宋_GB2312"/>
          <w:sz w:val="32"/>
        </w:rPr>
        <w:t>绩效评价的范围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本项目预算绩效评价报告的评价范围广泛而全面，涵盖了从项目立项至评价时点期间的所有关键预算活动和财务流程。具体而言，评价范围包括但不限于以下几个方面：</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项目预算编制与执行：全面审视项目预算的编制依据、合理性、科学性以及实际执行情况，包括预算调整的原因和效果。</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资金管理：深入分析项目资金的分配、使用和监管情况，确保资金使用的合规性、高效性和透明度。</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项目实施进度与产出：评估项目是否按照既定计划顺利推进，各项任务是否按时完成，以及项目产出的数量、质量和时效性是否符合预期。</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highlight w:val="green"/>
        </w:rPr>
      </w:pPr>
      <w:r>
        <w:rPr>
          <w:rFonts w:hint="eastAsia" w:ascii="Times New Roman" w:hAnsi="Times New Roman" w:eastAsia="仿宋_GB2312" w:cs="仿宋_GB2312"/>
          <w:b w:val="0"/>
          <w:bCs w:val="0"/>
          <w:sz w:val="32"/>
        </w:rPr>
        <w:t>（4）社会、生态等影响：该项目以产业技术发展方向引领人才培养，在构建人才评价体系以及拓展人才职业发展空间等方面取得了积极成效，培养选拔了近200万名专业技术人才，为产业数字化、数字产业化的发展提供了重要的人才支撑。不断推进新疆工业和信息化人才队伍建设，更好地支撑产业加快迈向中高端。</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Times New Roman" w:hAnsi="Times New Roman" w:eastAsia="仿宋_GB2312" w:cs="仿宋_GB2312"/>
          <w:sz w:val="32"/>
        </w:rPr>
      </w:pPr>
      <w:r>
        <w:rPr>
          <w:rFonts w:hint="eastAsia" w:ascii="Times New Roman" w:hAnsi="Times New Roman" w:eastAsia="仿宋_GB2312" w:cs="仿宋_GB2312"/>
          <w:sz w:val="32"/>
        </w:rPr>
        <w:t>1. 绩效评价原则</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Times New Roman" w:hAnsi="Times New Roman" w:eastAsia="仿宋_GB2312" w:cs="仿宋_GB2312"/>
          <w:sz w:val="32"/>
        </w:rPr>
      </w:pPr>
      <w:r>
        <w:rPr>
          <w:rFonts w:hint="eastAsia" w:ascii="Times New Roman" w:hAnsi="Times New Roman" w:eastAsia="仿宋_GB2312" w:cs="仿宋_GB2312"/>
          <w:sz w:val="32"/>
        </w:rPr>
        <w:t>2. 评价指标体系</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FF0000"/>
          <w:spacing w:val="17"/>
          <w:sz w:val="32"/>
          <w:szCs w:val="32"/>
        </w:rPr>
      </w:pPr>
      <w:r>
        <w:rPr>
          <w:rFonts w:hint="eastAsia" w:ascii="Times New Roman" w:hAnsi="Times New Roman"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firstLine="708" w:firstLineChars="200"/>
        <w:jc w:val="both"/>
        <w:textAlignment w:val="auto"/>
        <w:rPr>
          <w:rFonts w:ascii="Times New Roman" w:hAnsi="Times New Roman" w:eastAsia="仿宋_GB2312" w:cs="仿宋_GB2312"/>
          <w:b w:val="0"/>
          <w:bCs w:val="0"/>
          <w:color w:val="000000"/>
          <w:spacing w:val="17"/>
          <w:kern w:val="2"/>
          <w:sz w:val="32"/>
        </w:rPr>
      </w:pPr>
      <w:r>
        <w:rPr>
          <w:rFonts w:hint="eastAsia" w:ascii="Times New Roman" w:hAnsi="Times New Roman" w:eastAsia="仿宋_GB2312" w:cs="仿宋_GB2312"/>
          <w:b w:val="0"/>
          <w:bCs w:val="0"/>
          <w:color w:val="000000"/>
          <w:spacing w:val="17"/>
          <w:kern w:val="2"/>
          <w:sz w:val="32"/>
        </w:rPr>
        <w:t>绩效评价总分值100分，根据综合评分结果，90（含）-100分为优、80（含）-90分为良、60（含）-80分为中、60分以下为差。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708" w:firstLineChars="200"/>
        <w:jc w:val="both"/>
        <w:textAlignment w:val="auto"/>
        <w:outlineLvl w:val="9"/>
        <w:rPr>
          <w:rFonts w:ascii="Times New Roman" w:hAnsi="Times New Roman" w:eastAsia="仿宋_GB2312" w:cs="仿宋_GB2312"/>
          <w:b w:val="0"/>
          <w:bCs w:val="0"/>
          <w:color w:val="000000"/>
          <w:spacing w:val="17"/>
          <w:sz w:val="32"/>
        </w:rPr>
      </w:pPr>
      <w:r>
        <w:rPr>
          <w:rFonts w:hint="eastAsia" w:ascii="Times New Roman" w:hAnsi="Times New Roman" w:eastAsia="仿宋_GB2312" w:cs="仿宋_GB2312"/>
          <w:b w:val="0"/>
          <w:bCs w:val="0"/>
          <w:color w:val="000000"/>
          <w:spacing w:val="17"/>
          <w:sz w:val="32"/>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Times New Roman" w:hAnsi="Times New Roman" w:eastAsia="仿宋_GB2312" w:cs="仿宋_GB2312"/>
          <w:sz w:val="32"/>
        </w:rPr>
      </w:pPr>
      <w:r>
        <w:rPr>
          <w:rFonts w:hint="eastAsia" w:ascii="Times New Roman" w:hAnsi="Times New Roman" w:eastAsia="仿宋_GB2312" w:cs="仿宋_GB2312"/>
          <w:sz w:val="32"/>
        </w:rPr>
        <w:t>3. 绩效评价方法</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left="0" w:leftChars="0" w:firstLine="708"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（一）成本效益分析法。</w:t>
      </w:r>
      <w:r>
        <w:rPr>
          <w:rFonts w:hint="eastAsia" w:ascii="Times New Roman" w:hAnsi="Times New Roman" w:eastAsia="仿宋_GB2312" w:cs="仿宋_GB2312"/>
          <w:color w:val="000000"/>
          <w:spacing w:val="17"/>
          <w:sz w:val="32"/>
          <w:szCs w:val="32"/>
        </w:rPr>
        <w:t xml:space="preserve">是指将投入与产出、效益进行关联性分析的方法。 </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（二）比较法。</w:t>
      </w:r>
      <w:r>
        <w:rPr>
          <w:rFonts w:hint="eastAsia" w:ascii="Times New Roman" w:hAnsi="Times New Roman" w:eastAsia="仿宋_GB2312" w:cs="仿宋_GB2312"/>
          <w:color w:val="000000"/>
          <w:spacing w:val="17"/>
          <w:sz w:val="32"/>
          <w:szCs w:val="32"/>
        </w:rPr>
        <w:t>是指将实施情况与绩效目标、历史情况、不同部门和地区同类支出情况进行比较的方法。</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（三）因素分析法。</w:t>
      </w:r>
      <w:r>
        <w:rPr>
          <w:rFonts w:hint="eastAsia" w:ascii="Times New Roman" w:hAnsi="Times New Roman" w:eastAsia="仿宋_GB2312" w:cs="仿宋_GB2312"/>
          <w:color w:val="000000"/>
          <w:spacing w:val="17"/>
          <w:sz w:val="32"/>
          <w:szCs w:val="32"/>
        </w:rPr>
        <w:t>是指综合分析影响绩效目标实现、实施效果的内外部因素的方法。</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（四）最低成本法。</w:t>
      </w:r>
      <w:r>
        <w:rPr>
          <w:rFonts w:hint="eastAsia" w:ascii="Times New Roman" w:hAnsi="Times New Roman" w:eastAsia="仿宋_GB2312" w:cs="仿宋_GB2312"/>
          <w:color w:val="000000"/>
          <w:spacing w:val="17"/>
          <w:sz w:val="32"/>
          <w:szCs w:val="32"/>
        </w:rPr>
        <w:t>是指在绩效目标确定的前提下，成本最小者为优的方法。</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（五）公众评判法。</w:t>
      </w:r>
      <w:r>
        <w:rPr>
          <w:rFonts w:hint="eastAsia" w:ascii="Times New Roman" w:hAnsi="Times New Roman" w:eastAsia="仿宋_GB2312" w:cs="仿宋_GB2312"/>
          <w:color w:val="000000"/>
          <w:spacing w:val="17"/>
          <w:sz w:val="32"/>
          <w:szCs w:val="32"/>
        </w:rPr>
        <w:t>是指通过专家评估、公众问卷及抽样调查等方式进行评判的方法。</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9"/>
        <w:rPr>
          <w:rFonts w:ascii="Times New Roman" w:hAnsi="Times New Roman" w:eastAsia="仿宋_GB2312" w:cs="仿宋_GB2312"/>
          <w:sz w:val="32"/>
        </w:rPr>
      </w:pPr>
      <w:r>
        <w:rPr>
          <w:rFonts w:hint="eastAsia" w:ascii="Times New Roman" w:hAnsi="Times New Roman" w:eastAsia="仿宋_GB2312" w:cs="仿宋_GB2312"/>
          <w:sz w:val="32"/>
        </w:rPr>
        <w:t>4. 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绩效评价标准通常包括计划标准、行业标准、历史标准等，用于对绩效指标完成情况进行比较、分析、评价。本次评价主要采用了计划标准、行业标准、历史标准等。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（1）计划标准。指以预先制定的目标、计划、预算、定额等作为评价标准。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（2）行业标准。指参照国家公布的行业指标数据制定的评价标准。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（3）历史标准。指参照历史数据制定的评价标准，为体现绩效改进的原则，在可实现的条件下应当确定相对较高的评价标准。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（4）财政部门和预算部门确认或认可的其他标准。</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（三）绩效评价工作过程</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 前期准备与规划</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指标体系构建</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依据项目的性质、目标以及预期成果，构建了科学合理的绩效评价指标体系。该指标体系涵盖了</w:t>
      </w:r>
      <w:r>
        <w:rPr>
          <w:rFonts w:hint="eastAsia" w:ascii="Times New Roman" w:hAnsi="Times New Roman" w:eastAsia="仿宋_GB2312" w:cs="仿宋_GB2312"/>
          <w:color w:val="000000"/>
          <w:spacing w:val="17"/>
          <w:sz w:val="32"/>
          <w:szCs w:val="32"/>
        </w:rPr>
        <w:t>项目决策、项目过程、项目产出、项目效益四个维度</w:t>
      </w:r>
      <w:r>
        <w:rPr>
          <w:rFonts w:hint="eastAsia" w:ascii="Times New Roman" w:hAnsi="Times New Roman" w:eastAsia="仿宋_GB2312" w:cs="仿宋_GB2312"/>
          <w:sz w:val="32"/>
          <w:szCs w:val="32"/>
        </w:rPr>
        <w:t>，选取了具有代表性和可衡量性的关键指标，并为每个指标设定了明确的评价标准与权重，确保评价结果能够全面、准确地反映项目的绩效状况。</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数据收集与整理</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数据分析与评估</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报告撰写与反馈</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后续跟踪与改进</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三、综合评价情况及评价结论（附相关评分表）</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（一）评价情况</w:t>
      </w:r>
    </w:p>
    <w:p>
      <w:pPr>
        <w:pStyle w:val="10"/>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Times New Roman" w:hAnsi="Times New Roman" w:eastAsia="仿宋_GB2312" w:cs="仿宋_GB2312"/>
          <w:sz w:val="32"/>
          <w:szCs w:val="32"/>
          <w:highlight w:val="green"/>
        </w:rPr>
      </w:pPr>
      <w:r>
        <w:rPr>
          <w:rFonts w:hint="eastAsia" w:ascii="Times New Roman" w:hAnsi="Times New Roman" w:eastAsia="仿宋_GB2312" w:cs="仿宋_GB2312"/>
          <w:sz w:val="32"/>
          <w:szCs w:val="32"/>
        </w:rPr>
        <w:t>本项目的综合评价基于对项目各方面绩效的深入分析与评估。从项目目标的达成情况来看，计算机技术与软件专业技术资格（水平）新疆区考试收费项目在数量指标、时效指标、社会效益指标等方面表现出色，达到了预期的标准与要求。同时，项目也在新疆数字经济产业发展领域中工业和信息化人才队伍建设取得了显著的成效，提升专业技术岗位人员的水平和能力，为新疆专业技术人才储备起到强大的支撑作用等。</w:t>
      </w:r>
    </w:p>
    <w:p>
      <w:pPr>
        <w:pStyle w:val="10"/>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在项目管理方面，新疆维吾尔自治区工业和信息化培训中心通过有效的规划、组织与协调，项目得以顺利实施，并在预算与时间上保持了良好的控制。</w:t>
      </w:r>
    </w:p>
    <w:p>
      <w:pPr>
        <w:pStyle w:val="10"/>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从项目效益的角度来看，本项目不仅实现了预期的社会效益方面产生了积极的影响。具体而言，专业技术岗位人员的水平和能力、新疆专业技术人才储备等方面的提升，为项目的利益相关者带来了实实在在的利益。</w:t>
      </w:r>
    </w:p>
    <w:p>
      <w:pPr>
        <w:pStyle w:val="10"/>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综上所述，计算机技术与软件专业技术资格（水平）新疆区考试收费项目在绩效评价中表现出色，达到了项目的预期目标，并在多个方面取得了显著的成效。</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（二）评价结论</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w:t>
      </w:r>
      <w:r>
        <w:rPr>
          <w:rFonts w:hint="eastAsia" w:ascii="Times New Roman" w:hAnsi="Times New Roman" w:eastAsia="仿宋_GB2312" w:cs="仿宋_GB2312"/>
          <w:b w:val="0"/>
          <w:bCs w:val="0"/>
          <w:sz w:val="32"/>
          <w:lang w:val="en-US" w:eastAsia="zh-CN"/>
        </w:rPr>
        <w:t>4</w:t>
      </w:r>
      <w:r>
        <w:rPr>
          <w:rFonts w:hint="eastAsia" w:ascii="Times New Roman" w:hAnsi="Times New Roman" w:eastAsia="仿宋_GB2312" w:cs="仿宋_GB2312"/>
          <w:b w:val="0"/>
          <w:bCs w:val="0"/>
          <w:sz w:val="32"/>
        </w:rPr>
        <w:t>0分，得分率为 100%。项目效益类指标权重为20分，得分为20分，得分率为100%。具体打分情况详见：附件1综合评分表。</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jc w:val="center"/>
        <w:textAlignment w:val="auto"/>
        <w:rPr>
          <w:rFonts w:ascii="Times New Roman" w:hAnsi="Times New Roman" w:eastAsia="仿宋_GB2312"/>
          <w:sz w:val="32"/>
          <w:szCs w:val="21"/>
        </w:rPr>
      </w:pPr>
      <w:r>
        <w:rPr>
          <w:rFonts w:ascii="Times New Roman" w:hAnsi="Times New Roman" w:eastAsia="仿宋_GB2312"/>
          <w:sz w:val="32"/>
          <w:szCs w:val="21"/>
        </w:rPr>
        <w:t>表1综合评分表</w:t>
      </w:r>
    </w:p>
    <w:tbl>
      <w:tblPr>
        <w:tblStyle w:val="14"/>
        <w:tblW w:w="9059" w:type="dxa"/>
        <w:jc w:val="center"/>
        <w:tblInd w:w="0" w:type="dxa"/>
        <w:tblLayout w:type="fixed"/>
        <w:tblCellMar>
          <w:top w:w="0" w:type="dxa"/>
          <w:left w:w="108" w:type="dxa"/>
          <w:bottom w:w="0" w:type="dxa"/>
          <w:right w:w="108" w:type="dxa"/>
        </w:tblCellMar>
      </w:tblPr>
      <w:tblGrid>
        <w:gridCol w:w="3747"/>
        <w:gridCol w:w="2590"/>
        <w:gridCol w:w="2722"/>
      </w:tblGrid>
      <w:tr>
        <w:tblPrEx>
          <w:tblLayout w:type="fixed"/>
          <w:tblCellMar>
            <w:top w:w="0" w:type="dxa"/>
            <w:left w:w="108" w:type="dxa"/>
            <w:bottom w:w="0" w:type="dxa"/>
            <w:right w:w="108" w:type="dxa"/>
          </w:tblCellMar>
        </w:tblPrEx>
        <w:trPr>
          <w:trHeight w:val="90" w:hRule="atLeast"/>
          <w:tblHeader/>
          <w:jc w:val="center"/>
        </w:trPr>
        <w:tc>
          <w:tcPr>
            <w:tcW w:w="374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一级指标</w:t>
            </w:r>
          </w:p>
        </w:tc>
        <w:tc>
          <w:tcPr>
            <w:tcW w:w="2590"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权重分</w:t>
            </w:r>
          </w:p>
        </w:tc>
        <w:tc>
          <w:tcPr>
            <w:tcW w:w="2722"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得分</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项目决策</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20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hint="eastAsia" w:ascii="Times New Roman" w:hAnsi="Times New Roman" w:eastAsia="仿宋_GB2312"/>
                <w:color w:val="000000"/>
                <w:sz w:val="32"/>
                <w:szCs w:val="21"/>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项目过程</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20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hint="eastAsia" w:ascii="Times New Roman" w:hAnsi="Times New Roman" w:eastAsia="仿宋_GB2312"/>
                <w:color w:val="000000"/>
                <w:sz w:val="32"/>
                <w:szCs w:val="21"/>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项目产出</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40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40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项目效益</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20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color w:val="000000"/>
                <w:sz w:val="32"/>
                <w:szCs w:val="21"/>
              </w:rPr>
            </w:pPr>
            <w:r>
              <w:rPr>
                <w:rFonts w:hint="eastAsia" w:ascii="Times New Roman" w:hAnsi="Times New Roman" w:eastAsia="仿宋_GB2312"/>
                <w:color w:val="000000"/>
                <w:sz w:val="32"/>
                <w:szCs w:val="21"/>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合计</w:t>
            </w:r>
          </w:p>
        </w:tc>
        <w:tc>
          <w:tcPr>
            <w:tcW w:w="2590"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100</w:t>
            </w:r>
          </w:p>
        </w:tc>
        <w:tc>
          <w:tcPr>
            <w:tcW w:w="2722"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rPr>
                <w:rFonts w:ascii="Times New Roman" w:hAnsi="Times New Roman" w:eastAsia="仿宋_GB2312"/>
                <w:b/>
                <w:bCs/>
                <w:color w:val="000000"/>
                <w:sz w:val="32"/>
                <w:szCs w:val="21"/>
              </w:rPr>
            </w:pPr>
            <w:r>
              <w:rPr>
                <w:rFonts w:hint="eastAsia" w:ascii="Times New Roman" w:hAnsi="Times New Roman" w:eastAsia="仿宋_GB2312"/>
                <w:b/>
                <w:bCs/>
                <w:color w:val="000000"/>
                <w:sz w:val="32"/>
                <w:szCs w:val="21"/>
              </w:rPr>
              <w:t>100</w:t>
            </w:r>
          </w:p>
        </w:tc>
      </w:tr>
    </w:tbl>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四、绩效评价指标分析</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ascii="Times New Roman" w:hAnsi="Times New Roman" w:eastAsia="仿宋_GB2312"/>
          <w:b/>
          <w:bCs/>
          <w:sz w:val="32"/>
          <w:szCs w:val="32"/>
        </w:rPr>
        <w:t>（一）项目决策情况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项目决策类指标包括项目立项、绩效目标和资金投入三方面的内容，由6个三级指标构成，权重分值为20分，实际得分20分，得分率为100%。</w:t>
      </w:r>
    </w:p>
    <w:p>
      <w:pPr>
        <w:pStyle w:val="19"/>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64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项目立项</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（1）立项依据充分性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（2）立项程序规范性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项目申请、设立过程符合相关要求，</w:t>
      </w:r>
      <w:r>
        <w:rPr>
          <w:rFonts w:hint="eastAsia" w:ascii="Times New Roman" w:hAnsi="Times New Roman" w:eastAsia="仿宋_GB2312" w:cs="仿宋_GB2312"/>
          <w:sz w:val="32"/>
          <w:szCs w:val="32"/>
          <w:lang w:eastAsia="zh-Hans"/>
        </w:rPr>
        <w:t>严格按照审批流程准备符合要求的文件、材料；</w:t>
      </w:r>
      <w:r>
        <w:rPr>
          <w:rFonts w:hint="eastAsia" w:ascii="Times New Roman" w:hAnsi="Times New Roman"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64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绩效目标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（1）绩效目标合理性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lang w:eastAsia="zh-Hans"/>
        </w:rPr>
        <w:t>年初结合实际工作内容</w:t>
      </w:r>
      <w:r>
        <w:rPr>
          <w:rFonts w:hint="eastAsia" w:ascii="Times New Roman" w:hAnsi="Times New Roman" w:eastAsia="仿宋_GB2312" w:cs="仿宋_GB2312"/>
          <w:sz w:val="32"/>
          <w:szCs w:val="32"/>
        </w:rPr>
        <w:t>设定绩效目标</w:t>
      </w:r>
      <w:r>
        <w:rPr>
          <w:rFonts w:hint="eastAsia" w:ascii="Times New Roman" w:hAnsi="Times New Roman" w:eastAsia="仿宋_GB2312" w:cs="仿宋_GB2312"/>
          <w:sz w:val="32"/>
          <w:szCs w:val="32"/>
          <w:lang w:eastAsia="zh-Hans"/>
        </w:rPr>
        <w:t>，绩效目标</w:t>
      </w:r>
      <w:r>
        <w:rPr>
          <w:rFonts w:hint="eastAsia" w:ascii="Times New Roman" w:hAnsi="Times New Roman"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（2）绩效指标明确性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64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资金投入</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（1）预算编制科学性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（2）资金分配合理性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（二）项目过程情况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项目过程类指标包括资金管理和组织实施两方面的内容，由5个三级指标构成，权重分值为20分，实际得分20分，得分率为100%。</w:t>
      </w:r>
    </w:p>
    <w:p>
      <w:pPr>
        <w:pStyle w:val="19"/>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64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资金管理</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（1）资金到位率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本项目总投资65万元，财政资金及时足额到位，到位率100%，预算资金按计划进度执行。</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（2）预算执行率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预算编制较为详细，项目资金支出总体能够按照预算执行，预算资金支出65万元，预算执行率为100%。</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（3）资金使用合规性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640"/>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组织实施</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（1）管理制度健全性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在制度设计上，我们注重了制度的科学性与可操作性，确保制度能够切实指导项目的执行与管理。</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（2）制度执行有效性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在执行过程中，管理制度得到了全面、有效的落实，为确保项目的顺利实施与目标实现提供了坚实的保障。新疆维吾尔自治区工业和信息化培训中心重视制度执行的重要性，通过明确责任分工、制定详细执行计划、加强监督考核等措施，确保了各项管理制度能够得到有效执行。</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综上所述，本项目的管理制度在执行过程中表现出了高度的有效性，既确保了项目的顺利进行，又实现了项目目标的有效达成。</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（三）项目产出情况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项目产出类指标包括产出数量、产出质量、产出时效、产出成本四方面的内容，由5个三级指标构成，权重分为40分，实际得分40分，得分率为100%。具体产出指标完成情况如下：</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fldChar w:fldCharType="begin"/>
      </w:r>
      <w:r>
        <w:rPr>
          <w:rFonts w:hint="eastAsia" w:ascii="Times New Roman" w:hAnsi="Times New Roman" w:eastAsia="仿宋_GB2312" w:cs="仿宋_GB2312"/>
          <w:sz w:val="32"/>
          <w:szCs w:val="32"/>
        </w:rPr>
        <w:instrText xml:space="preserve"> = 1 \* GB3 </w:instrText>
      </w:r>
      <w:r>
        <w:rPr>
          <w:rFonts w:hint="eastAsia" w:ascii="Times New Roman" w:hAnsi="Times New Roman" w:eastAsia="仿宋_GB2312" w:cs="仿宋_GB2312"/>
          <w:sz w:val="32"/>
          <w:szCs w:val="32"/>
        </w:rPr>
        <w:fldChar w:fldCharType="separate"/>
      </w:r>
      <w:r>
        <w:rPr>
          <w:rFonts w:hint="eastAsia" w:ascii="Times New Roman" w:hAnsi="Times New Roman" w:eastAsia="仿宋_GB2312" w:cs="仿宋_GB2312"/>
          <w:sz w:val="32"/>
          <w:szCs w:val="32"/>
        </w:rPr>
        <w:t>①</w:t>
      </w:r>
      <w:r>
        <w:rPr>
          <w:rFonts w:hint="eastAsia" w:ascii="Times New Roman" w:hAnsi="Times New Roman" w:eastAsia="仿宋_GB2312" w:cs="仿宋_GB2312"/>
          <w:sz w:val="32"/>
          <w:szCs w:val="32"/>
        </w:rPr>
        <w:fldChar w:fldCharType="end"/>
      </w:r>
      <w:r>
        <w:rPr>
          <w:rFonts w:hint="eastAsia" w:ascii="Times New Roman" w:hAnsi="Times New Roman" w:eastAsia="仿宋_GB2312" w:cs="仿宋_GB2312"/>
          <w:sz w:val="32"/>
          <w:szCs w:val="32"/>
        </w:rPr>
        <w:t>数量指标：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指标1：报考人数，指标值：</w:t>
      </w:r>
      <w:r>
        <w:rPr>
          <w:rFonts w:ascii="Times New Roman" w:hAnsi="Times New Roman" w:eastAsia="仿宋_GB2312" w:cs="Arial"/>
          <w:sz w:val="32"/>
          <w:szCs w:val="32"/>
        </w:rPr>
        <w:t>≥</w:t>
      </w:r>
      <w:r>
        <w:rPr>
          <w:rFonts w:hint="eastAsia" w:ascii="Times New Roman" w:hAnsi="Times New Roman" w:eastAsia="仿宋_GB2312" w:cs="仿宋_GB2312"/>
          <w:sz w:val="32"/>
          <w:szCs w:val="32"/>
        </w:rPr>
        <w:t>12600人，实际完成值：13337人，指标完成率10</w:t>
      </w:r>
      <w:r>
        <w:rPr>
          <w:rFonts w:hint="eastAsia" w:eastAsia="仿宋_GB2312" w:cs="仿宋_GB2312"/>
          <w:sz w:val="32"/>
          <w:szCs w:val="32"/>
          <w:lang w:val="en-US" w:eastAsia="zh-CN"/>
        </w:rPr>
        <w:t>5.85</w:t>
      </w:r>
      <w:r>
        <w:rPr>
          <w:rFonts w:hint="eastAsia" w:ascii="Times New Roman" w:hAnsi="Times New Roman" w:eastAsia="仿宋_GB2312" w:cs="仿宋_GB2312"/>
          <w:sz w:val="32"/>
          <w:szCs w:val="32"/>
        </w:rPr>
        <w:t>%，</w:t>
      </w:r>
      <w:r>
        <w:rPr>
          <w:rFonts w:hint="eastAsia" w:eastAsia="仿宋_GB2312" w:cs="仿宋_GB2312"/>
          <w:sz w:val="32"/>
          <w:szCs w:val="32"/>
          <w:lang w:val="en-US" w:eastAsia="zh-CN"/>
        </w:rPr>
        <w:t>偏差原因：</w:t>
      </w:r>
      <w:r>
        <w:rPr>
          <w:rFonts w:hint="eastAsia" w:ascii="Times New Roman" w:hAnsi="Times New Roman" w:eastAsia="仿宋_GB2312" w:cs="仿宋_GB2312"/>
          <w:sz w:val="32"/>
          <w:szCs w:val="32"/>
        </w:rPr>
        <w:t>超额完成报考人数。</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指标2：缴费人数，指标值：</w:t>
      </w:r>
      <w:r>
        <w:rPr>
          <w:rFonts w:ascii="Times New Roman" w:hAnsi="Times New Roman" w:eastAsia="仿宋_GB2312" w:cs="Arial"/>
          <w:sz w:val="32"/>
          <w:szCs w:val="32"/>
        </w:rPr>
        <w:t>≥</w:t>
      </w:r>
      <w:r>
        <w:rPr>
          <w:rFonts w:hint="eastAsia" w:ascii="Times New Roman" w:hAnsi="Times New Roman" w:eastAsia="仿宋_GB2312" w:cs="仿宋_GB2312"/>
          <w:sz w:val="32"/>
          <w:szCs w:val="32"/>
        </w:rPr>
        <w:t>12600人，实际完成值：13337人，指标完成率10</w:t>
      </w:r>
      <w:r>
        <w:rPr>
          <w:rFonts w:hint="eastAsia" w:eastAsia="仿宋_GB2312" w:cs="仿宋_GB2312"/>
          <w:sz w:val="32"/>
          <w:szCs w:val="32"/>
          <w:lang w:val="en-US" w:eastAsia="zh-CN"/>
        </w:rPr>
        <w:t>5.85</w:t>
      </w:r>
      <w:r>
        <w:rPr>
          <w:rFonts w:hint="eastAsia" w:ascii="Times New Roman" w:hAnsi="Times New Roman" w:eastAsia="仿宋_GB2312" w:cs="仿宋_GB2312"/>
          <w:sz w:val="32"/>
          <w:szCs w:val="32"/>
        </w:rPr>
        <w:t>%，</w:t>
      </w:r>
      <w:r>
        <w:rPr>
          <w:rFonts w:hint="eastAsia" w:eastAsia="仿宋_GB2312" w:cs="仿宋_GB2312"/>
          <w:sz w:val="32"/>
          <w:szCs w:val="32"/>
          <w:lang w:val="en-US" w:eastAsia="zh-CN"/>
        </w:rPr>
        <w:t>偏差原因：</w:t>
      </w:r>
      <w:r>
        <w:rPr>
          <w:rFonts w:hint="eastAsia" w:ascii="Times New Roman" w:hAnsi="Times New Roman" w:eastAsia="仿宋_GB2312" w:cs="仿宋_GB2312"/>
          <w:sz w:val="32"/>
          <w:szCs w:val="32"/>
        </w:rPr>
        <w:t>超额完成报考人数</w:t>
      </w:r>
      <w:bookmarkStart w:id="3" w:name="_GoBack"/>
      <w:bookmarkEnd w:id="3"/>
      <w:r>
        <w:rPr>
          <w:rFonts w:hint="eastAsia" w:ascii="Times New Roman" w:hAnsi="Times New Roman"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指标3：考试场次，指标值：</w:t>
      </w:r>
      <w:r>
        <w:rPr>
          <w:rFonts w:ascii="Times New Roman" w:hAnsi="Times New Roman" w:eastAsia="仿宋_GB2312" w:cs="Arial"/>
          <w:sz w:val="32"/>
          <w:szCs w:val="32"/>
        </w:rPr>
        <w:t>≥</w:t>
      </w:r>
      <w:r>
        <w:rPr>
          <w:rFonts w:hint="eastAsia" w:ascii="Times New Roman" w:hAnsi="Times New Roman" w:eastAsia="仿宋_GB2312" w:cs="仿宋_GB2312"/>
          <w:sz w:val="32"/>
          <w:szCs w:val="32"/>
        </w:rPr>
        <w:t>6批次，实际完成值：6批次，指标完成率100%，无偏差。</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fldChar w:fldCharType="begin"/>
      </w:r>
      <w:r>
        <w:rPr>
          <w:rFonts w:hint="eastAsia" w:ascii="Times New Roman" w:hAnsi="Times New Roman" w:eastAsia="仿宋_GB2312" w:cs="仿宋_GB2312"/>
          <w:sz w:val="32"/>
          <w:szCs w:val="32"/>
        </w:rPr>
        <w:instrText xml:space="preserve"> = 2 \* GB3 </w:instrText>
      </w:r>
      <w:r>
        <w:rPr>
          <w:rFonts w:hint="eastAsia" w:ascii="Times New Roman" w:hAnsi="Times New Roman" w:eastAsia="仿宋_GB2312" w:cs="仿宋_GB2312"/>
          <w:sz w:val="32"/>
          <w:szCs w:val="32"/>
        </w:rPr>
        <w:fldChar w:fldCharType="separate"/>
      </w:r>
      <w:r>
        <w:rPr>
          <w:rFonts w:hint="eastAsia" w:ascii="Times New Roman" w:hAnsi="Times New Roman" w:eastAsia="仿宋_GB2312" w:cs="仿宋_GB2312"/>
          <w:sz w:val="32"/>
          <w:szCs w:val="32"/>
        </w:rPr>
        <w:t>②</w:t>
      </w:r>
      <w:r>
        <w:rPr>
          <w:rFonts w:hint="eastAsia" w:ascii="Times New Roman" w:hAnsi="Times New Roman" w:eastAsia="仿宋_GB2312" w:cs="仿宋_GB2312"/>
          <w:sz w:val="32"/>
          <w:szCs w:val="32"/>
        </w:rPr>
        <w:fldChar w:fldCharType="end"/>
      </w:r>
      <w:r>
        <w:rPr>
          <w:rFonts w:hint="eastAsia" w:ascii="Times New Roman" w:hAnsi="Times New Roman" w:eastAsia="仿宋_GB2312" w:cs="仿宋_GB2312"/>
          <w:sz w:val="32"/>
          <w:szCs w:val="32"/>
        </w:rPr>
        <w:t>质量指标：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指标1：职业资格率，指标值：=100%，实际完成值：100%次，指标完成率100%，无偏差。</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fldChar w:fldCharType="begin"/>
      </w:r>
      <w:r>
        <w:rPr>
          <w:rFonts w:hint="eastAsia" w:ascii="Times New Roman" w:hAnsi="Times New Roman" w:eastAsia="仿宋_GB2312" w:cs="仿宋_GB2312"/>
          <w:sz w:val="32"/>
          <w:szCs w:val="32"/>
        </w:rPr>
        <w:instrText xml:space="preserve"> = 3 \* GB3 </w:instrText>
      </w:r>
      <w:r>
        <w:rPr>
          <w:rFonts w:hint="eastAsia" w:ascii="Times New Roman" w:hAnsi="Times New Roman" w:eastAsia="仿宋_GB2312" w:cs="仿宋_GB2312"/>
          <w:sz w:val="32"/>
          <w:szCs w:val="32"/>
        </w:rPr>
        <w:fldChar w:fldCharType="separate"/>
      </w:r>
      <w:r>
        <w:rPr>
          <w:rFonts w:hint="eastAsia" w:ascii="Times New Roman" w:hAnsi="Times New Roman" w:eastAsia="仿宋_GB2312" w:cs="仿宋_GB2312"/>
          <w:sz w:val="32"/>
          <w:szCs w:val="32"/>
        </w:rPr>
        <w:t>③</w:t>
      </w:r>
      <w:r>
        <w:rPr>
          <w:rFonts w:hint="eastAsia" w:ascii="Times New Roman" w:hAnsi="Times New Roman" w:eastAsia="仿宋_GB2312" w:cs="仿宋_GB2312"/>
          <w:sz w:val="32"/>
          <w:szCs w:val="32"/>
        </w:rPr>
        <w:fldChar w:fldCharType="end"/>
      </w:r>
      <w:r>
        <w:rPr>
          <w:rFonts w:hint="eastAsia" w:ascii="Times New Roman" w:hAnsi="Times New Roman" w:eastAsia="仿宋_GB2312" w:cs="仿宋_GB2312"/>
          <w:sz w:val="32"/>
          <w:szCs w:val="32"/>
        </w:rPr>
        <w:t>时效指标：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指标1：考试按期完成率，指标值：=100%，实际完成值：100%次，指标完成率100%，无偏差。</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（四）项目效益情况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项目效益类指标包括项目实施效益和满意度两方面的内容，由2个三级指标构成，权重分为20分，实际得分20分，得分率为100%。具体效益指标及满意度指标完成情况如下：</w:t>
      </w:r>
    </w:p>
    <w:p>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643" w:firstLineChars="200"/>
        <w:jc w:val="both"/>
        <w:textAlignment w:val="auto"/>
        <w:outlineLvl w:val="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实施效益</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社会效益指标：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指标1：提升新疆专业技术人才储备，指标值：有效提升，实际完成值：有效提升，指标完成率100%，无偏差。</w:t>
      </w:r>
    </w:p>
    <w:p>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643" w:firstLineChars="200"/>
        <w:jc w:val="both"/>
        <w:textAlignment w:val="auto"/>
        <w:outlineLvl w:val="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满意度</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指标1：考生满意度，指标值：≥95%，实际完成值：98%，指标完成率100%，无偏差。</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lang w:eastAsia="zh-Hans"/>
        </w:rPr>
      </w:pPr>
      <w:r>
        <w:rPr>
          <w:rFonts w:hint="eastAsia" w:ascii="黑体" w:hAnsi="黑体" w:eastAsia="黑体" w:cs="黑体"/>
          <w:bCs/>
          <w:sz w:val="32"/>
          <w:szCs w:val="32"/>
        </w:rPr>
        <w:t>五、</w:t>
      </w:r>
      <w:r>
        <w:rPr>
          <w:rFonts w:hint="eastAsia" w:ascii="黑体" w:hAnsi="黑体" w:eastAsia="黑体" w:cs="黑体"/>
          <w:bCs/>
          <w:sz w:val="32"/>
          <w:szCs w:val="32"/>
          <w:lang w:eastAsia="zh-Hans"/>
        </w:rPr>
        <w:t>预算执行进度与绩效指标总体完成率偏差</w:t>
      </w:r>
    </w:p>
    <w:p>
      <w:pPr>
        <w:pStyle w:val="19"/>
        <w:keepNext w:val="0"/>
        <w:keepLines w:val="0"/>
        <w:pageBreakBefore w:val="0"/>
        <w:kinsoku/>
        <w:wordWrap/>
        <w:overflowPunct/>
        <w:topLinePunct w:val="0"/>
        <w:autoSpaceDE/>
        <w:autoSpaceDN/>
        <w:bidi w:val="0"/>
        <w:adjustRightInd/>
        <w:snapToGrid/>
        <w:spacing w:line="560" w:lineRule="exact"/>
        <w:ind w:left="0" w:leftChars="0" w:firstLine="64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计算机技术与软件专业技术资格（水平）新疆区考试收费项目项目年初预算65万元，全年预算65万元，实际支出65万元，预算执行率为100%，项目绩效指标总体完成率为10</w:t>
      </w:r>
      <w:r>
        <w:rPr>
          <w:rFonts w:hint="eastAsia" w:eastAsia="仿宋_GB2312" w:cs="仿宋_GB2312"/>
          <w:sz w:val="32"/>
          <w:szCs w:val="32"/>
          <w:lang w:val="en-US" w:eastAsia="zh-CN"/>
        </w:rPr>
        <w:t>1.67</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Hans"/>
        </w:rPr>
        <w:t>总体</w:t>
      </w:r>
      <w:r>
        <w:rPr>
          <w:rFonts w:hint="eastAsia" w:ascii="Times New Roman" w:hAnsi="Times New Roman" w:eastAsia="仿宋_GB2312" w:cs="仿宋_GB2312"/>
          <w:sz w:val="32"/>
          <w:szCs w:val="32"/>
        </w:rPr>
        <w:t>偏差率为</w:t>
      </w:r>
      <w:r>
        <w:rPr>
          <w:rFonts w:hint="eastAsia" w:eastAsia="仿宋_GB2312" w:cs="仿宋_GB2312"/>
          <w:sz w:val="32"/>
          <w:szCs w:val="32"/>
          <w:lang w:val="en-US" w:eastAsia="zh-CN"/>
        </w:rPr>
        <w:t>1.67</w:t>
      </w:r>
      <w:r>
        <w:rPr>
          <w:rFonts w:hint="eastAsia" w:ascii="Times New Roman" w:hAnsi="Times New Roman"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六、主要经验及做法、存在的问题及原因分析</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（一）主要经验及做法</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为确保项目顺利进行，提前做好项目规划，将所列计划再三审核。在项目实施前，成立项目小组，认真履行好安全管理和安全保密责任，统筹做好考试组织实施工作，确保考试平稳、顺利、安全、公平、公正；制订详细、可行的考试工作方案、考务手册和突发事件应急预案，抓细抓实安全管理和组织实施工作。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（二）存在的问题及原因分析</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2.需加强规范考务组织。考务组织管理是一项重要的工作内容，考务组织的流程、工作人员和监考人员的综合能力和责任心的提高、考务管理制度的完善，能够为应试人员提供更加公平的考试环境以及考试平台。</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七、有关建议</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1.多进行有关绩效管理工作方面的培训。积极组织第三方开展绩效管理工作培训，进一步夯实业务基础，提高我单位绩效人员水平。</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2.专门设定对绩效工作人员定职、定岗、定责等相关制度措施，进一步提升我单位绩效管理工作业务水平，扎实做好绩效管理工作。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3.进一步规范项目建设的程序。项目前期做好可行性研究报告，更加细化实施方案，严格执行资金管理办法和财政资金管理制度，严格按照项目实施方案、招投标管理办法等稳步推进工作。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5.进一步加强对绩效管理工作的组织领导，提高对预算绩效管理工作重要性的认识，总结经验查找问题，抓紧研究制定更全面更完善的绩效评价管理办法。加大实施预算绩效管理和绩效管理工作的学习力度，让“花钱必问效，无效必问责”的理念深入工作每个环节。</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八、其他需要说</w:t>
      </w:r>
      <w:bookmarkStart w:id="0" w:name="page8"/>
      <w:bookmarkEnd w:id="0"/>
      <w:r>
        <w:rPr>
          <w:rFonts w:hint="eastAsia" w:ascii="黑体" w:hAnsi="黑体" w:eastAsia="黑体" w:cs="黑体"/>
          <w:bCs/>
          <w:sz w:val="32"/>
          <w:szCs w:val="32"/>
        </w:rPr>
        <w:t>明的问题</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cs="仿宋_GB2312"/>
          <w:bCs/>
          <w:sz w:val="32"/>
          <w:szCs w:val="32"/>
          <w:lang w:eastAsia="zh-Hans"/>
        </w:rPr>
        <w:t>本项目无其他需说明的问题。</w:t>
      </w:r>
    </w:p>
    <w:p>
      <w:pPr>
        <w:pStyle w:val="13"/>
        <w:spacing w:after="0" w:line="560" w:lineRule="exact"/>
        <w:ind w:left="0" w:leftChars="0" w:firstLine="640"/>
        <w:jc w:val="both"/>
        <w:rPr>
          <w:rFonts w:ascii="Times New Roman" w:hAnsi="Times New Roman" w:eastAsia="仿宋_GB2312"/>
          <w:sz w:val="32"/>
          <w:szCs w:val="32"/>
        </w:rPr>
      </w:pPr>
    </w:p>
    <w:p>
      <w:pPr>
        <w:pStyle w:val="13"/>
        <w:spacing w:after="0" w:line="560" w:lineRule="exact"/>
        <w:ind w:left="0" w:leftChars="0" w:firstLine="640"/>
        <w:jc w:val="both"/>
        <w:rPr>
          <w:rFonts w:ascii="Times New Roman" w:hAnsi="Times New Roman" w:eastAsia="仿宋_GB2312"/>
          <w:sz w:val="32"/>
          <w:szCs w:val="32"/>
        </w:rPr>
      </w:pPr>
    </w:p>
    <w:p>
      <w:pPr>
        <w:pStyle w:val="13"/>
        <w:spacing w:after="0" w:line="560" w:lineRule="exact"/>
        <w:ind w:left="0" w:leftChars="0" w:firstLine="0" w:firstLineChars="0"/>
        <w:jc w:val="both"/>
        <w:rPr>
          <w:rFonts w:ascii="Times New Roman" w:hAnsi="Times New Roman" w:eastAsia="仿宋_GB2312"/>
          <w:sz w:val="32"/>
          <w:szCs w:val="32"/>
        </w:rPr>
      </w:pPr>
    </w:p>
    <w:p>
      <w:pPr>
        <w:spacing w:line="600" w:lineRule="exact"/>
        <w:jc w:val="both"/>
        <w:rPr>
          <w:rFonts w:eastAsia="黑体"/>
          <w:sz w:val="32"/>
          <w:szCs w:val="32"/>
        </w:rPr>
        <w:sectPr>
          <w:footerReference r:id="rId3" w:type="default"/>
          <w:pgSz w:w="11906" w:h="16838"/>
          <w:pgMar w:top="2098" w:right="1474" w:bottom="1984" w:left="1587" w:header="851" w:footer="992" w:gutter="0"/>
          <w:pgNumType w:start="1"/>
          <w:cols w:space="425" w:num="1"/>
          <w:docGrid w:type="lines" w:linePitch="312" w:charSpace="0"/>
        </w:sectPr>
      </w:pPr>
    </w:p>
    <w:p>
      <w:pPr>
        <w:spacing w:line="600" w:lineRule="exact"/>
        <w:jc w:val="both"/>
        <w:rPr>
          <w:rFonts w:eastAsia="黑体"/>
          <w:sz w:val="32"/>
          <w:szCs w:val="32"/>
        </w:rPr>
      </w:pPr>
      <w:r>
        <w:rPr>
          <w:rFonts w:hint="eastAsia" w:eastAsia="黑体"/>
          <w:sz w:val="32"/>
          <w:szCs w:val="32"/>
        </w:rPr>
        <w:t>附件1</w:t>
      </w:r>
    </w:p>
    <w:p>
      <w:pPr>
        <w:pStyle w:val="19"/>
        <w:ind w:left="0" w:leftChars="0" w:firstLine="0" w:firstLineChars="0"/>
        <w:jc w:val="center"/>
        <w:rPr>
          <w:rFonts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计算机技术与软件专业技术资格（水平）新疆区考试收费项目绩效评价指标体系及综合评分表</w:t>
      </w:r>
      <w:bookmarkEnd w:id="1"/>
      <w:bookmarkEnd w:id="2"/>
    </w:p>
    <w:tbl>
      <w:tblPr>
        <w:tblStyle w:val="14"/>
        <w:tblW w:w="1417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6"/>
        <w:gridCol w:w="596"/>
        <w:gridCol w:w="661"/>
        <w:gridCol w:w="4407"/>
        <w:gridCol w:w="6986"/>
        <w:gridCol w:w="464"/>
        <w:gridCol w:w="4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一级指标</w:t>
            </w: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二级指标</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三级指标</w:t>
            </w:r>
          </w:p>
        </w:tc>
        <w:tc>
          <w:tcPr>
            <w:tcW w:w="4407"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指标解释</w:t>
            </w:r>
          </w:p>
        </w:tc>
        <w:tc>
          <w:tcPr>
            <w:tcW w:w="698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指标说明</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权重</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91" w:hRule="atLeast"/>
          <w:jc w:val="center"/>
        </w:trPr>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p>
            <w:pPr>
              <w:widowControl/>
              <w:spacing w:line="0" w:lineRule="atLeast"/>
              <w:jc w:val="both"/>
              <w:rPr>
                <w:rFonts w:hint="eastAsia" w:asciiTheme="minorEastAsia" w:hAnsiTheme="minorEastAsia" w:eastAsiaTheme="minorEastAsia" w:cstheme="minorEastAsia"/>
                <w:color w:val="000000"/>
                <w:kern w:val="0"/>
                <w:sz w:val="18"/>
                <w:szCs w:val="18"/>
              </w:rPr>
            </w:pPr>
          </w:p>
          <w:p>
            <w:pPr>
              <w:widowControl/>
              <w:spacing w:line="0" w:lineRule="atLeast"/>
              <w:jc w:val="both"/>
              <w:rPr>
                <w:rFonts w:hint="eastAsia" w:asciiTheme="minorEastAsia" w:hAnsiTheme="minorEastAsia" w:eastAsiaTheme="minorEastAsia" w:cstheme="minorEastAsia"/>
                <w:color w:val="000000"/>
                <w:kern w:val="0"/>
                <w:sz w:val="18"/>
                <w:szCs w:val="18"/>
              </w:rPr>
            </w:pPr>
          </w:p>
          <w:p>
            <w:pPr>
              <w:widowControl/>
              <w:spacing w:line="0" w:lineRule="atLeast"/>
              <w:jc w:val="both"/>
              <w:rPr>
                <w:rFonts w:hint="eastAsia" w:asciiTheme="minorEastAsia" w:hAnsiTheme="minorEastAsia" w:eastAsiaTheme="minorEastAsia" w:cstheme="minorEastAsia"/>
                <w:color w:val="000000"/>
                <w:kern w:val="0"/>
                <w:sz w:val="18"/>
                <w:szCs w:val="18"/>
              </w:rPr>
            </w:pPr>
          </w:p>
          <w:p>
            <w:pPr>
              <w:widowControl/>
              <w:spacing w:line="0" w:lineRule="atLeast"/>
              <w:jc w:val="both"/>
              <w:rPr>
                <w:rFonts w:hint="eastAsia" w:asciiTheme="minorEastAsia" w:hAnsiTheme="minorEastAsia" w:eastAsiaTheme="minorEastAsia" w:cstheme="minorEastAsia"/>
                <w:color w:val="000000"/>
                <w:kern w:val="0"/>
                <w:sz w:val="18"/>
                <w:szCs w:val="18"/>
              </w:rPr>
            </w:pPr>
          </w:p>
          <w:p>
            <w:pPr>
              <w:widowControl/>
              <w:spacing w:line="0" w:lineRule="atLeast"/>
              <w:jc w:val="both"/>
              <w:rPr>
                <w:rFonts w:hint="eastAsia" w:asciiTheme="minorEastAsia" w:hAnsiTheme="minorEastAsia" w:eastAsiaTheme="minorEastAsia" w:cstheme="minorEastAsia"/>
                <w:color w:val="000000"/>
                <w:kern w:val="0"/>
                <w:sz w:val="18"/>
                <w:szCs w:val="18"/>
              </w:rPr>
            </w:pP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决策　</w:t>
            </w:r>
          </w:p>
        </w:tc>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项目立项　</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立项依据</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充分性</w:t>
            </w:r>
          </w:p>
        </w:tc>
        <w:tc>
          <w:tcPr>
            <w:tcW w:w="4407"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项目立项是否符合法律法规、相关政策、发展规划以及部门职责，用以反映和考核项目立项依据情况。</w:t>
            </w:r>
          </w:p>
        </w:tc>
        <w:tc>
          <w:tcPr>
            <w:tcW w:w="698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①项目立项是否符合国家法律法规、国民经济发展规划和相关政策；</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②项目立项是否符合行业发展规划和政策要求；</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③项目立项是否与部门职责范围相符，属于部门履职所需；</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④项目是否属于公共财政支持范围，是否符合中央、地方事权支出责任划分原则；</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⑤项目是否与相关部门同类项目或部门内部相关项目重复。</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67" w:hRule="atLeast"/>
          <w:jc w:val="center"/>
        </w:trPr>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立项程序</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规范性</w:t>
            </w:r>
          </w:p>
        </w:tc>
        <w:tc>
          <w:tcPr>
            <w:tcW w:w="4407"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项目申请、设立过程是否符合相关要求，用以反映和考核项目立项的规范情况。</w:t>
            </w:r>
          </w:p>
        </w:tc>
        <w:tc>
          <w:tcPr>
            <w:tcW w:w="698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①项目是否按照规定的程序申请设立；</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②审批文件、材料是否符合相关要求；</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③事前是否已经过必要的可行性研究、专家论证、风险评估、绩效评估、集体决策。</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67" w:hRule="atLeast"/>
          <w:jc w:val="center"/>
        </w:trPr>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绩效目标　</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绩效目标</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合理性</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项目所设定的绩效目标是否依据充分，是否符合客观实际，用以反映和考核项目绩效目标与项目实施的相符情况。</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（如未设定预算绩效目标，也可考核其他工作任务目标）</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①项目是否有绩效目标；</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②项目绩效目标与实际工作内容是否具有相关性；</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③项目预期产出效益和效果是否符合正常的业绩水平；</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④是否与预算确定的项目投资额或资金量相匹配。</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19" w:hRule="atLeast"/>
          <w:jc w:val="center"/>
        </w:trPr>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绩效指标</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明确性</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依据绩效目标设定的绩效指标是否清晰、细化、可衡量等，用以反映和考核项目绩效目标的明细化情况。</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①是否将项目绩效目标细化分解为具体的绩效指标；</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②是否通过清晰、可衡量的指标值予以体现；</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③是否与项目目标任务数或计划数相对应。</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85" w:hRule="atLeast"/>
          <w:jc w:val="center"/>
        </w:trPr>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资金投入</w:t>
            </w:r>
          </w:p>
          <w:p>
            <w:pPr>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预算编制</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科学性</w:t>
            </w:r>
          </w:p>
        </w:tc>
        <w:tc>
          <w:tcPr>
            <w:tcW w:w="4407"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项目预算编制是否经过科学论证、有明确标准，资金额度与年度目标是否相适应，用以反映和考核项目预算编制的科学性、合理性情况。</w:t>
            </w:r>
          </w:p>
        </w:tc>
        <w:tc>
          <w:tcPr>
            <w:tcW w:w="698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①预算编制是否经过科学论证；</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②预算内容与项目内容是否匹配；</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③预算额度测算依据是否充分，是否按照标准编制；</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④预算确定的项目投资额或资金量是否与工作任务相匹配。</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86" w:hRule="atLeast"/>
          <w:jc w:val="center"/>
        </w:trPr>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资金分配</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合理性</w:t>
            </w:r>
          </w:p>
        </w:tc>
        <w:tc>
          <w:tcPr>
            <w:tcW w:w="4407"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项目预算资金分配是否有测算依据，与补助单位或地方实际是否相适应，用以反映和考核项目预算资金分配的科学性、合理性情况。</w:t>
            </w:r>
          </w:p>
        </w:tc>
        <w:tc>
          <w:tcPr>
            <w:tcW w:w="698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①预算资金分配依据是否充分；</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②资金分配额度是否合理，与项目单位或地方实际是否相适应。</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37" w:hRule="atLeast"/>
          <w:jc w:val="center"/>
        </w:trPr>
        <w:tc>
          <w:tcPr>
            <w:tcW w:w="596" w:type="dxa"/>
            <w:vMerge w:val="restart"/>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p>
          <w:p>
            <w:pPr>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过程</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w:t>
            </w:r>
          </w:p>
        </w:tc>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资金到位率</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实际到位资金与预算资金的比率，用以反映和考核资金落实情况对项目实施的总体保障程度。</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资金到位率=（实际到位资金/预算资金）×100%。</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实际到位资金：一定时期（本年度或项目期）内落实到具体项目的资金。</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预算资金：一定时期（本年度或项目期）内预算安排到具体项目的资金。</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3" w:hRule="atLeast"/>
          <w:jc w:val="center"/>
        </w:trPr>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预算执行率</w:t>
            </w:r>
          </w:p>
        </w:tc>
        <w:tc>
          <w:tcPr>
            <w:tcW w:w="4407"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项目预算资金是否按照计划执行，用以反映或考核项目预算执行情况。</w:t>
            </w:r>
          </w:p>
        </w:tc>
        <w:tc>
          <w:tcPr>
            <w:tcW w:w="698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预算执行率=（实际支出资金/实际到位资金）×100%。</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实际支出资金：一定时期（本年度或项目期）内项目实际拨付的资金。</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59" w:hRule="atLeast"/>
          <w:jc w:val="center"/>
        </w:trPr>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59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资金使用</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合规性</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项目资金使用是否符合相关的财务管理制度规定，用以反映和考核项目资金的规范运行情况。</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①是否符合国家财经法规和财务管理制度以及有关专项资金管理办法的规定；</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②资金的拨付是否有完整的审批程序和手续；</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③是否符合项目预算批复或合同规定的用途；</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④是否存在截留、挤占、挪用、虚列支出等情况。</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40" w:hRule="atLeast"/>
          <w:jc w:val="center"/>
        </w:trPr>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组织实施</w:t>
            </w:r>
          </w:p>
          <w:p>
            <w:pPr>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管理制度</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健全性</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项目实施单位的财务和业务管理制度是否健全，用以反映和考核财务和业务管理制度对项目顺利实施的保障情况。</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①是否已制定或具有相应的财务和业务管理制度；</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②财务和业务管理制度是否合法、合规、完整。</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11" w:hRule="atLeast"/>
          <w:jc w:val="center"/>
        </w:trPr>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制度执行</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有效性</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项目实施是否符合相关管理规定，用以反映和考核相关管理制度的有效执行情况。</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评价要点：</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①是否遵守相关法律法规和相关管理规定；</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②项目调整及支出调整手续是否完备；</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③项目合同书、验收报告、技术鉴定等资料是否齐全并及时归档；</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④项目实施的人员条件、场地设备、信息支撑等是否落实到位。</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88" w:hRule="atLeast"/>
          <w:jc w:val="center"/>
        </w:trPr>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w:t>
            </w:r>
          </w:p>
        </w:tc>
        <w:tc>
          <w:tcPr>
            <w:tcW w:w="59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产出数量</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实际完成率</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项目实施的实际产出数与计划产出数的比率，用以反映和考核项目产出数量目标的实现程度。</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实际完成率=（实际产出数/计划产出数）×100%。</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实际产出数：一定时期（本年度或项目期）内项目实际产出的产品或提供的服务数量。</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计划产出数：项目绩效目标确定的在一定时期（本年度或项目期）内计划产出的产品或提供的服务数量。</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27" w:hRule="atLeast"/>
          <w:jc w:val="center"/>
        </w:trPr>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59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产出质量</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质量达标率</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项目完成的质量达标产出数与实际产出数的比率，用以反映和考核项目产出质量目标的实现程度。</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质量达标率=（质量达标产出数/实际产出数）×100%。</w:t>
            </w:r>
          </w:p>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86" w:hRule="atLeast"/>
          <w:jc w:val="center"/>
        </w:trPr>
        <w:tc>
          <w:tcPr>
            <w:tcW w:w="596" w:type="dxa"/>
            <w:vMerge w:val="continue"/>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p>
        </w:tc>
        <w:tc>
          <w:tcPr>
            <w:tcW w:w="596" w:type="dxa"/>
            <w:shd w:val="clear" w:color="auto" w:fill="FFFFFF"/>
            <w:vAlign w:val="center"/>
          </w:tcPr>
          <w:p>
            <w:pPr>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产出时效</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完成及时性</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项目实际完成时间与计划完成时间的比较，用以反映和考核项目产出时效目标的实现程度。</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实际完成时间：项目实施单位完成该项目实际所耗用的时间。</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计划完成时间：按照项目实施计划或相关规定完成该项目所需的时间。</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16" w:hRule="atLeast"/>
          <w:jc w:val="center"/>
        </w:trPr>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59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产出成本</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成本节约率</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完成项目计划工作目标的实际节约成本与计划成本的比率，用以反映和考核项目的成本节约程度。</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成本节约率=[（计划成本-实际成本）/计划成本]×100%。</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实际成本：项目实施单位如期、保质、保量完成既定工作目标实际所耗费的支出。</w:t>
            </w:r>
            <w:r>
              <w:rPr>
                <w:rFonts w:hint="eastAsia" w:asciiTheme="minorEastAsia" w:hAnsiTheme="minorEastAsia" w:eastAsiaTheme="minorEastAsia" w:cstheme="minorEastAsia"/>
                <w:color w:val="000000"/>
                <w:kern w:val="0"/>
                <w:sz w:val="18"/>
                <w:szCs w:val="18"/>
              </w:rPr>
              <w:br w:type="textWrapping"/>
            </w:r>
            <w:r>
              <w:rPr>
                <w:rFonts w:hint="eastAsia" w:asciiTheme="minorEastAsia" w:hAnsiTheme="minorEastAsia" w:eastAsiaTheme="minorEastAsia" w:cstheme="minorEastAsia"/>
                <w:color w:val="000000"/>
                <w:kern w:val="0"/>
                <w:sz w:val="18"/>
                <w:szCs w:val="18"/>
              </w:rPr>
              <w:t>计划成本：项目实施单位为完成工作目标计划安排的支出，一般以项目预算为参考。</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62" w:hRule="atLeast"/>
          <w:jc w:val="center"/>
        </w:trPr>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效益　</w:t>
            </w:r>
          </w:p>
        </w:tc>
        <w:tc>
          <w:tcPr>
            <w:tcW w:w="596" w:type="dxa"/>
            <w:vMerge w:val="restart"/>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项目效益　</w:t>
            </w: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实施效益</w:t>
            </w:r>
          </w:p>
        </w:tc>
        <w:tc>
          <w:tcPr>
            <w:tcW w:w="4407"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项目实施所产生的效益。</w:t>
            </w:r>
          </w:p>
        </w:tc>
        <w:tc>
          <w:tcPr>
            <w:tcW w:w="6986"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项目实施所产生的社会效益、经济效益、生态效益、可持续影响等。可根据项目实际情况有选择地设置和细化。</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c>
          <w:tcPr>
            <w:tcW w:w="464" w:type="dxa"/>
            <w:shd w:val="clear" w:color="auto"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25" w:hRule="atLeast"/>
          <w:jc w:val="center"/>
        </w:trPr>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596" w:type="dxa"/>
            <w:vMerge w:val="continue"/>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p>
        </w:tc>
        <w:tc>
          <w:tcPr>
            <w:tcW w:w="661" w:type="dxa"/>
            <w:shd w:val="clear" w:color="auto"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满意度</w:t>
            </w:r>
          </w:p>
        </w:tc>
        <w:tc>
          <w:tcPr>
            <w:tcW w:w="4407"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社会公众或服务对象对项目实施效果的满意程度。</w:t>
            </w:r>
          </w:p>
        </w:tc>
        <w:tc>
          <w:tcPr>
            <w:tcW w:w="6986" w:type="dxa"/>
            <w:shd w:val="clear" w:color="000000" w:fill="FFFFFF"/>
            <w:vAlign w:val="center"/>
          </w:tcPr>
          <w:p>
            <w:pPr>
              <w:widowControl/>
              <w:spacing w:line="0" w:lineRule="atLeast"/>
              <w:jc w:val="both"/>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社会公众或服务对象是指因该项目实施而受到影响的部门（单位）、群体或个人。一般采取社会调查的方式。</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c>
          <w:tcPr>
            <w:tcW w:w="464" w:type="dxa"/>
            <w:shd w:val="clear" w:color="000000" w:fill="FFFFFF"/>
            <w:vAlign w:val="center"/>
          </w:tcPr>
          <w:p>
            <w:pPr>
              <w:widowControl/>
              <w:spacing w:line="0" w:lineRule="atLeast"/>
              <w:jc w:val="both"/>
              <w:rPr>
                <w:rFonts w:hint="eastAsia" w:asciiTheme="minorEastAsia" w:hAnsiTheme="minorEastAsia" w:eastAsiaTheme="minorEastAsia" w:cstheme="minorEastAsia"/>
                <w:b/>
                <w:bCs/>
                <w:color w:val="000000"/>
                <w:kern w:val="0"/>
                <w:sz w:val="18"/>
                <w:szCs w:val="18"/>
              </w:rPr>
            </w:pPr>
            <w:r>
              <w:rPr>
                <w:rFonts w:hint="eastAsia" w:asciiTheme="minorEastAsia" w:hAnsiTheme="minorEastAsia" w:eastAsiaTheme="minorEastAsia" w:cstheme="minorEastAsia"/>
                <w:b/>
                <w:bCs/>
                <w:color w:val="000000"/>
                <w:kern w:val="0"/>
                <w:sz w:val="18"/>
                <w:szCs w:val="18"/>
              </w:rPr>
              <w:t>10</w:t>
            </w:r>
          </w:p>
        </w:tc>
      </w:tr>
    </w:tbl>
    <w:p>
      <w:pPr>
        <w:jc w:val="both"/>
        <w:sectPr>
          <w:pgSz w:w="16838" w:h="11906" w:orient="landscape"/>
          <w:pgMar w:top="1800" w:right="1440" w:bottom="1558" w:left="1440" w:header="851" w:footer="992" w:gutter="0"/>
          <w:cols w:space="425" w:num="1"/>
          <w:docGrid w:type="lines" w:linePitch="312" w:charSpace="0"/>
        </w:sectPr>
      </w:pPr>
    </w:p>
    <w:p>
      <w:pPr>
        <w:spacing w:line="240" w:lineRule="atLeast"/>
        <w:jc w:val="both"/>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bidi="ar"/>
        </w:rPr>
        <w:t>附件2</w:t>
      </w:r>
    </w:p>
    <w:p>
      <w:pPr>
        <w:spacing w:line="240" w:lineRule="atLeast"/>
        <w:jc w:val="center"/>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项目支出绩效自评表</w:t>
      </w:r>
    </w:p>
    <w:p>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 2024年度）</w:t>
      </w:r>
    </w:p>
    <w:tbl>
      <w:tblPr>
        <w:tblStyle w:val="14"/>
        <w:tblW w:w="14163" w:type="dxa"/>
        <w:tblInd w:w="0" w:type="dxa"/>
        <w:tblLayout w:type="fixed"/>
        <w:tblCellMar>
          <w:top w:w="0" w:type="dxa"/>
          <w:left w:w="108" w:type="dxa"/>
          <w:bottom w:w="0" w:type="dxa"/>
          <w:right w:w="108" w:type="dxa"/>
        </w:tblCellMar>
      </w:tblPr>
      <w:tblGrid>
        <w:gridCol w:w="563"/>
        <w:gridCol w:w="829"/>
        <w:gridCol w:w="1043"/>
        <w:gridCol w:w="1380"/>
        <w:gridCol w:w="1057"/>
        <w:gridCol w:w="1196"/>
        <w:gridCol w:w="1116"/>
        <w:gridCol w:w="717"/>
        <w:gridCol w:w="915"/>
        <w:gridCol w:w="1037"/>
        <w:gridCol w:w="1091"/>
        <w:gridCol w:w="1006"/>
        <w:gridCol w:w="731"/>
        <w:gridCol w:w="1482"/>
      </w:tblGrid>
      <w:tr>
        <w:tblPrEx>
          <w:tblLayout w:type="fixed"/>
          <w:tblCellMar>
            <w:top w:w="0" w:type="dxa"/>
            <w:left w:w="108" w:type="dxa"/>
            <w:bottom w:w="0" w:type="dxa"/>
            <w:right w:w="108" w:type="dxa"/>
          </w:tblCellMar>
        </w:tblPrEx>
        <w:trPr>
          <w:trHeight w:val="379" w:hRule="atLeast"/>
        </w:trPr>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127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计算机技术与软件专业技术资格（水平）新疆区考试收费项目</w:t>
            </w:r>
          </w:p>
        </w:tc>
      </w:tr>
      <w:tr>
        <w:tblPrEx>
          <w:tblLayout w:type="fixed"/>
          <w:tblCellMar>
            <w:top w:w="0" w:type="dxa"/>
            <w:left w:w="108" w:type="dxa"/>
            <w:bottom w:w="0" w:type="dxa"/>
            <w:right w:w="108" w:type="dxa"/>
          </w:tblCellMar>
        </w:tblPrEx>
        <w:trPr>
          <w:trHeight w:val="779" w:hRule="atLeast"/>
        </w:trPr>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主管部门</w:t>
            </w:r>
          </w:p>
        </w:tc>
        <w:tc>
          <w:tcPr>
            <w:tcW w:w="57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新疆维吾尔自治区工业和信息化厅</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实施单位</w:t>
            </w:r>
          </w:p>
        </w:tc>
        <w:tc>
          <w:tcPr>
            <w:tcW w:w="53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新疆维吾尔自治区工业和信息化培训中心（自治区计算机培训中心）</w:t>
            </w:r>
          </w:p>
        </w:tc>
      </w:tr>
      <w:tr>
        <w:tblPrEx>
          <w:tblLayout w:type="fixed"/>
          <w:tblCellMar>
            <w:top w:w="0" w:type="dxa"/>
            <w:left w:w="108" w:type="dxa"/>
            <w:bottom w:w="0" w:type="dxa"/>
            <w:right w:w="108" w:type="dxa"/>
          </w:tblCellMar>
        </w:tblPrEx>
        <w:trPr>
          <w:trHeight w:val="379" w:hRule="atLeast"/>
        </w:trPr>
        <w:tc>
          <w:tcPr>
            <w:tcW w:w="13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w:t>
            </w:r>
            <w:r>
              <w:rPr>
                <w:rFonts w:hint="eastAsia" w:ascii="宋体" w:hAnsi="宋体" w:cs="宋体"/>
                <w:b/>
                <w:bCs/>
                <w:color w:val="000000"/>
                <w:kern w:val="0"/>
                <w:sz w:val="18"/>
                <w:szCs w:val="18"/>
                <w:lang w:bidi="ar"/>
              </w:rPr>
              <w:br w:type="textWrapping"/>
            </w:r>
            <w:r>
              <w:rPr>
                <w:rFonts w:hint="eastAsia" w:ascii="宋体" w:hAnsi="宋体" w:cs="宋体"/>
                <w:b/>
                <w:bCs/>
                <w:color w:val="000000"/>
                <w:kern w:val="0"/>
                <w:sz w:val="18"/>
                <w:szCs w:val="18"/>
                <w:lang w:bidi="ar"/>
              </w:rPr>
              <w:t>（万元）</w:t>
            </w: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年初预算数</w:t>
            </w:r>
          </w:p>
        </w:tc>
        <w:tc>
          <w:tcPr>
            <w:tcW w:w="2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全年预算数</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全年执行数</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分值</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执行率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得分</w:t>
            </w:r>
          </w:p>
        </w:tc>
      </w:tr>
      <w:tr>
        <w:tblPrEx>
          <w:tblLayout w:type="fixed"/>
          <w:tblCellMar>
            <w:top w:w="0" w:type="dxa"/>
            <w:left w:w="108" w:type="dxa"/>
            <w:bottom w:w="0" w:type="dxa"/>
            <w:right w:w="108" w:type="dxa"/>
          </w:tblCellMar>
        </w:tblPrEx>
        <w:trPr>
          <w:trHeight w:val="379" w:hRule="atLeast"/>
        </w:trPr>
        <w:tc>
          <w:tcPr>
            <w:tcW w:w="13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年度资金总额</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65.00</w:t>
            </w:r>
          </w:p>
        </w:tc>
        <w:tc>
          <w:tcPr>
            <w:tcW w:w="2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65.00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65.00</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10.00分</w:t>
            </w:r>
          </w:p>
        </w:tc>
      </w:tr>
      <w:tr>
        <w:tblPrEx>
          <w:tblLayout w:type="fixed"/>
          <w:tblCellMar>
            <w:top w:w="0" w:type="dxa"/>
            <w:left w:w="108" w:type="dxa"/>
            <w:bottom w:w="0" w:type="dxa"/>
            <w:right w:w="108" w:type="dxa"/>
          </w:tblCellMar>
        </w:tblPrEx>
        <w:trPr>
          <w:trHeight w:val="379" w:hRule="atLeast"/>
        </w:trPr>
        <w:tc>
          <w:tcPr>
            <w:tcW w:w="13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其中：当年财政拨款</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65.00</w:t>
            </w:r>
          </w:p>
        </w:tc>
        <w:tc>
          <w:tcPr>
            <w:tcW w:w="2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65.00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65.00</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108" w:type="dxa"/>
            <w:bottom w:w="0" w:type="dxa"/>
            <w:right w:w="108" w:type="dxa"/>
          </w:tblCellMar>
        </w:tblPrEx>
        <w:trPr>
          <w:trHeight w:val="379" w:hRule="atLeast"/>
        </w:trPr>
        <w:tc>
          <w:tcPr>
            <w:tcW w:w="13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24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其他资金</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2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108" w:type="dxa"/>
            <w:bottom w:w="0" w:type="dxa"/>
            <w:right w:w="108" w:type="dxa"/>
          </w:tblCellMar>
        </w:tblPrEx>
        <w:trPr>
          <w:trHeight w:val="379" w:hRule="atLeast"/>
        </w:trPr>
        <w:tc>
          <w:tcPr>
            <w:tcW w:w="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年度总体目标</w:t>
            </w:r>
          </w:p>
        </w:tc>
        <w:tc>
          <w:tcPr>
            <w:tcW w:w="6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预期目标</w:t>
            </w:r>
          </w:p>
        </w:tc>
        <w:tc>
          <w:tcPr>
            <w:tcW w:w="697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实际完成情况</w:t>
            </w:r>
          </w:p>
        </w:tc>
      </w:tr>
      <w:tr>
        <w:tblPrEx>
          <w:tblLayout w:type="fixed"/>
          <w:tblCellMar>
            <w:top w:w="0" w:type="dxa"/>
            <w:left w:w="108" w:type="dxa"/>
            <w:bottom w:w="0" w:type="dxa"/>
            <w:right w:w="108" w:type="dxa"/>
          </w:tblCellMar>
        </w:tblPrEx>
        <w:trPr>
          <w:trHeight w:val="3368"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66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依据新发改收费[2017]1648关于全面实行收费单位收费情况统计报告和公示公告制度的通知，新发改规[2019]2号文，计算机技术与软件专业技术资格（水平）考试是由国家人力资源和社会保障部、工业和信息化部领导下的国家级专业技术考试。根据《全国计算机专业技术资格考试办公室关于2023年计算机技术与软件专业技术资格（水平）考试工作计划及有关事项的通知》计考办[2023]1号，2023年度上半年考试已完成，下半年考试正在执行中。2024年计算机技术与软件专业技术资格（水平）新疆区考试预计全年报考初级1000人、中级8970人、高级3800人，合计14500人，预计开考31340科次，考务费上缴国库168万元。严格落实预算项目资金，专款专用，按照预算批复项目执行。</w:t>
            </w:r>
          </w:p>
        </w:tc>
        <w:tc>
          <w:tcPr>
            <w:tcW w:w="697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18"/>
                <w:szCs w:val="18"/>
              </w:rPr>
            </w:pPr>
            <w:r>
              <w:rPr>
                <w:rFonts w:hint="eastAsia" w:ascii="宋体" w:hAnsi="宋体" w:cs="宋体"/>
                <w:color w:val="000000"/>
                <w:kern w:val="0"/>
                <w:sz w:val="18"/>
                <w:szCs w:val="18"/>
                <w:lang w:bidi="ar"/>
              </w:rPr>
              <w:t>依据新发改收费〔2017〕1648关于全面实行收费单位收费情况统计报告和公示公告制度的通知，新发改规〔2019〕2号文，计算机技术与软件专业技术资格（水平）考试是由国家人力资源和社会保障部、工业和信息化部领导下的国家级专业技术考试。2023年计算机技术与软件专业技术资格（水平）新疆区考试预计全年报考高级3462人，中级8635人，初级1240人，合计13337人，30136科次，考试上缴财政161.45万元。严格落实预算项目资金，专款专用，按照预算批复项目执行。</w:t>
            </w:r>
          </w:p>
        </w:tc>
      </w:tr>
      <w:tr>
        <w:tblPrEx>
          <w:tblLayout w:type="fixed"/>
          <w:tblCellMar>
            <w:top w:w="0" w:type="dxa"/>
            <w:left w:w="108" w:type="dxa"/>
            <w:bottom w:w="0" w:type="dxa"/>
            <w:right w:w="108" w:type="dxa"/>
          </w:tblCellMar>
        </w:tblPrEx>
        <w:trPr>
          <w:trHeight w:val="312" w:hRule="atLeast"/>
        </w:trPr>
        <w:tc>
          <w:tcPr>
            <w:tcW w:w="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0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权重</w:t>
            </w:r>
          </w:p>
        </w:tc>
        <w:tc>
          <w:tcPr>
            <w:tcW w:w="11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目标值</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业绩值</w:t>
            </w:r>
          </w:p>
        </w:tc>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完成率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指标得分</w:t>
            </w: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指标值设定依据</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上年完成情况</w:t>
            </w:r>
          </w:p>
        </w:tc>
        <w:tc>
          <w:tcPr>
            <w:tcW w:w="1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赋分规则</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c>
          <w:tcPr>
            <w:tcW w:w="14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偏差原因分析及改进措施</w:t>
            </w:r>
          </w:p>
        </w:tc>
      </w:tr>
      <w:tr>
        <w:tblPrEx>
          <w:tblLayout w:type="fixed"/>
          <w:tblCellMar>
            <w:top w:w="0" w:type="dxa"/>
            <w:left w:w="108" w:type="dxa"/>
            <w:bottom w:w="0" w:type="dxa"/>
            <w:right w:w="108" w:type="dxa"/>
          </w:tblCellMar>
        </w:tblPrEx>
        <w:trPr>
          <w:trHeight w:val="312"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0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1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r>
      <w:tr>
        <w:tblPrEx>
          <w:tblLayout w:type="fixed"/>
          <w:tblCellMar>
            <w:top w:w="0" w:type="dxa"/>
            <w:left w:w="108" w:type="dxa"/>
            <w:bottom w:w="0" w:type="dxa"/>
            <w:right w:w="108" w:type="dxa"/>
          </w:tblCellMar>
        </w:tblPrEx>
        <w:trPr>
          <w:trHeight w:val="379" w:hRule="atLeast"/>
        </w:trPr>
        <w:tc>
          <w:tcPr>
            <w:tcW w:w="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年度绩效指标完成情况</w:t>
            </w:r>
          </w:p>
        </w:tc>
        <w:tc>
          <w:tcPr>
            <w:tcW w:w="8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报考人数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&gt;=12600人</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=13337人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14250人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79"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缴费人数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&gt;=12600人</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=13337人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14250人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79"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考试场次</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&gt;=6批次</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=6批次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行业标准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79"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职业资格率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行业标准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79"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考试按期完成率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79"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提升新疆专业技术人才储备</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有效提升</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说明材料</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79" w:hRule="atLeast"/>
        </w:trPr>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考生满意度</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&gt;=95%</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=98%</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历史标准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79" w:hRule="atLeast"/>
        </w:trPr>
        <w:tc>
          <w:tcPr>
            <w:tcW w:w="3815" w:type="dxa"/>
            <w:gridSpan w:val="4"/>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总分</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196"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b/>
                <w:bCs/>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bl>
    <w:p>
      <w:pPr>
        <w:jc w:val="both"/>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14</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A8D888"/>
    <w:multiLevelType w:val="singleLevel"/>
    <w:tmpl w:val="B1A8D888"/>
    <w:lvl w:ilvl="0" w:tentative="0">
      <w:start w:val="2"/>
      <w:numFmt w:val="decimal"/>
      <w:suff w:val="space"/>
      <w:lvlText w:val="%1."/>
      <w:lvlJc w:val="left"/>
    </w:lvl>
  </w:abstractNum>
  <w:abstractNum w:abstractNumId="1">
    <w:nsid w:val="D68E4F25"/>
    <w:multiLevelType w:val="singleLevel"/>
    <w:tmpl w:val="D68E4F25"/>
    <w:lvl w:ilvl="0" w:tentative="0">
      <w:start w:val="2"/>
      <w:numFmt w:val="decimal"/>
      <w:suff w:val="space"/>
      <w:lvlText w:val="%1."/>
      <w:lvlJc w:val="left"/>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1AF5BEE4"/>
    <w:multiLevelType w:val="singleLevel"/>
    <w:tmpl w:val="1AF5BEE4"/>
    <w:lvl w:ilvl="0" w:tentative="0">
      <w:start w:val="2"/>
      <w:numFmt w:val="decimal"/>
      <w:suff w:val="space"/>
      <w:lvlText w:val="%1."/>
      <w:lvlJc w:val="left"/>
    </w:lvl>
  </w:abstractNum>
  <w:abstractNum w:abstractNumId="4">
    <w:nsid w:val="1F1F5B94"/>
    <w:multiLevelType w:val="singleLevel"/>
    <w:tmpl w:val="1F1F5B94"/>
    <w:lvl w:ilvl="0" w:tentative="0">
      <w:start w:val="1"/>
      <w:numFmt w:val="decimal"/>
      <w:suff w:val="space"/>
      <w:lvlText w:val="%1."/>
      <w:lvlJc w:val="left"/>
    </w:lvl>
  </w:abstractNum>
  <w:abstractNum w:abstractNumId="5">
    <w:nsid w:val="2847E2FF"/>
    <w:multiLevelType w:val="singleLevel"/>
    <w:tmpl w:val="2847E2FF"/>
    <w:lvl w:ilvl="0" w:tentative="0">
      <w:start w:val="1"/>
      <w:numFmt w:val="decimal"/>
      <w:suff w:val="space"/>
      <w:lvlText w:val="%1."/>
      <w:lvlJc w:val="left"/>
    </w:lvl>
  </w:abstractNum>
  <w:abstractNum w:abstractNumId="6">
    <w:nsid w:val="2E3F2B85"/>
    <w:multiLevelType w:val="singleLevel"/>
    <w:tmpl w:val="2E3F2B85"/>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0102F0"/>
    <w:rsid w:val="001748BD"/>
    <w:rsid w:val="00237581"/>
    <w:rsid w:val="002737C6"/>
    <w:rsid w:val="003B71CE"/>
    <w:rsid w:val="004968EF"/>
    <w:rsid w:val="004B4FE4"/>
    <w:rsid w:val="006F7242"/>
    <w:rsid w:val="007805BB"/>
    <w:rsid w:val="007B168A"/>
    <w:rsid w:val="008B2CFE"/>
    <w:rsid w:val="00A355DC"/>
    <w:rsid w:val="00C342EB"/>
    <w:rsid w:val="00C979AB"/>
    <w:rsid w:val="00CE0AE4"/>
    <w:rsid w:val="00E5003B"/>
    <w:rsid w:val="00E91A4C"/>
    <w:rsid w:val="00F00708"/>
    <w:rsid w:val="00F26FF6"/>
    <w:rsid w:val="00FE2BE0"/>
    <w:rsid w:val="01610122"/>
    <w:rsid w:val="02510197"/>
    <w:rsid w:val="03914CEF"/>
    <w:rsid w:val="03EC461B"/>
    <w:rsid w:val="07397B77"/>
    <w:rsid w:val="076369A2"/>
    <w:rsid w:val="0AD007F3"/>
    <w:rsid w:val="0B321F01"/>
    <w:rsid w:val="0C774C9E"/>
    <w:rsid w:val="0E3C619F"/>
    <w:rsid w:val="0FC1070A"/>
    <w:rsid w:val="11170296"/>
    <w:rsid w:val="13471461"/>
    <w:rsid w:val="13B90F01"/>
    <w:rsid w:val="13E07A9C"/>
    <w:rsid w:val="155E4C4D"/>
    <w:rsid w:val="157D3325"/>
    <w:rsid w:val="15EF0FCE"/>
    <w:rsid w:val="17462648"/>
    <w:rsid w:val="181066D2"/>
    <w:rsid w:val="18D936A0"/>
    <w:rsid w:val="1B5E7755"/>
    <w:rsid w:val="1C671E73"/>
    <w:rsid w:val="1D1125A5"/>
    <w:rsid w:val="1D322C47"/>
    <w:rsid w:val="1DA238FF"/>
    <w:rsid w:val="23616034"/>
    <w:rsid w:val="23D4607E"/>
    <w:rsid w:val="24480FA2"/>
    <w:rsid w:val="25227A45"/>
    <w:rsid w:val="252B1EB3"/>
    <w:rsid w:val="26AC3A6A"/>
    <w:rsid w:val="26E2325A"/>
    <w:rsid w:val="27533EE6"/>
    <w:rsid w:val="279270B3"/>
    <w:rsid w:val="281178FD"/>
    <w:rsid w:val="2B9D7E25"/>
    <w:rsid w:val="2C7C7A3B"/>
    <w:rsid w:val="2EFC0D68"/>
    <w:rsid w:val="2F364819"/>
    <w:rsid w:val="2FD63906"/>
    <w:rsid w:val="35725E7F"/>
    <w:rsid w:val="35EF74CF"/>
    <w:rsid w:val="371C2AF6"/>
    <w:rsid w:val="37215DAE"/>
    <w:rsid w:val="37DC3A83"/>
    <w:rsid w:val="385171D1"/>
    <w:rsid w:val="388E4356"/>
    <w:rsid w:val="38CA40DD"/>
    <w:rsid w:val="38E30E42"/>
    <w:rsid w:val="395F2B56"/>
    <w:rsid w:val="3BBA0580"/>
    <w:rsid w:val="3BECE841"/>
    <w:rsid w:val="3C620E29"/>
    <w:rsid w:val="3CDE204C"/>
    <w:rsid w:val="3D363C36"/>
    <w:rsid w:val="3E9C3F6D"/>
    <w:rsid w:val="3EED2A1A"/>
    <w:rsid w:val="3FF7797D"/>
    <w:rsid w:val="44564BBE"/>
    <w:rsid w:val="457C2FEA"/>
    <w:rsid w:val="46366A55"/>
    <w:rsid w:val="46690BD8"/>
    <w:rsid w:val="46970B84"/>
    <w:rsid w:val="47265B48"/>
    <w:rsid w:val="49F70BF1"/>
    <w:rsid w:val="4B4340EE"/>
    <w:rsid w:val="4BF06537"/>
    <w:rsid w:val="4D0258E3"/>
    <w:rsid w:val="4D44414D"/>
    <w:rsid w:val="4E467A51"/>
    <w:rsid w:val="503D507A"/>
    <w:rsid w:val="50CC06E1"/>
    <w:rsid w:val="51C67537"/>
    <w:rsid w:val="51FA74D0"/>
    <w:rsid w:val="52AA4A52"/>
    <w:rsid w:val="52BE22AC"/>
    <w:rsid w:val="55937A20"/>
    <w:rsid w:val="57562FB0"/>
    <w:rsid w:val="59943D66"/>
    <w:rsid w:val="599B3347"/>
    <w:rsid w:val="59E051FD"/>
    <w:rsid w:val="59E6355E"/>
    <w:rsid w:val="59E940B2"/>
    <w:rsid w:val="5A6C6A91"/>
    <w:rsid w:val="5B821531"/>
    <w:rsid w:val="5BAC183B"/>
    <w:rsid w:val="5BFF6039"/>
    <w:rsid w:val="5D76A616"/>
    <w:rsid w:val="5D7F20B9"/>
    <w:rsid w:val="5DAC7D0E"/>
    <w:rsid w:val="5E1216FE"/>
    <w:rsid w:val="5F763C40"/>
    <w:rsid w:val="5F98B5AF"/>
    <w:rsid w:val="5FFE8511"/>
    <w:rsid w:val="5FFEACE2"/>
    <w:rsid w:val="603E67DA"/>
    <w:rsid w:val="609D5BF6"/>
    <w:rsid w:val="61073070"/>
    <w:rsid w:val="61B9080E"/>
    <w:rsid w:val="61DF3FED"/>
    <w:rsid w:val="642B176B"/>
    <w:rsid w:val="643EE26D"/>
    <w:rsid w:val="65242442"/>
    <w:rsid w:val="656019A0"/>
    <w:rsid w:val="65F242EE"/>
    <w:rsid w:val="666845B1"/>
    <w:rsid w:val="666D7E19"/>
    <w:rsid w:val="68376930"/>
    <w:rsid w:val="68391325"/>
    <w:rsid w:val="68DB72BC"/>
    <w:rsid w:val="68F91E38"/>
    <w:rsid w:val="69767E03"/>
    <w:rsid w:val="6B3158B9"/>
    <w:rsid w:val="6BA02A3F"/>
    <w:rsid w:val="6C1E5A53"/>
    <w:rsid w:val="6DD20F3C"/>
    <w:rsid w:val="6E0C0963"/>
    <w:rsid w:val="6E600263"/>
    <w:rsid w:val="6F5C41AC"/>
    <w:rsid w:val="6FAF6C78"/>
    <w:rsid w:val="704C4F43"/>
    <w:rsid w:val="716167CC"/>
    <w:rsid w:val="718A7AD1"/>
    <w:rsid w:val="72A44BC2"/>
    <w:rsid w:val="7317C656"/>
    <w:rsid w:val="734ED73F"/>
    <w:rsid w:val="73C82B32"/>
    <w:rsid w:val="73F94DAE"/>
    <w:rsid w:val="74220495"/>
    <w:rsid w:val="747D1B6F"/>
    <w:rsid w:val="749E5641"/>
    <w:rsid w:val="75134475"/>
    <w:rsid w:val="76271066"/>
    <w:rsid w:val="77091498"/>
    <w:rsid w:val="776FF713"/>
    <w:rsid w:val="77CF6C45"/>
    <w:rsid w:val="77FD8BE9"/>
    <w:rsid w:val="78000AED"/>
    <w:rsid w:val="79A9BD3F"/>
    <w:rsid w:val="7A3D7DFA"/>
    <w:rsid w:val="7B776F12"/>
    <w:rsid w:val="7BFFFDD0"/>
    <w:rsid w:val="7C0E57A2"/>
    <w:rsid w:val="7C336E5F"/>
    <w:rsid w:val="7C7B1C48"/>
    <w:rsid w:val="7C8D4919"/>
    <w:rsid w:val="7D7A5F86"/>
    <w:rsid w:val="7E4B683A"/>
    <w:rsid w:val="7E5E656D"/>
    <w:rsid w:val="7E843AFA"/>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969</Words>
  <Characters>1001</Characters>
  <Lines>108</Lines>
  <Paragraphs>30</Paragraphs>
  <TotalTime>0</TotalTime>
  <ScaleCrop>false</ScaleCrop>
  <LinksUpToDate>false</LinksUpToDate>
  <CharactersWithSpaces>1002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cp:lastPrinted>2025-04-29T08:05:00Z</cp:lastPrinted>
  <dcterms:modified xsi:type="dcterms:W3CDTF">2025-08-27T04:33:44Z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76E7A95D620E4A8C8C38790223B98F97_13</vt:lpwstr>
  </property>
  <property fmtid="{D5CDD505-2E9C-101B-9397-08002B2CF9AE}" pid="4" name="KSOTemplateDocerSaveRecord">
    <vt:lpwstr>eyJoZGlkIjoiMzNiNGI2MGU3ZTBiNDlmYjExZDc5YzVmNjk5Y2MxNTQiLCJ1c2VySWQiOiIxMzUyMjgzNTc4In0=</vt:lpwstr>
  </property>
</Properties>
</file>