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宋体" w:eastAsia="宋体"/>
          <w:sz w:val="32"/>
          <w:szCs w:val="32"/>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jc w:val="center"/>
        <w:outlineLvl w:val="0"/>
        <w:rPr>
          <w:rFonts w:ascii="宋体" w:eastAsia="黑体"/>
          <w:sz w:val="44"/>
          <w:szCs w:val="44"/>
          <w:lang w:eastAsia="zh-CN"/>
        </w:rPr>
      </w:pPr>
      <w:r>
        <w:rPr>
          <w:rFonts w:ascii="宋体" w:eastAsia="黑体"/>
          <w:sz w:val="44"/>
          <w:szCs w:val="44"/>
          <w:lang w:eastAsia="zh-CN"/>
        </w:rPr>
        <w:t>新疆维吾尔自治区工业和信息化厅信息中心</w:t>
      </w:r>
    </w:p>
    <w:p>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pPr>
        <w:rPr>
          <w:lang w:eastAsia="zh-CN"/>
        </w:rPr>
      </w:pPr>
      <w:r>
        <w:rPr>
          <w:sz w:val="0"/>
          <w:szCs w:val="0"/>
          <w:lang w:eastAsia="zh-CN"/>
        </w:rPr>
        <w:br w:type="page"/>
      </w:r>
    </w:p>
    <w:p>
      <w:pPr>
        <w:spacing w:after="0" w:line="240" w:lineRule="auto"/>
        <w:jc w:val="center"/>
        <w:rPr>
          <w:rFonts w:ascii="黑体" w:eastAsia="黑体"/>
          <w:sz w:val="32"/>
          <w:szCs w:val="32"/>
          <w:lang w:eastAsia="zh-CN"/>
        </w:rPr>
      </w:pPr>
      <w:r>
        <w:rPr>
          <w:rFonts w:ascii="黑体" w:eastAsia="黑体"/>
          <w:b/>
          <w:sz w:val="32"/>
          <w:szCs w:val="32"/>
          <w:lang w:eastAsia="zh-CN"/>
        </w:rPr>
        <w:t>目录</w:t>
      </w:r>
    </w:p>
    <w:p>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第二部分部门决算情况说明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第三部分专业名词解释</w:t>
      </w:r>
    </w:p>
    <w:p>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第四部分部门决算报表（见附表）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pPr>
        <w:rPr>
          <w:lang w:eastAsia="zh-CN"/>
        </w:rPr>
      </w:pPr>
      <w:r>
        <w:rPr>
          <w:sz w:val="0"/>
          <w:szCs w:val="0"/>
          <w:lang w:eastAsia="zh-CN"/>
        </w:rPr>
        <w:br w:type="page"/>
      </w:r>
    </w:p>
    <w:p>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第一部分单位概况</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推进全区工信厅系统的信息化建设和工信厅网站运行维护管理工作；参与自治区企业信息化应用系统的建设和运行维护管理工作。</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新疆维吾尔自治区工业和信息化厅信息中心2024年度，实有人数22人，其中：在职人员11人，较上年无变化；离休人员1人，较上年无变化；退休人员10人，较上年无变化；</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新疆维吾尔自治区工业和信息化厅信息中心无下属预算单位，下设3个科室，分别是：综合科、应用服务部、网络技术部。</w:t>
      </w:r>
    </w:p>
    <w:p>
      <w:pPr>
        <w:rPr>
          <w:lang w:eastAsia="zh-CN"/>
        </w:rPr>
      </w:pPr>
      <w:r>
        <w:rPr>
          <w:sz w:val="0"/>
          <w:szCs w:val="0"/>
          <w:lang w:eastAsia="zh-CN"/>
        </w:rPr>
        <w:br w:type="page"/>
      </w:r>
    </w:p>
    <w:p>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第二部分部门决算情况说明</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2024年度收入总计350.14万元，其中：本年收入合计350.14万元，使用非财政拨款结余（含专用结余）0.00万元，年初结转和结余0.00万元。</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2024年度支出总计350.14万元，其中：本年支出合计350.14万元，结余分配0.00万元，年末结转和结余0.00万元。</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收入支出总体与上年相比，减少27.32万元，下降7.24%，主要原因是：根据工作实际</w:t>
      </w:r>
      <w:r>
        <w:rPr>
          <w:rFonts w:hint="eastAsia" w:ascii="仿宋_GB2312" w:eastAsia="仿宋_GB2312"/>
          <w:sz w:val="32"/>
          <w:szCs w:val="32"/>
          <w:lang w:eastAsia="zh-CN"/>
        </w:rPr>
        <w:t>，</w:t>
      </w:r>
      <w:r>
        <w:rPr>
          <w:rFonts w:ascii="仿宋_GB2312" w:eastAsia="仿宋_GB2312"/>
          <w:sz w:val="32"/>
          <w:szCs w:val="32"/>
          <w:lang w:eastAsia="zh-CN"/>
        </w:rPr>
        <w:t>未使用历年</w:t>
      </w:r>
      <w:r>
        <w:rPr>
          <w:rFonts w:hint="eastAsia" w:ascii="仿宋_GB2312" w:eastAsia="仿宋_GB2312"/>
          <w:sz w:val="32"/>
          <w:szCs w:val="32"/>
          <w:lang w:val="en-US" w:eastAsia="zh-CN"/>
        </w:rPr>
        <w:t>结转</w:t>
      </w:r>
      <w:r>
        <w:rPr>
          <w:rFonts w:ascii="仿宋_GB2312" w:eastAsia="仿宋_GB2312"/>
          <w:sz w:val="32"/>
          <w:szCs w:val="32"/>
          <w:lang w:eastAsia="zh-CN"/>
        </w:rPr>
        <w:t>结余安排项目支出，</w:t>
      </w:r>
      <w:r>
        <w:rPr>
          <w:rFonts w:hint="eastAsia" w:ascii="仿宋_GB2312" w:eastAsia="仿宋_GB2312"/>
          <w:sz w:val="32"/>
          <w:szCs w:val="32"/>
          <w:lang w:val="en-US" w:eastAsia="zh-CN"/>
        </w:rPr>
        <w:t>因此</w:t>
      </w:r>
      <w:r>
        <w:rPr>
          <w:rFonts w:ascii="仿宋_GB2312" w:eastAsia="仿宋_GB2312"/>
          <w:sz w:val="32"/>
          <w:szCs w:val="32"/>
          <w:lang w:eastAsia="zh-CN"/>
        </w:rPr>
        <w:t>较上年有所降低。</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本年收入350.14万元，其中：财政拨款收入349.90万元,占99.93%；上级补助收入0.00万元,占0.00%；事业收入0.00万元，占0.00%；经营收入0.00万元,占0.00%；附属单位上缴收入0.00万元，占0.00%；其他收入0.24万元，占0.07%。</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本年支出350.14万元，其中：基本支出280.21万元，占80.03%；项目支出69.93万元，占19.97%；上缴上级支出0.00万元，占0.00%；经营支出0.00万元，占0.00%；对附属单位补助支出0.00万元，占0.00%。</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2024年度财政拨款收入总计349.90万元，其中：年初财政拨款结转和结余0.00万元，本年财政拨款收入349.90万元。财政拨款支出总计349.90万元，其中：年末财政拨款结转和结余0.00万元，本年财政拨款支出349.90万元。</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财政拨款收入支出总体与上年相比，增加11.90万元，增长3.52%，主要原因是：一是2024年</w:t>
      </w:r>
      <w:r>
        <w:rPr>
          <w:rFonts w:hint="eastAsia" w:ascii="仿宋_GB2312" w:eastAsia="仿宋_GB2312"/>
          <w:sz w:val="32"/>
          <w:szCs w:val="32"/>
          <w:lang w:val="en-US" w:eastAsia="zh-CN"/>
        </w:rPr>
        <w:t>追加</w:t>
      </w:r>
      <w:r>
        <w:rPr>
          <w:rFonts w:ascii="仿宋_GB2312" w:eastAsia="仿宋_GB2312"/>
          <w:sz w:val="32"/>
          <w:szCs w:val="32"/>
          <w:highlight w:val="yellow"/>
          <w:lang w:eastAsia="zh-CN"/>
        </w:rPr>
        <w:t>基本</w:t>
      </w:r>
      <w:r>
        <w:rPr>
          <w:rFonts w:hint="eastAsia" w:ascii="仿宋_GB2312" w:eastAsia="仿宋_GB2312"/>
          <w:sz w:val="32"/>
          <w:szCs w:val="32"/>
          <w:highlight w:val="yellow"/>
          <w:lang w:val="en-US" w:eastAsia="zh-CN"/>
        </w:rPr>
        <w:t>支出人员经费</w:t>
      </w:r>
      <w:bookmarkStart w:id="0" w:name="_GoBack"/>
      <w:bookmarkEnd w:id="0"/>
      <w:r>
        <w:rPr>
          <w:rFonts w:hint="eastAsia" w:ascii="仿宋_GB2312" w:eastAsia="仿宋_GB2312"/>
          <w:sz w:val="32"/>
          <w:szCs w:val="32"/>
          <w:lang w:eastAsia="zh-CN"/>
        </w:rPr>
        <w:t>；</w:t>
      </w:r>
      <w:r>
        <w:rPr>
          <w:rFonts w:ascii="仿宋_GB2312" w:eastAsia="仿宋_GB2312"/>
          <w:sz w:val="32"/>
          <w:szCs w:val="32"/>
          <w:lang w:eastAsia="zh-CN"/>
        </w:rPr>
        <w:t>二是</w:t>
      </w:r>
      <w:r>
        <w:rPr>
          <w:rFonts w:hint="eastAsia" w:ascii="仿宋_GB2312" w:eastAsia="仿宋_GB2312"/>
          <w:sz w:val="32"/>
          <w:szCs w:val="32"/>
          <w:lang w:val="en-US" w:eastAsia="zh-CN"/>
        </w:rPr>
        <w:t>一般公共预算财政拨款</w:t>
      </w:r>
      <w:r>
        <w:rPr>
          <w:rFonts w:ascii="仿宋_GB2312" w:eastAsia="仿宋_GB2312"/>
          <w:sz w:val="32"/>
          <w:szCs w:val="32"/>
          <w:lang w:eastAsia="zh-CN"/>
        </w:rPr>
        <w:t>项目支出中</w:t>
      </w:r>
      <w:r>
        <w:rPr>
          <w:rFonts w:hint="eastAsia" w:ascii="仿宋_GB2312" w:eastAsia="仿宋_GB2312"/>
          <w:sz w:val="32"/>
          <w:szCs w:val="32"/>
          <w:lang w:eastAsia="zh-CN"/>
        </w:rPr>
        <w:t>，</w:t>
      </w:r>
      <w:r>
        <w:rPr>
          <w:rFonts w:ascii="仿宋_GB2312" w:eastAsia="仿宋_GB2312"/>
          <w:sz w:val="32"/>
          <w:szCs w:val="32"/>
          <w:lang w:eastAsia="zh-CN"/>
        </w:rPr>
        <w:t>网络运维专项事业费项目资金增加。与年初预算相比，年初预算数335.37万元，决算数349.90万元，预决算差异率4.33%，主要原因是：</w:t>
      </w:r>
      <w:r>
        <w:rPr>
          <w:rFonts w:ascii="仿宋_GB2312" w:eastAsia="仿宋_GB2312"/>
          <w:sz w:val="32"/>
          <w:szCs w:val="32"/>
          <w:highlight w:val="yellow"/>
          <w:lang w:eastAsia="zh-CN"/>
        </w:rPr>
        <w:t>一是追加</w:t>
      </w:r>
      <w:r>
        <w:rPr>
          <w:rFonts w:hint="eastAsia" w:ascii="仿宋_GB2312" w:eastAsia="仿宋_GB2312"/>
          <w:sz w:val="32"/>
          <w:szCs w:val="32"/>
          <w:highlight w:val="yellow"/>
          <w:lang w:val="en-US" w:eastAsia="zh-CN"/>
        </w:rPr>
        <w:t>人员经费</w:t>
      </w:r>
      <w:r>
        <w:rPr>
          <w:rFonts w:hint="eastAsia" w:ascii="仿宋_GB2312" w:eastAsia="仿宋_GB2312"/>
          <w:sz w:val="32"/>
          <w:szCs w:val="32"/>
          <w:lang w:eastAsia="zh-CN"/>
        </w:rPr>
        <w:t>；</w:t>
      </w:r>
      <w:r>
        <w:rPr>
          <w:rFonts w:hint="eastAsia" w:ascii="仿宋_GB2312" w:eastAsia="仿宋_GB2312"/>
          <w:sz w:val="32"/>
          <w:szCs w:val="32"/>
          <w:lang w:val="en-US" w:eastAsia="zh-CN"/>
        </w:rPr>
        <w:t>二</w:t>
      </w:r>
      <w:r>
        <w:rPr>
          <w:rFonts w:ascii="仿宋_GB2312" w:eastAsia="仿宋_GB2312"/>
          <w:sz w:val="32"/>
          <w:szCs w:val="32"/>
          <w:lang w:eastAsia="zh-CN"/>
        </w:rPr>
        <w:t>是追加安排新疆骨干人才研修学习项目。</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2024年度一般公共预算财政拨款支出349.90万元，占本年支出合计的99.93%。与上年相比，增加11.90万元，增长3.52%，主要原因是：一是2024年</w:t>
      </w:r>
      <w:r>
        <w:rPr>
          <w:rFonts w:hint="eastAsia" w:ascii="仿宋_GB2312" w:eastAsia="仿宋_GB2312"/>
          <w:sz w:val="32"/>
          <w:szCs w:val="32"/>
          <w:lang w:val="en-US" w:eastAsia="zh-CN"/>
        </w:rPr>
        <w:t>追加</w:t>
      </w:r>
      <w:r>
        <w:rPr>
          <w:rFonts w:ascii="仿宋_GB2312" w:eastAsia="仿宋_GB2312"/>
          <w:sz w:val="32"/>
          <w:szCs w:val="32"/>
          <w:highlight w:val="yellow"/>
          <w:lang w:eastAsia="zh-CN"/>
        </w:rPr>
        <w:t>基本</w:t>
      </w:r>
      <w:r>
        <w:rPr>
          <w:rFonts w:hint="eastAsia" w:ascii="仿宋_GB2312" w:eastAsia="仿宋_GB2312"/>
          <w:sz w:val="32"/>
          <w:szCs w:val="32"/>
          <w:highlight w:val="yellow"/>
          <w:lang w:val="en-US" w:eastAsia="zh-CN"/>
        </w:rPr>
        <w:t>支出人员经费</w:t>
      </w:r>
      <w:r>
        <w:rPr>
          <w:rFonts w:hint="eastAsia" w:ascii="仿宋_GB2312" w:eastAsia="仿宋_GB2312"/>
          <w:sz w:val="32"/>
          <w:szCs w:val="32"/>
          <w:lang w:eastAsia="zh-CN"/>
        </w:rPr>
        <w:t>；</w:t>
      </w:r>
      <w:r>
        <w:rPr>
          <w:rFonts w:ascii="仿宋_GB2312" w:eastAsia="仿宋_GB2312"/>
          <w:sz w:val="32"/>
          <w:szCs w:val="32"/>
          <w:lang w:eastAsia="zh-CN"/>
        </w:rPr>
        <w:t>二是项目支出中网络运维专项事业费项目资金增加。与年初预算相比，年初预算数335.37万元，决算数349.90万元，预决算差异率4.33%，主要原因是：一是追加</w:t>
      </w:r>
      <w:r>
        <w:rPr>
          <w:rFonts w:ascii="仿宋_GB2312" w:eastAsia="仿宋_GB2312"/>
          <w:sz w:val="32"/>
          <w:szCs w:val="32"/>
          <w:highlight w:val="yellow"/>
          <w:lang w:eastAsia="zh-CN"/>
        </w:rPr>
        <w:t>基本</w:t>
      </w:r>
      <w:r>
        <w:rPr>
          <w:rFonts w:hint="eastAsia" w:ascii="仿宋_GB2312" w:eastAsia="仿宋_GB2312"/>
          <w:sz w:val="32"/>
          <w:szCs w:val="32"/>
          <w:highlight w:val="yellow"/>
          <w:lang w:val="en-US" w:eastAsia="zh-CN"/>
        </w:rPr>
        <w:t>支出人员经费</w:t>
      </w:r>
      <w:r>
        <w:rPr>
          <w:rFonts w:hint="eastAsia" w:ascii="仿宋_GB2312" w:eastAsia="仿宋_GB2312"/>
          <w:sz w:val="32"/>
          <w:szCs w:val="32"/>
          <w:lang w:eastAsia="zh-CN"/>
        </w:rPr>
        <w:t>；</w:t>
      </w:r>
      <w:r>
        <w:rPr>
          <w:rFonts w:ascii="仿宋_GB2312" w:eastAsia="仿宋_GB2312"/>
          <w:sz w:val="32"/>
          <w:szCs w:val="32"/>
          <w:lang w:eastAsia="zh-CN"/>
        </w:rPr>
        <w:t>二是追加安排新疆骨干人才研修学习项目。</w:t>
      </w:r>
    </w:p>
    <w:p>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社会保障和就业支出（类）71.00万元，占20.29%。</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卫生健康支出（类）21.79万元，占6.23%。</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资源勘探工业信息等支出（类）238.97万元，占68.30%。</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住房保障支出（类）18.13万元，占5.18%。</w:t>
      </w:r>
    </w:p>
    <w:p>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1、社会保障和就业支出（类）行政事业单位养老支出（款）事业单位离退休（项）：支出决算数为47.28万元，比上年决算增加4.48万元，增长10.47%，主要原因是：退休人员</w:t>
      </w:r>
      <w:r>
        <w:rPr>
          <w:rFonts w:hint="eastAsia" w:ascii="仿宋_GB2312" w:eastAsia="仿宋_GB2312"/>
          <w:sz w:val="32"/>
          <w:szCs w:val="32"/>
          <w:lang w:val="en-US" w:eastAsia="zh-CN"/>
        </w:rPr>
        <w:t>待遇</w:t>
      </w:r>
      <w:r>
        <w:rPr>
          <w:rFonts w:ascii="仿宋_GB2312" w:eastAsia="仿宋_GB2312"/>
          <w:sz w:val="32"/>
          <w:szCs w:val="32"/>
          <w:lang w:eastAsia="zh-CN"/>
        </w:rPr>
        <w:t>调整。</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23.73万元，比上年决算增加1.50万元，增长6.75%，主要原因是：因基本工资调整，社保类缴费基数上调，因此相关支出较增加。</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3、卫生健康支出（类）行政事业单位医疗（款）事业单位医疗（项）：支出决算数为11.45万元，比上年决算减少1.08万元，下降8.62%，主要原因是：根据政策</w:t>
      </w:r>
      <w:r>
        <w:rPr>
          <w:rFonts w:hint="eastAsia" w:ascii="仿宋_GB2312" w:eastAsia="仿宋_GB2312"/>
          <w:sz w:val="32"/>
          <w:szCs w:val="32"/>
          <w:lang w:val="en-US" w:eastAsia="zh-CN"/>
        </w:rPr>
        <w:t>要求，</w:t>
      </w:r>
      <w:r>
        <w:rPr>
          <w:rFonts w:ascii="仿宋_GB2312" w:eastAsia="仿宋_GB2312"/>
          <w:sz w:val="32"/>
          <w:szCs w:val="32"/>
          <w:lang w:eastAsia="zh-CN"/>
        </w:rPr>
        <w:t>缴费比</w:t>
      </w:r>
      <w:r>
        <w:rPr>
          <w:rFonts w:hint="eastAsia" w:ascii="仿宋_GB2312" w:eastAsia="仿宋_GB2312"/>
          <w:sz w:val="32"/>
          <w:szCs w:val="32"/>
          <w:lang w:val="en-US" w:eastAsia="zh-CN"/>
        </w:rPr>
        <w:t>例</w:t>
      </w:r>
      <w:r>
        <w:rPr>
          <w:rFonts w:ascii="仿宋_GB2312" w:eastAsia="仿宋_GB2312"/>
          <w:sz w:val="32"/>
          <w:szCs w:val="32"/>
          <w:lang w:eastAsia="zh-CN"/>
        </w:rPr>
        <w:t>下调</w:t>
      </w:r>
      <w:r>
        <w:rPr>
          <w:rFonts w:hint="eastAsia" w:ascii="仿宋_GB2312" w:eastAsia="仿宋_GB2312"/>
          <w:sz w:val="32"/>
          <w:szCs w:val="32"/>
          <w:lang w:eastAsia="zh-CN"/>
        </w:rPr>
        <w:t>，</w:t>
      </w:r>
      <w:r>
        <w:rPr>
          <w:rFonts w:hint="eastAsia" w:ascii="仿宋_GB2312" w:eastAsia="仿宋_GB2312"/>
          <w:sz w:val="32"/>
          <w:szCs w:val="32"/>
          <w:lang w:val="en-US" w:eastAsia="zh-CN"/>
        </w:rPr>
        <w:t>因此</w:t>
      </w:r>
      <w:r>
        <w:rPr>
          <w:rFonts w:ascii="仿宋_GB2312" w:eastAsia="仿宋_GB2312"/>
          <w:sz w:val="32"/>
          <w:szCs w:val="32"/>
          <w:lang w:eastAsia="zh-CN"/>
        </w:rPr>
        <w:t>相关支出减少。</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4、卫生健康支出（类）行政事业单位医疗（款）公务员医疗补助（项）：支出决算数为10.34万元，比上年决算增加0.62万元，增长6.38%，主要原因是：基本工资调整，社保类缴费基数上调，因此相关支出增加。</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资源勘探工业信息等支出（类）工业和信息产业监管（款）一般行政管理事务（项）：支出决算数为7.00万元，比上年决算增加7.00万元，增长100.00%，主要原因是：根据工作安排，追加安排新疆骨干人才研修学习项目。</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6、资源勘探工业信息等支出（类）工业和信息产业监管（款）事业运行（项）：支出决算数为169.04万元，比上年决算增加0.39万元，增长0.23%，主要原因是：根据相关规定，基本工资上调。</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资源勘探工业信息等支出（类）工业和信息产业监管（款）其他工业和信息产业监管支出（项）：支出决算数为62.93万元，比上年决算减少1.47万元，下降2.28%，主要原因是：落实厉行节约要求，部分开支进行压减。</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8、住房保障支出（类）住房改革支出（款）住房公积金（项）：支出决算数为18.13万元，比上年决算增加0.46万元，增长2.60%，主要原因是：基本工资调整，</w:t>
      </w:r>
      <w:r>
        <w:rPr>
          <w:rFonts w:hint="eastAsia" w:ascii="仿宋_GB2312" w:eastAsia="仿宋_GB2312"/>
          <w:sz w:val="32"/>
          <w:szCs w:val="32"/>
          <w:lang w:val="en-US" w:eastAsia="zh-CN"/>
        </w:rPr>
        <w:t>住房公积金</w:t>
      </w:r>
      <w:r>
        <w:rPr>
          <w:rFonts w:ascii="仿宋_GB2312" w:eastAsia="仿宋_GB2312"/>
          <w:sz w:val="32"/>
          <w:szCs w:val="32"/>
          <w:lang w:eastAsia="zh-CN"/>
        </w:rPr>
        <w:t>缴费基数上调，因此相关支出增加。</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279.97万元，其中：人员经费268.33万元，包括：基本工资、津贴补贴、奖金、机关事业单位基本养老保险缴费、职工基本医疗保险缴费、公务员医疗补助缴费、其他社会保障缴费、住房公积金、离休费、退休费和其他对个人和家庭的补助。</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公用经费11.64万元，包括：办公费、邮电费、差旅费、培训费、工会经费、福利费和公务用车运行维护费。</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pPr>
        <w:spacing w:after="0" w:line="240" w:lineRule="auto"/>
        <w:ind w:firstLine="640" w:firstLineChars="200"/>
        <w:jc w:val="both"/>
        <w:rPr>
          <w:rFonts w:hint="default" w:ascii="仿宋_GB2312" w:eastAsia="仿宋_GB2312"/>
          <w:sz w:val="32"/>
          <w:szCs w:val="32"/>
          <w:lang w:val="en-US" w:eastAsia="zh-CN"/>
        </w:rPr>
      </w:pPr>
      <w:r>
        <w:rPr>
          <w:rFonts w:ascii="仿宋_GB2312" w:eastAsia="仿宋_GB2312"/>
          <w:sz w:val="32"/>
          <w:szCs w:val="32"/>
          <w:lang w:eastAsia="zh-CN"/>
        </w:rPr>
        <w:t>2024年度财政拨款</w:t>
      </w:r>
      <w:r>
        <w:rPr>
          <w:rFonts w:hint="eastAsia" w:ascii="仿宋_GB2312" w:eastAsia="仿宋_GB2312"/>
          <w:sz w:val="32"/>
          <w:szCs w:val="32"/>
          <w:lang w:eastAsia="zh-CN"/>
        </w:rPr>
        <w:t>“</w:t>
      </w:r>
      <w:r>
        <w:rPr>
          <w:rFonts w:ascii="仿宋_GB2312" w:eastAsia="仿宋_GB2312"/>
          <w:sz w:val="32"/>
          <w:szCs w:val="32"/>
          <w:lang w:eastAsia="zh-CN"/>
        </w:rPr>
        <w:t>三公</w:t>
      </w:r>
      <w:r>
        <w:rPr>
          <w:rFonts w:hint="eastAsia" w:ascii="仿宋_GB2312" w:eastAsia="仿宋_GB2312"/>
          <w:sz w:val="32"/>
          <w:szCs w:val="32"/>
          <w:lang w:eastAsia="zh-CN"/>
        </w:rPr>
        <w:t>”</w:t>
      </w:r>
      <w:r>
        <w:rPr>
          <w:rFonts w:ascii="仿宋_GB2312" w:eastAsia="仿宋_GB2312"/>
          <w:sz w:val="32"/>
          <w:szCs w:val="32"/>
          <w:lang w:eastAsia="zh-CN"/>
        </w:rPr>
        <w:t>经费支出0.69万元，比上年减少0.01万元，下降1.43%，主要原因是：根据预算安排，我单位大力压缩</w:t>
      </w:r>
      <w:r>
        <w:rPr>
          <w:rFonts w:hint="eastAsia" w:ascii="仿宋_GB2312" w:eastAsia="仿宋_GB2312"/>
          <w:sz w:val="32"/>
          <w:szCs w:val="32"/>
          <w:lang w:eastAsia="zh-CN"/>
        </w:rPr>
        <w:t>“</w:t>
      </w:r>
      <w:r>
        <w:rPr>
          <w:rFonts w:ascii="仿宋_GB2312" w:eastAsia="仿宋_GB2312"/>
          <w:sz w:val="32"/>
          <w:szCs w:val="32"/>
          <w:lang w:eastAsia="zh-CN"/>
        </w:rPr>
        <w:t>三公</w:t>
      </w:r>
      <w:r>
        <w:rPr>
          <w:rFonts w:hint="eastAsia" w:ascii="仿宋_GB2312" w:eastAsia="仿宋_GB2312"/>
          <w:sz w:val="32"/>
          <w:szCs w:val="32"/>
          <w:lang w:eastAsia="zh-CN"/>
        </w:rPr>
        <w:t>”</w:t>
      </w:r>
      <w:r>
        <w:rPr>
          <w:rFonts w:ascii="仿宋_GB2312" w:eastAsia="仿宋_GB2312"/>
          <w:sz w:val="32"/>
          <w:szCs w:val="32"/>
          <w:lang w:eastAsia="zh-CN"/>
        </w:rPr>
        <w:t>经费，严格按照预算执行。其中：因公出国（境）费支出0.00万元,占0.00%，与上年相比无变化，主要原因是：无相关出国业务；公务用车购置及运行维护费支出0.69万元，占100.00%，比上年减少0.01万元，下降1.43%，主要原因是：根据预算安排，我单位大力压缩</w:t>
      </w:r>
      <w:r>
        <w:rPr>
          <w:rFonts w:hint="eastAsia" w:ascii="仿宋_GB2312" w:eastAsia="仿宋_GB2312"/>
          <w:sz w:val="32"/>
          <w:szCs w:val="32"/>
          <w:lang w:eastAsia="zh-CN"/>
        </w:rPr>
        <w:t>“</w:t>
      </w:r>
      <w:r>
        <w:rPr>
          <w:rFonts w:ascii="仿宋_GB2312" w:eastAsia="仿宋_GB2312"/>
          <w:sz w:val="32"/>
          <w:szCs w:val="32"/>
          <w:lang w:eastAsia="zh-CN"/>
        </w:rPr>
        <w:t>三公</w:t>
      </w:r>
      <w:r>
        <w:rPr>
          <w:rFonts w:hint="eastAsia" w:ascii="仿宋_GB2312" w:eastAsia="仿宋_GB2312"/>
          <w:sz w:val="32"/>
          <w:szCs w:val="32"/>
          <w:lang w:eastAsia="zh-CN"/>
        </w:rPr>
        <w:t>”</w:t>
      </w:r>
      <w:r>
        <w:rPr>
          <w:rFonts w:ascii="仿宋_GB2312" w:eastAsia="仿宋_GB2312"/>
          <w:sz w:val="32"/>
          <w:szCs w:val="32"/>
          <w:lang w:eastAsia="zh-CN"/>
        </w:rPr>
        <w:t>经费，严格按照预算执行</w:t>
      </w:r>
      <w:r>
        <w:rPr>
          <w:rFonts w:hint="eastAsia" w:ascii="仿宋_GB2312" w:eastAsia="仿宋_GB2312"/>
          <w:sz w:val="32"/>
          <w:szCs w:val="32"/>
          <w:lang w:eastAsia="zh-CN"/>
        </w:rPr>
        <w:t>。</w:t>
      </w:r>
      <w:r>
        <w:rPr>
          <w:rFonts w:ascii="仿宋_GB2312" w:eastAsia="仿宋_GB2312"/>
          <w:sz w:val="32"/>
          <w:szCs w:val="32"/>
          <w:lang w:eastAsia="zh-CN"/>
        </w:rPr>
        <w:t>公务接待费支出0.00万元，占0.00%，与上年相比无变化，主要原因是：我单位未发生</w:t>
      </w:r>
      <w:r>
        <w:rPr>
          <w:rFonts w:hint="eastAsia" w:ascii="仿宋_GB2312" w:eastAsia="仿宋_GB2312"/>
          <w:sz w:val="32"/>
          <w:szCs w:val="32"/>
          <w:lang w:val="en-US" w:eastAsia="zh-CN"/>
        </w:rPr>
        <w:t>公务接待。</w:t>
      </w:r>
    </w:p>
    <w:p>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因公出国（境）费支出0.00万元，开支内容包括无因公出国（境）费。单位全年安排的因公出国（境）团组0个，因公出国（境）0人次。</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0.69万元，其中：公务用车购置费0.00万元，公务用车运行维护费0.69万元。公务用车运行维护费开支内容包括车辆保险、停车过路费、车辆加油、车辆维修等费用。公务用车购置数0辆，公务用车保有量1辆。国有资产占用情况中固定资产车辆1辆，与公务用车保有量差异原因是：我单位不存在差异。</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公务接待费0.00万元，开支内容包括无公务接待费。单位全年安排的国内公务接待0批次，0人次。</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0.69万元，决算数0.69万元，预决算差异率0.00%，主要原因是：严格按照预算安排执行。其中：因公出国（境）费全年预算数0.00万元，决算数0.00万元，预决算差异率0.00%，主要原因是：无相关出国（境）业务；公务用车购置费全年预算数0.00万元，决算数0.00万元，预决算差异率0.00%，主要原因是：</w:t>
      </w:r>
      <w:r>
        <w:rPr>
          <w:rFonts w:hint="eastAsia" w:ascii="仿宋_GB2312" w:eastAsia="仿宋_GB2312"/>
          <w:sz w:val="32"/>
          <w:szCs w:val="32"/>
          <w:lang w:val="en-US" w:eastAsia="zh-CN"/>
        </w:rPr>
        <w:t>无</w:t>
      </w:r>
      <w:r>
        <w:rPr>
          <w:rFonts w:ascii="仿宋_GB2312" w:eastAsia="仿宋_GB2312"/>
          <w:sz w:val="32"/>
          <w:szCs w:val="32"/>
          <w:lang w:eastAsia="zh-CN"/>
        </w:rPr>
        <w:t>公务用车购置费；公务用车运行维护费全年预算数0.69万元，决算数0.69万元，预决算差异率0.00%，主要原因是：严格按照预算安排执行；公务接待费全年预算数0.00万元，决算数0.00万元，预决算差异率0.00%，主要原因是：</w:t>
      </w:r>
      <w:r>
        <w:rPr>
          <w:rFonts w:hint="eastAsia" w:ascii="仿宋_GB2312" w:eastAsia="仿宋_GB2312"/>
          <w:sz w:val="32"/>
          <w:szCs w:val="32"/>
          <w:lang w:val="en-US" w:eastAsia="zh-CN"/>
        </w:rPr>
        <w:t>我单位无</w:t>
      </w:r>
      <w:r>
        <w:rPr>
          <w:rFonts w:ascii="仿宋_GB2312" w:eastAsia="仿宋_GB2312"/>
          <w:sz w:val="32"/>
          <w:szCs w:val="32"/>
          <w:lang w:eastAsia="zh-CN"/>
        </w:rPr>
        <w:t>公务接待费。</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新疆维吾尔自治区工业和信息化厅信息中心单位（事业单位）公用经费支出11.64万元，比上年增加0.43万元，增长3.84%，主要原因是：一是根据工作安排，差旅费支出有部分减少；二是人员工资增长导工会经费有所增长。</w:t>
      </w:r>
    </w:p>
    <w:p>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2024年度政府采购支出总额37.33万元，其中：政府采购货物支出1.00万元、政府采购工程支出0.00万元、政府采购服务支出36.33万元。</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授予中小企业合同金额36.63万元，占政府采购支出总额的98.12%，其中：授予小微企业合同金额34.11万元，占政府采购支出总额的91.37%。</w:t>
      </w:r>
    </w:p>
    <w:p>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截至2024年12月31日，房屋224.04平方米，价值21.76万元。</w:t>
      </w:r>
      <w:r>
        <w:rPr>
          <w:rFonts w:ascii="仿宋_GB2312" w:eastAsia="仿宋_GB2312"/>
          <w:sz w:val="32"/>
          <w:szCs w:val="32"/>
          <w:lang w:eastAsia="zh-CN"/>
        </w:rPr>
        <w:t>车辆1辆，价值26.03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根据预算绩效管理要求，我单位2024年度预算绩效评价项目</w:t>
      </w:r>
      <w:r>
        <w:rPr>
          <w:rFonts w:ascii="仿宋_GB2312" w:eastAsia="仿宋_GB2312"/>
          <w:sz w:val="32"/>
          <w:szCs w:val="32"/>
          <w:lang w:eastAsia="zh-CN"/>
        </w:rPr>
        <w:t>1个，全年预算数65.00万元，全年执行数62.93万元。预算绩效管理取得的成效：一是严格按照《会计法》《预算法》《采购法》等制度规定执行；二是不断修订完善内部控制制度,规范各项预算执行活动,严格执行《工信厅全面预算绩效管理办法》，实际执行中严格实施,有力保障了预算执行的准确性、规范性,发挥了财政资金的最大效用,取得了良好的绩效成果。发现的问题及原因：组织开展重点项目绩效评价工作时,项目采购、合同执行周期长，预算执行率低，致使项目绩效监控节点时，影响单位整体绩效评价总体分值。下一步改进措施：一是继续完善各项内控制度,加强制度落实,不断提高财政预算执行的准确性、规范性；二是按要求完成绩效目标,切实发挥好财政资金的效用。</w:t>
      </w:r>
      <w:r>
        <w:rPr>
          <w:rFonts w:hint="eastAsia" w:ascii="仿宋_GB2312" w:eastAsia="仿宋_GB2312"/>
          <w:sz w:val="32"/>
          <w:szCs w:val="32"/>
          <w:lang w:eastAsia="zh-CN"/>
        </w:rPr>
        <w:t>具体项目自评情况附绩效自评表及自评报告</w:t>
      </w:r>
      <w:r>
        <w:rPr>
          <w:rFonts w:ascii="仿宋_GB2312" w:eastAsia="仿宋_GB2312"/>
          <w:sz w:val="32"/>
          <w:szCs w:val="32"/>
          <w:lang w:eastAsia="zh-CN"/>
        </w:rPr>
        <w:t>。</w:t>
      </w:r>
    </w:p>
    <w:p>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pPr>
        <w:spacing w:after="0" w:line="240" w:lineRule="auto"/>
        <w:ind w:firstLine="640" w:firstLineChars="200"/>
        <w:rPr>
          <w:rFonts w:ascii="仿宋_GB2312" w:eastAsia="仿宋_GB2312"/>
          <w:sz w:val="32"/>
          <w:szCs w:val="32"/>
          <w:lang w:eastAsia="zh-CN"/>
        </w:rPr>
      </w:pPr>
    </w:p>
    <w:p>
      <w:pPr>
        <w:rPr>
          <w:lang w:eastAsia="zh-CN"/>
        </w:rPr>
      </w:pPr>
      <w:r>
        <w:rPr>
          <w:sz w:val="0"/>
          <w:szCs w:val="0"/>
          <w:lang w:eastAsia="zh-CN"/>
        </w:rPr>
        <w:br w:type="page"/>
      </w:r>
    </w:p>
    <w:p>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第三部分专业名词解释</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pPr>
        <w:rPr>
          <w:lang w:eastAsia="zh-CN"/>
        </w:rPr>
      </w:pPr>
      <w:r>
        <w:rPr>
          <w:sz w:val="0"/>
          <w:szCs w:val="0"/>
          <w:lang w:eastAsia="zh-CN"/>
        </w:rPr>
        <w:br w:type="page"/>
      </w:r>
    </w:p>
    <w:p>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第四部分部门决算报表（见附表）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Setting w:name="overrideTableStyleFontSizeAndJustification" w:uri="http://schemas.microsoft.com/office/word" w:val="1"/>
  </w:compat>
  <w:rsids>
    <w:rsidRoot w:val="00A7695F"/>
    <w:rsid w:val="007425CC"/>
    <w:rsid w:val="00A7695F"/>
    <w:rsid w:val="02880845"/>
    <w:rsid w:val="029D312D"/>
    <w:rsid w:val="04A54C98"/>
    <w:rsid w:val="059A2898"/>
    <w:rsid w:val="093A6B13"/>
    <w:rsid w:val="098E2891"/>
    <w:rsid w:val="0B1E40EA"/>
    <w:rsid w:val="0BC5584C"/>
    <w:rsid w:val="0C974CC3"/>
    <w:rsid w:val="0C9B3514"/>
    <w:rsid w:val="0E4E6379"/>
    <w:rsid w:val="0FEF16DE"/>
    <w:rsid w:val="16FA2E77"/>
    <w:rsid w:val="186F04A9"/>
    <w:rsid w:val="18B151E9"/>
    <w:rsid w:val="194A070C"/>
    <w:rsid w:val="19732F8B"/>
    <w:rsid w:val="1A4B742E"/>
    <w:rsid w:val="1B987238"/>
    <w:rsid w:val="1CFA780F"/>
    <w:rsid w:val="1EB85A06"/>
    <w:rsid w:val="21E64488"/>
    <w:rsid w:val="220C0AED"/>
    <w:rsid w:val="22F33E30"/>
    <w:rsid w:val="2584340E"/>
    <w:rsid w:val="276C1E62"/>
    <w:rsid w:val="27CD73D5"/>
    <w:rsid w:val="28700DB7"/>
    <w:rsid w:val="2D323717"/>
    <w:rsid w:val="2F1C3C06"/>
    <w:rsid w:val="32F16754"/>
    <w:rsid w:val="33991C34"/>
    <w:rsid w:val="357A3EAB"/>
    <w:rsid w:val="37CD358E"/>
    <w:rsid w:val="3AFE0B65"/>
    <w:rsid w:val="3BDE5730"/>
    <w:rsid w:val="3C4D0BD6"/>
    <w:rsid w:val="3D8D71F6"/>
    <w:rsid w:val="419C11C4"/>
    <w:rsid w:val="45486956"/>
    <w:rsid w:val="462F7641"/>
    <w:rsid w:val="475F0F13"/>
    <w:rsid w:val="4C0A4881"/>
    <w:rsid w:val="4C241862"/>
    <w:rsid w:val="4DE96986"/>
    <w:rsid w:val="4EB02CC0"/>
    <w:rsid w:val="4F3511AD"/>
    <w:rsid w:val="504D7664"/>
    <w:rsid w:val="50A75273"/>
    <w:rsid w:val="548B5832"/>
    <w:rsid w:val="55E60314"/>
    <w:rsid w:val="56661092"/>
    <w:rsid w:val="56A1090C"/>
    <w:rsid w:val="5C003724"/>
    <w:rsid w:val="5C942629"/>
    <w:rsid w:val="5CAF680B"/>
    <w:rsid w:val="5D2A06DA"/>
    <w:rsid w:val="5D5D7A21"/>
    <w:rsid w:val="5E1E5000"/>
    <w:rsid w:val="5E5840EF"/>
    <w:rsid w:val="61CE35C8"/>
    <w:rsid w:val="62E829F2"/>
    <w:rsid w:val="63997386"/>
    <w:rsid w:val="6411788E"/>
    <w:rsid w:val="651D5C1E"/>
    <w:rsid w:val="661205DB"/>
    <w:rsid w:val="68D8050F"/>
    <w:rsid w:val="68E64DCD"/>
    <w:rsid w:val="698A607D"/>
    <w:rsid w:val="6BD7500A"/>
    <w:rsid w:val="6C052A9A"/>
    <w:rsid w:val="6C191B70"/>
    <w:rsid w:val="6CB75589"/>
    <w:rsid w:val="6CCC336F"/>
    <w:rsid w:val="716B6315"/>
    <w:rsid w:val="74917031"/>
    <w:rsid w:val="75F765C0"/>
    <w:rsid w:val="77DB421F"/>
    <w:rsid w:val="7AEF1F1F"/>
    <w:rsid w:val="7AFC3D2A"/>
    <w:rsid w:val="7B6237A3"/>
    <w:rsid w:val="7E1A6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页眉 Char"/>
    <w:basedOn w:val="13"/>
    <w:link w:val="8"/>
    <w:qFormat/>
    <w:uiPriority w:val="99"/>
  </w:style>
  <w:style w:type="character" w:customStyle="1" w:styleId="17">
    <w:name w:val="标题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标题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标题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标题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副标题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标题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895</Words>
  <Characters>5108</Characters>
  <Lines>42</Lines>
  <Paragraphs>11</Paragraphs>
  <TotalTime>1</TotalTime>
  <ScaleCrop>false</ScaleCrop>
  <LinksUpToDate>false</LinksUpToDate>
  <CharactersWithSpaces>5992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2025-08-22T04:20:00Z</dcterms:created>
  <dc:creator>Administrator</dc:creator>
  <cp:lastModifiedBy>Administrator</cp:lastModifiedBy>
  <dcterms:modified xsi:type="dcterms:W3CDTF">2025-08-26T02:23:55Z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