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eastAsia="方正小标宋_GBK"/>
          <w:color w:val="auto"/>
          <w:kern w:val="0"/>
          <w:sz w:val="48"/>
          <w:szCs w:val="48"/>
          <w:highlight w:val="none"/>
        </w:rPr>
      </w:pPr>
      <w:r>
        <w:rPr>
          <w:rFonts w:hint="eastAsia" w:eastAsia="方正小标宋_GBK"/>
          <w:color w:val="auto"/>
          <w:kern w:val="0"/>
          <w:sz w:val="48"/>
          <w:szCs w:val="48"/>
          <w:highlight w:val="none"/>
        </w:rPr>
        <w:t>新疆维吾尔自治区</w:t>
      </w:r>
      <w:r>
        <w:rPr>
          <w:rFonts w:hint="eastAsia" w:eastAsia="方正小标宋_GBK"/>
          <w:color w:val="auto"/>
          <w:kern w:val="0"/>
          <w:sz w:val="48"/>
          <w:szCs w:val="48"/>
          <w:highlight w:val="none"/>
          <w:lang w:eastAsia="zh-CN"/>
        </w:rPr>
        <w:t>工业和信息化厅</w:t>
      </w:r>
      <w:r>
        <w:rPr>
          <w:rFonts w:hint="eastAsia" w:eastAsia="方正小标宋_GBK"/>
          <w:color w:val="auto"/>
          <w:kern w:val="0"/>
          <w:sz w:val="48"/>
          <w:szCs w:val="48"/>
          <w:highlight w:val="none"/>
        </w:rPr>
        <w:t>信息中心</w:t>
      </w:r>
      <w:r>
        <w:rPr>
          <w:rFonts w:eastAsia="方正小标宋_GBK"/>
          <w:color w:val="auto"/>
          <w:kern w:val="0"/>
          <w:sz w:val="48"/>
          <w:szCs w:val="48"/>
          <w:highlight w:val="none"/>
        </w:rPr>
        <w:t>资金项目支出绩效评价</w:t>
      </w:r>
    </w:p>
    <w:p>
      <w:pPr>
        <w:spacing w:line="540" w:lineRule="exact"/>
        <w:jc w:val="center"/>
        <w:rPr>
          <w:rFonts w:hint="default" w:ascii="Times New Roman" w:hAnsi="Times New Roman" w:eastAsia="方正小标宋_GBK" w:cs="Times New Roman"/>
          <w:color w:val="auto"/>
          <w:kern w:val="0"/>
          <w:sz w:val="48"/>
          <w:szCs w:val="48"/>
          <w:highlight w:val="none"/>
        </w:rPr>
      </w:pPr>
      <w:r>
        <w:rPr>
          <w:rFonts w:eastAsia="方正小标宋_GBK"/>
          <w:color w:val="auto"/>
          <w:kern w:val="0"/>
          <w:sz w:val="48"/>
          <w:szCs w:val="48"/>
          <w:highlight w:val="none"/>
        </w:rPr>
        <w:t>报告</w:t>
      </w:r>
    </w:p>
    <w:p>
      <w:pPr>
        <w:spacing w:line="540" w:lineRule="exact"/>
        <w:jc w:val="center"/>
        <w:rPr>
          <w:rFonts w:hint="default" w:ascii="Times New Roman" w:hAnsi="Times New Roman" w:eastAsia="华文中宋" w:cs="Times New Roman"/>
          <w:b/>
          <w:color w:val="auto"/>
          <w:kern w:val="0"/>
          <w:sz w:val="52"/>
          <w:szCs w:val="52"/>
          <w:highlight w:val="none"/>
        </w:rPr>
      </w:pPr>
    </w:p>
    <w:p>
      <w:pPr>
        <w:spacing w:line="540" w:lineRule="exact"/>
        <w:jc w:val="center"/>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（202</w:t>
      </w:r>
      <w:r>
        <w:rPr>
          <w:rFonts w:hint="default" w:ascii="Times New Roman" w:hAnsi="Times New Roman" w:eastAsia="仿宋_GB2312" w:cs="Times New Roman"/>
          <w:color w:val="auto"/>
          <w:kern w:val="0"/>
          <w:sz w:val="36"/>
          <w:szCs w:val="36"/>
          <w:highlight w:val="none"/>
          <w:lang w:val="en-US" w:eastAsia="zh-CN"/>
        </w:rPr>
        <w:t>4</w:t>
      </w:r>
      <w:r>
        <w:rPr>
          <w:rFonts w:hint="default" w:ascii="Times New Roman" w:hAnsi="Times New Roman" w:eastAsia="仿宋_GB2312" w:cs="Times New Roman"/>
          <w:color w:val="auto"/>
          <w:kern w:val="0"/>
          <w:sz w:val="36"/>
          <w:szCs w:val="36"/>
          <w:highlight w:val="none"/>
        </w:rPr>
        <w:t>年度）</w:t>
      </w:r>
    </w:p>
    <w:p>
      <w:pPr>
        <w:spacing w:line="540" w:lineRule="exact"/>
        <w:jc w:val="center"/>
        <w:rPr>
          <w:rFonts w:hint="default" w:ascii="Times New Roman" w:hAnsi="Times New Roman" w:eastAsia="仿宋_GB2312" w:cs="Times New Roman"/>
          <w:color w:val="auto"/>
          <w:kern w:val="0"/>
          <w:sz w:val="30"/>
          <w:szCs w:val="30"/>
          <w:highlight w:val="none"/>
        </w:rPr>
      </w:pPr>
    </w:p>
    <w:p>
      <w:pPr>
        <w:pStyle w:val="2"/>
        <w:rPr>
          <w:rFonts w:hint="default" w:ascii="Times New Roman" w:hAnsi="Times New Roman" w:eastAsia="仿宋_GB2312" w:cs="Times New Roman"/>
          <w:color w:val="auto"/>
          <w:kern w:val="0"/>
          <w:sz w:val="30"/>
          <w:szCs w:val="30"/>
          <w:highlight w:val="none"/>
        </w:rPr>
      </w:pPr>
    </w:p>
    <w:p>
      <w:pPr>
        <w:pStyle w:val="2"/>
        <w:rPr>
          <w:rFonts w:hint="default" w:ascii="Times New Roman" w:hAnsi="Times New Roman" w:eastAsia="仿宋_GB2312" w:cs="Times New Roman"/>
          <w:color w:val="auto"/>
          <w:kern w:val="0"/>
          <w:sz w:val="30"/>
          <w:szCs w:val="30"/>
          <w:highlight w:val="none"/>
        </w:rPr>
      </w:pPr>
    </w:p>
    <w:p>
      <w:pPr>
        <w:spacing w:line="540" w:lineRule="exact"/>
        <w:rPr>
          <w:rFonts w:hint="default" w:ascii="Times New Roman" w:hAnsi="Times New Roman" w:eastAsia="仿宋_GB2312" w:cs="Times New Roman"/>
          <w:color w:val="auto"/>
          <w:kern w:val="0"/>
          <w:sz w:val="30"/>
          <w:szCs w:val="30"/>
          <w:highlight w:val="none"/>
        </w:rPr>
      </w:pPr>
    </w:p>
    <w:p>
      <w:pPr>
        <w:pStyle w:val="2"/>
        <w:rPr>
          <w:rFonts w:hint="default"/>
          <w:color w:val="auto"/>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项目名称：</w:t>
      </w:r>
      <w:r>
        <w:rPr>
          <w:rFonts w:hint="eastAsia" w:ascii="Times New Roman" w:hAnsi="Times New Roman" w:eastAsia="仿宋_GB2312" w:cs="Times New Roman"/>
          <w:color w:val="auto"/>
          <w:kern w:val="0"/>
          <w:sz w:val="36"/>
          <w:szCs w:val="36"/>
          <w:highlight w:val="none"/>
        </w:rPr>
        <w:t>工信厅电子政务</w:t>
      </w:r>
      <w:r>
        <w:rPr>
          <w:rFonts w:hint="eastAsia" w:eastAsia="仿宋_GB2312" w:cs="Times New Roman"/>
          <w:color w:val="auto"/>
          <w:kern w:val="0"/>
          <w:sz w:val="36"/>
          <w:szCs w:val="36"/>
          <w:highlight w:val="none"/>
          <w:lang w:val="en-US" w:eastAsia="zh-CN"/>
        </w:rPr>
        <w:t>运行维护</w:t>
      </w:r>
      <w:r>
        <w:rPr>
          <w:rFonts w:hint="eastAsia" w:ascii="Times New Roman" w:hAnsi="Times New Roman" w:eastAsia="仿宋_GB2312" w:cs="Times New Roman"/>
          <w:color w:val="auto"/>
          <w:kern w:val="0"/>
          <w:sz w:val="36"/>
          <w:szCs w:val="36"/>
          <w:highlight w:val="none"/>
        </w:rPr>
        <w:t>和企业信息化工作经费</w:t>
      </w:r>
    </w:p>
    <w:p>
      <w:pPr>
        <w:spacing w:line="700" w:lineRule="exact"/>
        <w:ind w:firstLine="1440" w:firstLineChars="400"/>
        <w:jc w:val="left"/>
        <w:rPr>
          <w:rFonts w:hint="eastAsia" w:eastAsia="仿宋_GB2312" w:cs="Times New Roman"/>
          <w:color w:val="auto"/>
          <w:kern w:val="0"/>
          <w:sz w:val="36"/>
          <w:szCs w:val="36"/>
          <w:highlight w:val="none"/>
          <w:lang w:eastAsia="zh-CN"/>
        </w:rPr>
      </w:pPr>
      <w:r>
        <w:rPr>
          <w:rFonts w:hint="default" w:ascii="Times New Roman" w:hAnsi="Times New Roman" w:eastAsia="仿宋_GB2312" w:cs="Times New Roman"/>
          <w:color w:val="auto"/>
          <w:kern w:val="0"/>
          <w:sz w:val="36"/>
          <w:szCs w:val="36"/>
          <w:highlight w:val="none"/>
        </w:rPr>
        <w:t>实施单位（公章）：</w:t>
      </w:r>
      <w:r>
        <w:rPr>
          <w:rFonts w:hint="eastAsia" w:ascii="Times New Roman" w:hAnsi="Times New Roman" w:eastAsia="仿宋_GB2312" w:cs="Times New Roman"/>
          <w:color w:val="auto"/>
          <w:kern w:val="0"/>
          <w:sz w:val="36"/>
          <w:szCs w:val="36"/>
          <w:highlight w:val="none"/>
          <w:lang w:eastAsia="zh-CN"/>
        </w:rPr>
        <w:t>新疆维吾尔自治区工业和信息化厅</w:t>
      </w:r>
      <w:r>
        <w:rPr>
          <w:rFonts w:hint="eastAsia" w:eastAsia="仿宋_GB2312" w:cs="Times New Roman"/>
          <w:color w:val="auto"/>
          <w:kern w:val="0"/>
          <w:sz w:val="36"/>
          <w:szCs w:val="36"/>
          <w:highlight w:val="none"/>
          <w:lang w:eastAsia="zh-CN"/>
        </w:rPr>
        <w:t>信息中心</w:t>
      </w:r>
    </w:p>
    <w:p>
      <w:pPr>
        <w:pStyle w:val="2"/>
        <w:rPr>
          <w:rFonts w:hint="default"/>
          <w:color w:val="auto"/>
          <w:highlight w:val="none"/>
        </w:rPr>
      </w:pPr>
    </w:p>
    <w:p>
      <w:pPr>
        <w:spacing w:line="700" w:lineRule="exact"/>
        <w:ind w:firstLine="1440" w:firstLineChars="400"/>
        <w:jc w:val="left"/>
        <w:rPr>
          <w:rFonts w:hint="default" w:ascii="Times New Roman" w:hAnsi="Times New Roman" w:eastAsia="仿宋_GB2312" w:cs="Times New Roman"/>
          <w:color w:val="auto"/>
          <w:kern w:val="0"/>
          <w:sz w:val="36"/>
          <w:szCs w:val="36"/>
          <w:highlight w:val="none"/>
        </w:rPr>
      </w:pPr>
      <w:r>
        <w:rPr>
          <w:rFonts w:hint="default" w:ascii="Times New Roman" w:hAnsi="Times New Roman" w:eastAsia="仿宋_GB2312" w:cs="Times New Roman"/>
          <w:color w:val="auto"/>
          <w:kern w:val="0"/>
          <w:sz w:val="36"/>
          <w:szCs w:val="36"/>
          <w:highlight w:val="none"/>
        </w:rPr>
        <w:t>项目负责人（签章）：</w:t>
      </w:r>
    </w:p>
    <w:p>
      <w:pPr>
        <w:spacing w:line="700" w:lineRule="exact"/>
        <w:ind w:firstLine="1440" w:firstLineChars="400"/>
        <w:jc w:val="left"/>
        <w:rPr>
          <w:rFonts w:hint="default" w:ascii="Times New Roman" w:hAnsi="Times New Roman" w:eastAsia="仿宋_GB2312" w:cs="Times New Roman"/>
          <w:color w:val="auto"/>
          <w:kern w:val="0"/>
          <w:sz w:val="30"/>
          <w:szCs w:val="30"/>
          <w:highlight w:val="none"/>
        </w:rPr>
      </w:pPr>
      <w:r>
        <w:rPr>
          <w:rFonts w:hint="default" w:ascii="Times New Roman" w:hAnsi="Times New Roman" w:eastAsia="仿宋_GB2312" w:cs="Times New Roman"/>
          <w:color w:val="auto"/>
          <w:kern w:val="0"/>
          <w:sz w:val="36"/>
          <w:szCs w:val="36"/>
          <w:highlight w:val="none"/>
        </w:rPr>
        <w:t>填报时间：</w:t>
      </w:r>
      <w:r>
        <w:rPr>
          <w:rFonts w:hint="eastAsia" w:eastAsia="仿宋_GB2312" w:cs="Times New Roman"/>
          <w:color w:val="auto"/>
          <w:kern w:val="0"/>
          <w:sz w:val="36"/>
          <w:szCs w:val="36"/>
          <w:highlight w:val="none"/>
          <w:lang w:val="en-US" w:eastAsia="zh-CN"/>
        </w:rPr>
        <w:t>2025</w:t>
      </w:r>
      <w:r>
        <w:rPr>
          <w:rFonts w:hint="default" w:ascii="Times New Roman" w:hAnsi="Times New Roman" w:eastAsia="仿宋_GB2312" w:cs="Times New Roman"/>
          <w:color w:val="auto"/>
          <w:kern w:val="0"/>
          <w:sz w:val="36"/>
          <w:szCs w:val="36"/>
          <w:highlight w:val="none"/>
        </w:rPr>
        <w:t>年</w:t>
      </w:r>
      <w:r>
        <w:rPr>
          <w:rFonts w:hint="eastAsia" w:eastAsia="仿宋_GB2312" w:cs="Times New Roman"/>
          <w:color w:val="auto"/>
          <w:kern w:val="0"/>
          <w:sz w:val="36"/>
          <w:szCs w:val="36"/>
          <w:highlight w:val="none"/>
          <w:lang w:val="en-US" w:eastAsia="zh-CN"/>
        </w:rPr>
        <w:t>3</w:t>
      </w:r>
      <w:r>
        <w:rPr>
          <w:rFonts w:hint="default" w:ascii="Times New Roman" w:hAnsi="Times New Roman" w:eastAsia="仿宋_GB2312" w:cs="Times New Roman"/>
          <w:color w:val="auto"/>
          <w:kern w:val="0"/>
          <w:sz w:val="36"/>
          <w:szCs w:val="36"/>
          <w:highlight w:val="none"/>
        </w:rPr>
        <w:t>月</w:t>
      </w:r>
      <w:r>
        <w:rPr>
          <w:rFonts w:hint="eastAsia" w:eastAsia="仿宋_GB2312" w:cs="Times New Roman"/>
          <w:color w:val="auto"/>
          <w:kern w:val="0"/>
          <w:sz w:val="36"/>
          <w:szCs w:val="36"/>
          <w:highlight w:val="none"/>
          <w:lang w:val="en-US" w:eastAsia="zh-CN"/>
        </w:rPr>
        <w:t>11</w:t>
      </w:r>
      <w:r>
        <w:rPr>
          <w:rFonts w:hint="default" w:ascii="Times New Roman" w:hAnsi="Times New Roman" w:eastAsia="仿宋_GB2312" w:cs="Times New Roman"/>
          <w:color w:val="auto"/>
          <w:kern w:val="0"/>
          <w:sz w:val="36"/>
          <w:szCs w:val="36"/>
          <w:highlight w:val="none"/>
        </w:rPr>
        <w:t>日</w:t>
      </w:r>
    </w:p>
    <w:p>
      <w:pPr>
        <w:spacing w:line="540" w:lineRule="exact"/>
        <w:ind w:firstLine="640"/>
        <w:rPr>
          <w:rStyle w:val="16"/>
          <w:rFonts w:hint="default" w:ascii="Times New Roman" w:hAnsi="Times New Roman" w:eastAsia="黑体" w:cs="Times New Roman"/>
          <w:b w:val="0"/>
          <w:color w:val="auto"/>
          <w:spacing w:val="-4"/>
          <w:sz w:val="32"/>
          <w:szCs w:val="32"/>
          <w:highlight w:val="none"/>
        </w:rPr>
      </w:pPr>
    </w:p>
    <w:p>
      <w:pPr>
        <w:spacing w:line="540" w:lineRule="exact"/>
        <w:rPr>
          <w:rStyle w:val="16"/>
          <w:rFonts w:hint="default" w:ascii="Times New Roman" w:hAnsi="Times New Roman" w:eastAsia="黑体" w:cs="Times New Roman"/>
          <w:b w:val="0"/>
          <w:color w:val="auto"/>
          <w:spacing w:val="-4"/>
          <w:sz w:val="32"/>
          <w:szCs w:val="32"/>
          <w:highlight w:val="none"/>
        </w:rPr>
      </w:pPr>
    </w:p>
    <w:p>
      <w:pPr>
        <w:spacing w:line="560" w:lineRule="exact"/>
        <w:ind w:firstLine="640" w:firstLineChars="200"/>
        <w:rPr>
          <w:rFonts w:hint="default" w:ascii="Times New Roman" w:hAnsi="Times New Roman" w:eastAsia="黑体" w:cs="Times New Roman"/>
          <w:bCs/>
          <w:color w:val="auto"/>
          <w:sz w:val="32"/>
          <w:szCs w:val="32"/>
          <w:highlight w:val="none"/>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color w:val="auto"/>
          <w:sz w:val="32"/>
          <w:szCs w:val="32"/>
          <w:highlight w:val="none"/>
        </w:rPr>
      </w:pPr>
      <w:r>
        <w:rPr>
          <w:rFonts w:hint="default" w:ascii="Times New Roman" w:hAnsi="Times New Roman" w:eastAsia="黑体" w:cs="Times New Roman"/>
          <w:bCs/>
          <w:color w:val="auto"/>
          <w:sz w:val="32"/>
          <w:szCs w:val="32"/>
          <w:highlight w:val="none"/>
        </w:rPr>
        <w:t>一、基本情况</w:t>
      </w:r>
    </w:p>
    <w:p>
      <w:pPr>
        <w:spacing w:line="560" w:lineRule="exact"/>
        <w:ind w:firstLine="643" w:firstLineChars="200"/>
        <w:rPr>
          <w:rFonts w:hint="default" w:ascii="Times New Roman" w:hAnsi="Times New Roman" w:eastAsia="楷体_GB2312" w:cs="Times New Roman"/>
          <w:b/>
          <w:bCs/>
          <w:color w:val="auto"/>
          <w:sz w:val="32"/>
          <w:szCs w:val="32"/>
          <w:highlight w:val="none"/>
        </w:rPr>
      </w:pPr>
      <w:r>
        <w:rPr>
          <w:rFonts w:hint="default" w:ascii="Times New Roman" w:hAnsi="Times New Roman" w:eastAsia="楷体_GB2312" w:cs="Times New Roman"/>
          <w:b/>
          <w:bCs/>
          <w:color w:val="auto"/>
          <w:sz w:val="32"/>
          <w:szCs w:val="32"/>
          <w:highlight w:val="none"/>
        </w:rPr>
        <w:t>（一）项目概况</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项目背景</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根据国务院办公厅关于印发《政务信息系统整合共享实施方案》的通知（国办发〔2017〕39号），关于印发《国家电子政务标准体系建设指南》的通知，国家发展改革委关于印发《“十四五”推进国家政务信息化规划》的通知（发改高技〔2021〕1898号），《关于推进新疆维吾尔自治区政务信息资源共享管理工作的实施意见》（新政发【2017】76号）等相关文件，按照自治区关于电子政务工作的规定及要求，为提升自治区工信厅电子政务工作效率和水平，实现在安全稳定的网络环境下向社会提供优质全方位的服务，设立工信厅网站运行维护费和企业信息化工作经费。</w:t>
      </w:r>
    </w:p>
    <w:p>
      <w:pPr>
        <w:pStyle w:val="11"/>
        <w:numPr>
          <w:ilvl w:val="0"/>
          <w:numId w:val="0"/>
        </w:numPr>
        <w:spacing w:before="0" w:after="0" w:line="560" w:lineRule="exact"/>
        <w:ind w:firstLine="643" w:firstLineChars="200"/>
        <w:jc w:val="both"/>
        <w:rPr>
          <w:rFonts w:hint="eastAsia" w:ascii="仿宋_GB2312" w:hAnsi="仿宋_GB2312" w:eastAsia="仿宋_GB2312" w:cs="仿宋_GB2312"/>
          <w:color w:val="auto"/>
          <w:kern w:val="2"/>
          <w:sz w:val="32"/>
          <w:szCs w:val="32"/>
          <w:highlight w:val="none"/>
          <w:lang w:val="en-US" w:eastAsia="zh-CN"/>
        </w:rPr>
      </w:pPr>
      <w:r>
        <w:rPr>
          <w:rFonts w:hint="eastAsia" w:ascii="仿宋_GB2312" w:hAnsi="仿宋_GB2312" w:eastAsia="仿宋_GB2312" w:cs="仿宋_GB2312"/>
          <w:color w:val="auto"/>
          <w:kern w:val="2"/>
          <w:sz w:val="32"/>
          <w:szCs w:val="32"/>
          <w:highlight w:val="none"/>
          <w:lang w:val="en-US" w:eastAsia="zh-CN"/>
        </w:rPr>
        <w:t>2.</w:t>
      </w:r>
      <w:r>
        <w:rPr>
          <w:rFonts w:hint="eastAsia" w:ascii="仿宋_GB2312" w:hAnsi="仿宋_GB2312" w:eastAsia="仿宋_GB2312" w:cs="仿宋_GB2312"/>
          <w:color w:val="auto"/>
          <w:kern w:val="2"/>
          <w:sz w:val="32"/>
          <w:szCs w:val="32"/>
          <w:highlight w:val="none"/>
        </w:rPr>
        <w:t>项目主要内容</w:t>
      </w:r>
      <w:r>
        <w:rPr>
          <w:rFonts w:hint="eastAsia" w:ascii="仿宋_GB2312" w:hAnsi="仿宋_GB2312" w:eastAsia="仿宋_GB2312" w:cs="仿宋_GB2312"/>
          <w:color w:val="auto"/>
          <w:kern w:val="2"/>
          <w:sz w:val="32"/>
          <w:szCs w:val="32"/>
          <w:highlight w:val="none"/>
          <w:lang w:val="en-US" w:eastAsia="zh-CN"/>
        </w:rPr>
        <w:t>及实施情况</w:t>
      </w:r>
    </w:p>
    <w:p>
      <w:pP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主要内容：根据2024年自治区工信厅电子政务工作要求，结合信息中心工作计划，项目主要完成：做好我厅电子政务内外网以及各业务系统的正常运转、保障我厅网络安全运行、做好门户网站的日常运行维护、保障中心机房正常运转。</w:t>
      </w:r>
    </w:p>
    <w:p>
      <w:pP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项目实施情况：项目目前已经完成实际设立的目标，项目在实施过程中严格按照目标设立的各阶段任务进行开展工作，在前期立项过程中严格把质量关，建立安全防护机制，保证项目实施各阶段安全顺利进行。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3</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bCs/>
          <w:color w:val="auto"/>
          <w:sz w:val="32"/>
          <w:szCs w:val="32"/>
          <w:highlight w:val="none"/>
        </w:rPr>
        <w:t>资金投入和使用情况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（1）资金投入情况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该项目年初预算数65万元，全年预算数65万元，该项目资金已全部落实到位，资金来源为财政拨款。</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（2）资金使用情况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该项目年初预算数65万元，全年预算数65万元，全年执行数62.93万元，预算执行率为96.82%，主要用于：支付项目实施进程中的各项费用。</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（二）项目绩效目标</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总体目标</w:t>
      </w:r>
    </w:p>
    <w:p>
      <w:pPr>
        <w:spacing w:line="600" w:lineRule="exact"/>
        <w:ind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做好我厅内外网以及各业务系统的运行维护和安全防护，确保安全稳定运行；做好新疆工信厅门户网站的日常运行维护工作，确保我厅在国家和自治区的网站日常监测和绩效评估中达标。充分发挥新疆工信厅门户网站的服务功能，更好地向社会、企业、公众提供政务服务，促进我区工业和信息化工作高质量发展。</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2</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rPr>
        <w:t>阶段性目标</w:t>
      </w:r>
    </w:p>
    <w:p>
      <w:pPr>
        <w:spacing w:line="60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（1）前期准备：通过制定项目实施方案，经项目负责人审核通过后，有序开展后续工作。</w:t>
      </w:r>
    </w:p>
    <w:p>
      <w:pPr>
        <w:spacing w:line="600" w:lineRule="exact"/>
        <w:ind w:firstLine="640" w:firstLineChars="200"/>
        <w:rPr>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（2）组织实施：资金一到位，立即根据项目要求实施项目。项目责任人按照项目实施方案要求逐一进行项目部署安排，提高项目质量及效率性。</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二、绩效评价工作开展情况</w:t>
      </w:r>
    </w:p>
    <w:p>
      <w:p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（一）绩效评价目的、对象和范围</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1.绩效评价完整性</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本项目预算绩效评价报告在编制过程中，严格遵循相关法规与标准，确保评价内容的全面性与准确性。报告涵盖了项目从预算编制、执行到完成的全过程，对项目的各项绩效指标进行了细致的梳理与评估。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评价指标体系的构建上，充分考虑了项目的性质、目标以及预期成果，选取了具有代表性和可衡量性的关键指标，涵盖了经济效益、社会效益、生态效益（根据项目实际情况选填）等多个维度，力求全方位反映项目的绩效状况。同时，对于每个指标的评价标准和数据来源均进行了明确说明，确保评价结果的客观性和可追溯性。</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（1）评估项目实施效果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通过对项目预算执行情况及各项绩效目标达成程度的系统性分析，全面、客观地评估项目在预定周期内的实施效果，包括经济效益、社会效益、</w:t>
      </w:r>
      <w:r>
        <w:rPr>
          <w:rFonts w:hint="eastAsia" w:ascii="仿宋_GB2312" w:hAnsi="仿宋_GB2312" w:eastAsia="仿宋_GB2312" w:cs="仿宋_GB2312"/>
          <w:color w:val="auto"/>
          <w:sz w:val="32"/>
          <w:szCs w:val="32"/>
          <w:highlight w:val="none"/>
          <w:lang w:val="en-US" w:eastAsia="zh-CN"/>
        </w:rPr>
        <w:t>生态</w:t>
      </w:r>
      <w:r>
        <w:rPr>
          <w:rFonts w:hint="eastAsia" w:ascii="仿宋_GB2312" w:hAnsi="仿宋_GB2312" w:eastAsia="仿宋_GB2312" w:cs="仿宋_GB2312"/>
          <w:color w:val="auto"/>
          <w:sz w:val="32"/>
          <w:szCs w:val="32"/>
          <w:highlight w:val="none"/>
        </w:rPr>
        <w:t>效益以及可持续性</w:t>
      </w:r>
      <w:r>
        <w:rPr>
          <w:rFonts w:hint="eastAsia" w:ascii="仿宋_GB2312" w:hAnsi="仿宋_GB2312" w:eastAsia="仿宋_GB2312" w:cs="仿宋_GB2312"/>
          <w:color w:val="auto"/>
          <w:sz w:val="32"/>
          <w:szCs w:val="32"/>
          <w:highlight w:val="none"/>
          <w:lang w:val="en-US" w:eastAsia="zh-CN"/>
        </w:rPr>
        <w:t>（根据项目实际情况选填）</w:t>
      </w:r>
      <w:r>
        <w:rPr>
          <w:rFonts w:hint="eastAsia" w:ascii="仿宋_GB2312" w:hAnsi="仿宋_GB2312" w:eastAsia="仿宋_GB2312" w:cs="仿宋_GB2312"/>
          <w:color w:val="auto"/>
          <w:sz w:val="32"/>
          <w:szCs w:val="32"/>
          <w:highlight w:val="none"/>
        </w:rPr>
        <w:t>等多维度指标，为项目后续的改进与优化提供科学依据。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（2）提升资源利用效率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（3）强化项目管理责任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（4）为决策提供支持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（5）促进项目持续改进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3</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sz w:val="32"/>
          <w:szCs w:val="32"/>
          <w:highlight w:val="none"/>
        </w:rPr>
        <w:t>绩效评价的对象</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对象是工信厅电子政务运行维护和企业信息化工作经费及其预算执行情况。该项目由新疆维吾尔自治区工业和信息化厅信息中心负责实施，旨在简述项目目标或预期成果。项目预算涵盖从</w:t>
      </w:r>
      <w:r>
        <w:rPr>
          <w:rFonts w:hint="eastAsia" w:ascii="仿宋_GB2312" w:hAnsi="仿宋_GB2312" w:eastAsia="仿宋_GB2312" w:cs="仿宋_GB2312"/>
          <w:b w:val="0"/>
          <w:bCs w:val="0"/>
          <w:color w:val="auto"/>
          <w:sz w:val="32"/>
          <w:szCs w:val="32"/>
          <w:highlight w:val="none"/>
          <w:lang w:val="en-US" w:eastAsia="zh-CN"/>
        </w:rPr>
        <w:t>2024年1月1日</w:t>
      </w:r>
      <w:r>
        <w:rPr>
          <w:rFonts w:hint="eastAsia" w:ascii="仿宋_GB2312" w:hAnsi="仿宋_GB2312" w:eastAsia="仿宋_GB2312" w:cs="仿宋_GB2312"/>
          <w:b w:val="0"/>
          <w:bCs w:val="0"/>
          <w:color w:val="auto"/>
          <w:sz w:val="32"/>
          <w:szCs w:val="32"/>
          <w:highlight w:val="none"/>
        </w:rPr>
        <w:t>至</w:t>
      </w:r>
      <w:r>
        <w:rPr>
          <w:rFonts w:hint="eastAsia" w:ascii="仿宋_GB2312" w:hAnsi="仿宋_GB2312" w:eastAsia="仿宋_GB2312" w:cs="仿宋_GB2312"/>
          <w:b w:val="0"/>
          <w:bCs w:val="0"/>
          <w:color w:val="auto"/>
          <w:sz w:val="32"/>
          <w:szCs w:val="32"/>
          <w:highlight w:val="none"/>
          <w:lang w:val="en-US" w:eastAsia="zh-CN"/>
        </w:rPr>
        <w:t>2024年12月15</w:t>
      </w:r>
      <w:r>
        <w:rPr>
          <w:rFonts w:hint="eastAsia" w:ascii="仿宋_GB2312" w:hAnsi="仿宋_GB2312" w:eastAsia="仿宋_GB2312" w:cs="仿宋_GB2312"/>
          <w:b w:val="0"/>
          <w:bCs w:val="0"/>
          <w:color w:val="auto"/>
          <w:sz w:val="32"/>
          <w:szCs w:val="32"/>
          <w:highlight w:val="none"/>
        </w:rPr>
        <w:t>的全部资金投入与支出，涉及资金总额为</w:t>
      </w:r>
      <w:r>
        <w:rPr>
          <w:rFonts w:hint="eastAsia" w:ascii="仿宋_GB2312" w:hAnsi="仿宋_GB2312" w:eastAsia="仿宋_GB2312" w:cs="仿宋_GB2312"/>
          <w:b w:val="0"/>
          <w:bCs w:val="0"/>
          <w:color w:val="auto"/>
          <w:sz w:val="32"/>
          <w:szCs w:val="32"/>
          <w:highlight w:val="none"/>
          <w:lang w:val="en-US" w:eastAsia="zh-CN"/>
        </w:rPr>
        <w:t>62.93万</w:t>
      </w:r>
      <w:r>
        <w:rPr>
          <w:rFonts w:hint="eastAsia" w:ascii="仿宋_GB2312" w:hAnsi="仿宋_GB2312" w:eastAsia="仿宋_GB2312" w:cs="仿宋_GB2312"/>
          <w:b w:val="0"/>
          <w:bCs w:val="0"/>
          <w:color w:val="auto"/>
          <w:sz w:val="32"/>
          <w:szCs w:val="32"/>
          <w:highlight w:val="none"/>
        </w:rPr>
        <w:t>元。</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绩效评价的范围</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本项目预算绩效评价报告的评价范围广泛而全面，涵盖了从项目立项至评价时点期间的所有关键预算活动和财务流程。具体而言，评价范围包括但不限于以下几个方面：</w:t>
      </w:r>
    </w:p>
    <w:p>
      <w:pPr>
        <w:pStyle w:val="11"/>
        <w:widowControl w:val="0"/>
        <w:numPr>
          <w:ilvl w:val="0"/>
          <w:numId w:val="1"/>
        </w:numPr>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rPr>
      </w:pPr>
      <w:r>
        <w:rPr>
          <w:rFonts w:hint="eastAsia" w:ascii="仿宋_GB2312" w:hAnsi="仿宋_GB2312" w:eastAsia="仿宋_GB2312" w:cs="仿宋_GB2312"/>
          <w:b w:val="0"/>
          <w:bCs w:val="0"/>
          <w:color w:val="auto"/>
          <w:sz w:val="32"/>
          <w:szCs w:val="32"/>
          <w:highlight w:val="none"/>
        </w:rPr>
        <w:t>项目预算编制与执行：全面审视项目预算的编制依据、合理性、科学性以及实际执行情况，包括预算调整的原因和效果。</w:t>
      </w:r>
    </w:p>
    <w:p>
      <w:pPr>
        <w:pStyle w:val="11"/>
        <w:widowControl w:val="0"/>
        <w:numPr>
          <w:ilvl w:val="0"/>
          <w:numId w:val="1"/>
        </w:numPr>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资金管理：深入分析项目资金的分配、使用和监管情况，确保资金使用的合规性、高效性和透明度。</w:t>
      </w:r>
    </w:p>
    <w:p>
      <w:pPr>
        <w:pStyle w:val="11"/>
        <w:widowControl w:val="0"/>
        <w:numPr>
          <w:ilvl w:val="0"/>
          <w:numId w:val="1"/>
        </w:numPr>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rPr>
        <w:t>项目实施进度与产出：评估项目是否按照既定计划顺利推进，各项任务是否按时完成，以及项目产出的数量、质量和时效性是否符合预期。</w:t>
      </w:r>
    </w:p>
    <w:p>
      <w:pPr>
        <w:pStyle w:val="11"/>
        <w:widowControl w:val="0"/>
        <w:numPr>
          <w:ilvl w:val="0"/>
          <w:numId w:val="0"/>
        </w:numPr>
        <w:spacing w:before="0" w:after="0" w:line="560" w:lineRule="exact"/>
        <w:ind w:firstLine="640" w:firstLineChars="200"/>
        <w:jc w:val="both"/>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rPr>
        <w:t>社会</w:t>
      </w:r>
      <w:r>
        <w:rPr>
          <w:rFonts w:hint="eastAsia" w:ascii="仿宋_GB2312" w:hAnsi="仿宋_GB2312" w:eastAsia="仿宋_GB2312" w:cs="仿宋_GB2312"/>
          <w:b w:val="0"/>
          <w:bCs w:val="0"/>
          <w:color w:val="auto"/>
          <w:sz w:val="32"/>
          <w:szCs w:val="32"/>
          <w:highlight w:val="none"/>
          <w:lang w:eastAsia="zh-CN"/>
        </w:rPr>
        <w:t>、</w:t>
      </w:r>
      <w:r>
        <w:rPr>
          <w:rFonts w:hint="eastAsia" w:ascii="仿宋_GB2312" w:hAnsi="仿宋_GB2312" w:eastAsia="仿宋_GB2312" w:cs="仿宋_GB2312"/>
          <w:b w:val="0"/>
          <w:bCs w:val="0"/>
          <w:color w:val="auto"/>
          <w:sz w:val="32"/>
          <w:szCs w:val="32"/>
          <w:highlight w:val="none"/>
          <w:lang w:val="en-US" w:eastAsia="zh-CN"/>
        </w:rPr>
        <w:t>生态等</w:t>
      </w:r>
      <w:r>
        <w:rPr>
          <w:rFonts w:hint="eastAsia" w:ascii="仿宋_GB2312" w:hAnsi="仿宋_GB2312" w:eastAsia="仿宋_GB2312" w:cs="仿宋_GB2312"/>
          <w:b w:val="0"/>
          <w:bCs w:val="0"/>
          <w:color w:val="auto"/>
          <w:sz w:val="32"/>
          <w:szCs w:val="32"/>
          <w:highlight w:val="none"/>
        </w:rPr>
        <w:t>影响：考察项目对社会、</w:t>
      </w:r>
      <w:r>
        <w:rPr>
          <w:rFonts w:hint="eastAsia" w:ascii="仿宋_GB2312" w:hAnsi="仿宋_GB2312" w:eastAsia="仿宋_GB2312" w:cs="仿宋_GB2312"/>
          <w:b w:val="0"/>
          <w:bCs w:val="0"/>
          <w:color w:val="auto"/>
          <w:sz w:val="32"/>
          <w:szCs w:val="32"/>
          <w:highlight w:val="none"/>
          <w:lang w:val="en-US" w:eastAsia="zh-CN"/>
        </w:rPr>
        <w:t>生态</w:t>
      </w:r>
      <w:r>
        <w:rPr>
          <w:rFonts w:hint="eastAsia" w:ascii="仿宋_GB2312" w:hAnsi="仿宋_GB2312" w:eastAsia="仿宋_GB2312" w:cs="仿宋_GB2312"/>
          <w:b w:val="0"/>
          <w:bCs w:val="0"/>
          <w:color w:val="auto"/>
          <w:sz w:val="32"/>
          <w:szCs w:val="32"/>
          <w:highlight w:val="none"/>
        </w:rPr>
        <w:t>、经济等方面的综合影响。</w:t>
      </w:r>
    </w:p>
    <w:p>
      <w:pPr>
        <w:spacing w:line="560" w:lineRule="exact"/>
        <w:ind w:firstLine="643"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b/>
          <w:bCs/>
          <w:color w:val="auto"/>
          <w:sz w:val="32"/>
          <w:szCs w:val="32"/>
          <w:highlight w:val="none"/>
        </w:rPr>
        <w:t>（二）绩效评价原则、评价指标体系（详情见表1）、评价方法、评价标准。</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1</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highlight w:val="none"/>
        </w:rPr>
        <w:t>绩效评价原则</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本次项目绩效评价遵循以下基本原则：</w:t>
      </w:r>
    </w:p>
    <w:p>
      <w:pPr>
        <w:pStyle w:val="11"/>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（1）科学公正。绩效评价应当运用科学合理的方法，按照规范的程序，对项目绩效进行客观、公正的反映。</w:t>
      </w:r>
    </w:p>
    <w:p>
      <w:pPr>
        <w:pStyle w:val="11"/>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（2）统筹兼顾。单位自评、部门评价和财政评价应职责明确，各有侧重，相互衔接。单位自评应由项目单位自主实施，即“谁支出、谁自评”。部门评价和财政评价应在单位自评的基础上开展。</w:t>
      </w:r>
    </w:p>
    <w:p>
      <w:pPr>
        <w:pStyle w:val="11"/>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（3）激励约束。绩效评价结果应与预算安排、政策调整、改进管理实质性挂钩，体现奖优罚劣和激励相容导向，有效要安排、低效要压减、无效要问责。</w:t>
      </w:r>
    </w:p>
    <w:p>
      <w:pPr>
        <w:pStyle w:val="11"/>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（4）公开透明。绩效评价结果应依法依规公开，并自觉接受社会监督。</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2</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highlight w:val="none"/>
        </w:rPr>
        <w:t>评价指标体系</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（1）确定评价指标</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（2）确定权重</w:t>
      </w:r>
    </w:p>
    <w:p>
      <w:pPr>
        <w:spacing w:line="560" w:lineRule="exact"/>
        <w:ind w:firstLine="708" w:firstLineChars="200"/>
        <w:rPr>
          <w:rFonts w:hint="eastAsia" w:ascii="仿宋_GB2312" w:hAnsi="仿宋_GB2312" w:eastAsia="仿宋_GB2312" w:cs="仿宋_GB2312"/>
          <w:color w:val="auto"/>
          <w:spacing w:val="17"/>
          <w:sz w:val="32"/>
          <w:szCs w:val="32"/>
          <w:highlight w:val="none"/>
          <w:lang w:eastAsia="zh-CN"/>
        </w:rPr>
      </w:pPr>
      <w:r>
        <w:rPr>
          <w:rFonts w:hint="eastAsia" w:ascii="仿宋_GB2312" w:hAnsi="仿宋_GB2312" w:eastAsia="仿宋_GB2312" w:cs="仿宋_GB2312"/>
          <w:color w:val="auto"/>
          <w:spacing w:val="17"/>
          <w:sz w:val="32"/>
          <w:szCs w:val="32"/>
          <w:highlight w:val="none"/>
        </w:rPr>
        <w:t>确定各个指标相对于项目总体绩效的权重分值。在绩效评价指标体系中，项目决策权重为</w:t>
      </w:r>
      <w:r>
        <w:rPr>
          <w:rFonts w:hint="eastAsia" w:ascii="仿宋_GB2312" w:hAnsi="仿宋_GB2312" w:eastAsia="仿宋_GB2312" w:cs="仿宋_GB2312"/>
          <w:color w:val="auto"/>
          <w:spacing w:val="17"/>
          <w:sz w:val="32"/>
          <w:szCs w:val="32"/>
          <w:highlight w:val="none"/>
          <w:lang w:val="en-US" w:eastAsia="zh-CN"/>
        </w:rPr>
        <w:t>20</w:t>
      </w:r>
      <w:r>
        <w:rPr>
          <w:rFonts w:hint="eastAsia" w:ascii="仿宋_GB2312" w:hAnsi="仿宋_GB2312" w:eastAsia="仿宋_GB2312" w:cs="仿宋_GB2312"/>
          <w:color w:val="auto"/>
          <w:spacing w:val="17"/>
          <w:sz w:val="32"/>
          <w:szCs w:val="32"/>
          <w:highlight w:val="none"/>
        </w:rPr>
        <w:t>分，项目过程权重为</w:t>
      </w:r>
      <w:r>
        <w:rPr>
          <w:rFonts w:hint="eastAsia" w:ascii="仿宋_GB2312" w:hAnsi="仿宋_GB2312" w:eastAsia="仿宋_GB2312" w:cs="仿宋_GB2312"/>
          <w:color w:val="auto"/>
          <w:spacing w:val="17"/>
          <w:sz w:val="32"/>
          <w:szCs w:val="32"/>
          <w:highlight w:val="none"/>
          <w:lang w:val="en-US" w:eastAsia="zh-CN"/>
        </w:rPr>
        <w:t>20</w:t>
      </w:r>
      <w:r>
        <w:rPr>
          <w:rFonts w:hint="eastAsia" w:ascii="仿宋_GB2312" w:hAnsi="仿宋_GB2312" w:eastAsia="仿宋_GB2312" w:cs="仿宋_GB2312"/>
          <w:color w:val="auto"/>
          <w:spacing w:val="17"/>
          <w:sz w:val="32"/>
          <w:szCs w:val="32"/>
          <w:highlight w:val="none"/>
        </w:rPr>
        <w:t>分，项目产出权重为</w:t>
      </w:r>
      <w:r>
        <w:rPr>
          <w:rFonts w:hint="eastAsia" w:ascii="仿宋_GB2312" w:hAnsi="仿宋_GB2312" w:eastAsia="仿宋_GB2312" w:cs="仿宋_GB2312"/>
          <w:color w:val="auto"/>
          <w:spacing w:val="17"/>
          <w:sz w:val="32"/>
          <w:szCs w:val="32"/>
          <w:highlight w:val="none"/>
          <w:lang w:val="en-US" w:eastAsia="zh-CN"/>
        </w:rPr>
        <w:t>40</w:t>
      </w:r>
      <w:r>
        <w:rPr>
          <w:rFonts w:hint="eastAsia" w:ascii="仿宋_GB2312" w:hAnsi="仿宋_GB2312" w:eastAsia="仿宋_GB2312" w:cs="仿宋_GB2312"/>
          <w:color w:val="auto"/>
          <w:spacing w:val="17"/>
          <w:sz w:val="32"/>
          <w:szCs w:val="32"/>
          <w:highlight w:val="none"/>
        </w:rPr>
        <w:t>分，项目效益权重为</w:t>
      </w:r>
      <w:r>
        <w:rPr>
          <w:rFonts w:hint="eastAsia" w:ascii="仿宋_GB2312" w:hAnsi="仿宋_GB2312" w:eastAsia="仿宋_GB2312" w:cs="仿宋_GB2312"/>
          <w:color w:val="auto"/>
          <w:spacing w:val="17"/>
          <w:sz w:val="32"/>
          <w:szCs w:val="32"/>
          <w:highlight w:val="none"/>
          <w:lang w:val="en-US" w:eastAsia="zh-CN"/>
        </w:rPr>
        <w:t>20</w:t>
      </w:r>
      <w:r>
        <w:rPr>
          <w:rFonts w:hint="eastAsia" w:ascii="仿宋_GB2312" w:hAnsi="仿宋_GB2312" w:eastAsia="仿宋_GB2312" w:cs="仿宋_GB2312"/>
          <w:color w:val="auto"/>
          <w:spacing w:val="17"/>
          <w:sz w:val="32"/>
          <w:szCs w:val="32"/>
          <w:highlight w:val="none"/>
        </w:rPr>
        <w:t>分。</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（3）确定指标标准值</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auto"/>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1"/>
        <w:spacing w:before="0" w:after="0" w:line="560" w:lineRule="exact"/>
        <w:ind w:firstLine="708" w:firstLineChars="200"/>
        <w:jc w:val="both"/>
        <w:rPr>
          <w:rFonts w:hint="eastAsia" w:ascii="仿宋_GB2312" w:hAnsi="仿宋_GB2312" w:eastAsia="仿宋_GB2312" w:cs="仿宋_GB2312"/>
          <w:b w:val="0"/>
          <w:bCs w:val="0"/>
          <w:color w:val="auto"/>
          <w:spacing w:val="17"/>
          <w:kern w:val="2"/>
          <w:highlight w:val="none"/>
        </w:rPr>
      </w:pPr>
      <w:r>
        <w:rPr>
          <w:rFonts w:hint="eastAsia" w:ascii="仿宋_GB2312" w:hAnsi="仿宋_GB2312" w:eastAsia="仿宋_GB2312" w:cs="仿宋_GB2312"/>
          <w:b w:val="0"/>
          <w:bCs w:val="0"/>
          <w:color w:val="auto"/>
          <w:spacing w:val="17"/>
          <w:kern w:val="2"/>
          <w:highlight w:val="none"/>
        </w:rPr>
        <w:t>绩效评价总分值100分，根据综合评分结果，90（含）-100分为优、80（含）-90分为良、60（含）-80分为中、60分以下为差。</w:t>
      </w:r>
    </w:p>
    <w:p>
      <w:pPr>
        <w:pStyle w:val="11"/>
        <w:widowControl w:val="0"/>
        <w:spacing w:before="0" w:after="0" w:line="560" w:lineRule="exact"/>
        <w:ind w:firstLine="708" w:firstLineChars="200"/>
        <w:jc w:val="both"/>
        <w:outlineLvl w:val="9"/>
        <w:rPr>
          <w:rFonts w:hint="eastAsia" w:ascii="仿宋_GB2312" w:hAnsi="仿宋_GB2312" w:eastAsia="仿宋_GB2312" w:cs="仿宋_GB2312"/>
          <w:b w:val="0"/>
          <w:bCs w:val="0"/>
          <w:color w:val="auto"/>
          <w:spacing w:val="17"/>
          <w:highlight w:val="none"/>
        </w:rPr>
      </w:pPr>
      <w:r>
        <w:rPr>
          <w:rFonts w:hint="eastAsia" w:ascii="仿宋_GB2312" w:hAnsi="仿宋_GB2312" w:eastAsia="仿宋_GB2312" w:cs="仿宋_GB2312"/>
          <w:b w:val="0"/>
          <w:bCs w:val="0"/>
          <w:color w:val="auto"/>
          <w:spacing w:val="17"/>
          <w:highlight w:val="none"/>
        </w:rPr>
        <w:t>具体评价指标体系详情见附件1</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3</w:t>
      </w:r>
      <w:r>
        <w:rPr>
          <w:rFonts w:hint="eastAsia" w:ascii="仿宋_GB2312" w:hAnsi="仿宋_GB2312" w:eastAsia="仿宋_GB2312" w:cs="仿宋_GB2312"/>
          <w:b w:val="0"/>
          <w:bCs w:val="0"/>
          <w:color w:val="auto"/>
          <w:highlight w:val="none"/>
          <w:lang w:val="en-US" w:eastAsia="zh-CN"/>
        </w:rPr>
        <w:t>.</w:t>
      </w:r>
      <w:r>
        <w:rPr>
          <w:rFonts w:hint="eastAsia" w:ascii="仿宋_GB2312" w:hAnsi="仿宋_GB2312" w:eastAsia="仿宋_GB2312" w:cs="仿宋_GB2312"/>
          <w:b w:val="0"/>
          <w:bCs w:val="0"/>
          <w:color w:val="auto"/>
          <w:highlight w:val="none"/>
        </w:rPr>
        <w:t>绩效评价方法</w:t>
      </w:r>
    </w:p>
    <w:p>
      <w:pPr>
        <w:pageBreakBefore w:val="0"/>
        <w:kinsoku/>
        <w:wordWrap/>
        <w:overflowPunct/>
        <w:topLinePunct w:val="0"/>
        <w:autoSpaceDE/>
        <w:autoSpaceDN/>
        <w:bidi w:val="0"/>
        <w:adjustRightInd/>
        <w:snapToGrid/>
        <w:spacing w:line="560" w:lineRule="exact"/>
        <w:ind w:right="0" w:rightChars="0"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绩效评价从项目</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产出</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、项目</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成本</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、项目</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效益</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、项目</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满意度</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四个维度进行评价。评价对象为项目目标实施情况，评价核心为资金的支出完成情况和项目的产出效益。</w:t>
      </w:r>
    </w:p>
    <w:p>
      <w:pPr>
        <w:pageBreakBefore w:val="0"/>
        <w:kinsoku/>
        <w:wordWrap/>
        <w:overflowPunct/>
        <w:topLinePunct w:val="0"/>
        <w:autoSpaceDE/>
        <w:autoSpaceDN/>
        <w:bidi w:val="0"/>
        <w:adjustRightInd/>
        <w:snapToGrid/>
        <w:spacing w:line="560" w:lineRule="exact"/>
        <w:ind w:right="0" w:rightChars="0"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本次评价指标中，既有定性指标又有定量指标，各类指标因考核内容不同和客观标准不同存在较大差异，因此核定具体指标时采用了不同方法，具体评价方法如下：</w:t>
      </w:r>
    </w:p>
    <w:p>
      <w:pPr>
        <w:pageBreakBefore w:val="0"/>
        <w:kinsoku/>
        <w:wordWrap/>
        <w:overflowPunct/>
        <w:topLinePunct w:val="0"/>
        <w:autoSpaceDE/>
        <w:autoSpaceDN/>
        <w:bidi w:val="0"/>
        <w:adjustRightInd/>
        <w:snapToGrid/>
        <w:spacing w:line="560" w:lineRule="exact"/>
        <w:ind w:right="0" w:rightChars="0"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（1）比较法</w:t>
      </w:r>
    </w:p>
    <w:p>
      <w:pPr>
        <w:pageBreakBefore w:val="0"/>
        <w:kinsoku/>
        <w:wordWrap/>
        <w:overflowPunct/>
        <w:topLinePunct w:val="0"/>
        <w:autoSpaceDE/>
        <w:autoSpaceDN/>
        <w:bidi w:val="0"/>
        <w:adjustRightInd/>
        <w:snapToGrid/>
        <w:spacing w:line="560" w:lineRule="exact"/>
        <w:ind w:right="0" w:rightChars="0"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通过对绩效目标与实施效果、历史与当期情况，综合分析绩效目标实现程度。对</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最终验收情况与年度绩效目标对比、预算资金执行情况等相关因素进行比较。</w:t>
      </w:r>
    </w:p>
    <w:p>
      <w:pPr>
        <w:pageBreakBefore w:val="0"/>
        <w:kinsoku/>
        <w:wordWrap/>
        <w:overflowPunct/>
        <w:topLinePunct w:val="0"/>
        <w:autoSpaceDE/>
        <w:autoSpaceDN/>
        <w:bidi w:val="0"/>
        <w:adjustRightInd/>
        <w:snapToGrid/>
        <w:spacing w:line="560" w:lineRule="exact"/>
        <w:ind w:right="0" w:rightChars="0"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（2）因素分析法</w:t>
      </w:r>
    </w:p>
    <w:p>
      <w:pPr>
        <w:spacing w:line="560" w:lineRule="exact"/>
        <w:ind w:firstLine="708" w:firstLineChars="200"/>
        <w:rPr>
          <w:rFonts w:hint="eastAsia" w:ascii="仿宋_GB2312" w:hAnsi="仿宋_GB2312" w:eastAsia="仿宋_GB2312" w:cs="仿宋_GB2312"/>
          <w:color w:val="auto"/>
          <w:spacing w:val="17"/>
          <w:sz w:val="32"/>
          <w:szCs w:val="32"/>
          <w:highlight w:val="none"/>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通过综合分析影响绩效目标实现、实施效果的内外因素，评价绩效目标实现程度。通过对</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的开展情况、项目产出数量、成本控制、资金拨付文件及自评报告等相关资料的收集和审核，综合分析各因素对绩效目标实现的影响。</w:t>
      </w:r>
    </w:p>
    <w:p>
      <w:pPr>
        <w:pStyle w:val="11"/>
        <w:widowControl w:val="0"/>
        <w:spacing w:before="0" w:after="0" w:line="560" w:lineRule="exact"/>
        <w:ind w:firstLine="640" w:firstLineChars="200"/>
        <w:jc w:val="both"/>
        <w:outlineLvl w:val="9"/>
        <w:rPr>
          <w:rFonts w:hint="eastAsia" w:ascii="仿宋_GB2312" w:hAnsi="仿宋_GB2312" w:eastAsia="仿宋_GB2312" w:cs="仿宋_GB2312"/>
          <w:b w:val="0"/>
          <w:bCs w:val="0"/>
          <w:color w:val="auto"/>
          <w:highlight w:val="none"/>
        </w:rPr>
      </w:pPr>
      <w:r>
        <w:rPr>
          <w:rFonts w:hint="eastAsia" w:ascii="仿宋_GB2312" w:hAnsi="仿宋_GB2312" w:eastAsia="仿宋_GB2312" w:cs="仿宋_GB2312"/>
          <w:b w:val="0"/>
          <w:bCs w:val="0"/>
          <w:color w:val="auto"/>
          <w:highlight w:val="none"/>
        </w:rPr>
        <w:t>4</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b w:val="0"/>
          <w:bCs w:val="0"/>
          <w:color w:val="auto"/>
          <w:highlight w:val="none"/>
        </w:rPr>
        <w:t>评价标准</w:t>
      </w:r>
    </w:p>
    <w:p>
      <w:pPr>
        <w:spacing w:line="560" w:lineRule="exact"/>
        <w:ind w:firstLine="708" w:firstLineChars="200"/>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绩效评价标准通常包括计划标准、行业标准、历史标准</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、预算支出标准</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等，用于对绩效指标完成情况进行比较。本次评价主要采用了</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w:t>
      </w:r>
    </w:p>
    <w:p>
      <w:pPr>
        <w:numPr>
          <w:ilvl w:val="0"/>
          <w:numId w:val="2"/>
        </w:numPr>
        <w:spacing w:line="560" w:lineRule="exact"/>
        <w:ind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lang w:val="en-US" w:eastAsia="zh-CN"/>
          <w14:textFill>
            <w14:solidFill>
              <w14:schemeClr w14:val="tx1"/>
            </w14:solidFill>
          </w14:textFill>
        </w:rPr>
        <w:t>历史</w:t>
      </w:r>
      <w:r>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t>标准</w:t>
      </w: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pacing w:val="17"/>
          <w:sz w:val="32"/>
          <w:szCs w:val="32"/>
          <w:highlight w:val="none"/>
          <w:lang w:val="en-US" w:eastAsia="zh-CN"/>
          <w14:textFill>
            <w14:solidFill>
              <w14:schemeClr w14:val="tx1"/>
            </w14:solidFill>
          </w14:textFill>
        </w:rPr>
        <w:t>以历史数据为基准，纵向对比数据，识别变化趋势。</w:t>
      </w:r>
    </w:p>
    <w:p>
      <w:pPr>
        <w:numPr>
          <w:ilvl w:val="0"/>
          <w:numId w:val="2"/>
        </w:numPr>
        <w:spacing w:line="560" w:lineRule="exact"/>
        <w:ind w:firstLine="708" w:firstLineChars="200"/>
        <w:rPr>
          <w:rFonts w:hint="eastAsia" w:ascii="仿宋_GB2312" w:hAnsi="仿宋_GB2312" w:eastAsia="仿宋_GB2312" w:cs="仿宋_GB2312"/>
          <w:color w:val="000000" w:themeColor="text1"/>
          <w:spacing w:val="17"/>
          <w:sz w:val="32"/>
          <w:szCs w:val="32"/>
          <w:highlight w:val="none"/>
          <w14:textFill>
            <w14:solidFill>
              <w14:schemeClr w14:val="tx1"/>
            </w14:solidFill>
          </w14:textFill>
        </w:rPr>
      </w:pPr>
      <w:r>
        <w:rPr>
          <w:rFonts w:hint="eastAsia" w:ascii="仿宋_GB2312" w:hAnsi="仿宋_GB2312" w:eastAsia="仿宋_GB2312" w:cs="仿宋_GB2312"/>
          <w:color w:val="000000" w:themeColor="text1"/>
          <w:spacing w:val="17"/>
          <w:sz w:val="32"/>
          <w:szCs w:val="32"/>
          <w:highlight w:val="none"/>
          <w:lang w:eastAsia="zh-CN"/>
          <w14:textFill>
            <w14:solidFill>
              <w14:schemeClr w14:val="tx1"/>
            </w14:solidFill>
          </w14:textFill>
        </w:rPr>
        <w:t>预算支出标准：</w:t>
      </w:r>
      <w:r>
        <w:rPr>
          <w:rFonts w:hint="eastAsia" w:ascii="仿宋_GB2312" w:hAnsi="仿宋_GB2312" w:eastAsia="仿宋_GB2312" w:cs="仿宋_GB2312"/>
          <w:color w:val="000000" w:themeColor="text1"/>
          <w:spacing w:val="17"/>
          <w:sz w:val="32"/>
          <w:szCs w:val="32"/>
          <w:highlight w:val="none"/>
          <w:lang w:val="en-US" w:eastAsia="zh-CN"/>
          <w14:textFill>
            <w14:solidFill>
              <w14:schemeClr w14:val="tx1"/>
            </w14:solidFill>
          </w14:textFill>
        </w:rPr>
        <w:t>用于衡量财政支出的经济性、效率性和效益性。</w:t>
      </w:r>
    </w:p>
    <w:p>
      <w:pPr>
        <w:pStyle w:val="11"/>
        <w:numPr>
          <w:ilvl w:val="0"/>
          <w:numId w:val="3"/>
        </w:numPr>
        <w:spacing w:before="0" w:after="0" w:line="560" w:lineRule="exact"/>
        <w:ind w:firstLine="711" w:firstLineChars="200"/>
        <w:jc w:val="both"/>
        <w:rPr>
          <w:rFonts w:hint="eastAsia" w:ascii="仿宋_GB2312" w:hAnsi="仿宋_GB2312" w:eastAsia="仿宋_GB2312" w:cs="仿宋_GB2312"/>
          <w:color w:val="auto"/>
          <w:spacing w:val="17"/>
          <w:highlight w:val="none"/>
        </w:rPr>
      </w:pPr>
      <w:r>
        <w:rPr>
          <w:rFonts w:hint="eastAsia" w:ascii="仿宋_GB2312" w:hAnsi="仿宋_GB2312" w:eastAsia="仿宋_GB2312" w:cs="仿宋_GB2312"/>
          <w:color w:val="auto"/>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依据项目的性质、目标以及预期成果，构建了科学合理的绩效评价指标体系。该指标体系涵盖了</w:t>
      </w:r>
      <w:r>
        <w:rPr>
          <w:rFonts w:hint="eastAsia" w:ascii="仿宋_GB2312" w:hAnsi="仿宋_GB2312" w:eastAsia="仿宋_GB2312" w:cs="仿宋_GB2312"/>
          <w:color w:val="auto"/>
          <w:spacing w:val="17"/>
          <w:sz w:val="32"/>
          <w:szCs w:val="32"/>
          <w:highlight w:val="none"/>
        </w:rPr>
        <w:t>项目决策、项目过程、项目产出、项目效益四个维度</w:t>
      </w:r>
      <w:r>
        <w:rPr>
          <w:rFonts w:hint="eastAsia" w:ascii="仿宋_GB2312" w:hAnsi="仿宋_GB2312" w:eastAsia="仿宋_GB2312" w:cs="仿宋_GB2312"/>
          <w:color w:val="auto"/>
          <w:sz w:val="32"/>
          <w:szCs w:val="32"/>
          <w:highlight w:val="none"/>
          <w:lang w:eastAsia="zh-CN"/>
        </w:rPr>
        <w:t>，选取了具有代表性和可衡量性的关键指标，并为每个指标设定了明确的评价标准与权重，确保评价结果能够全面、准确地反映项目的绩效状况。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rPr>
        <w:t>6.</w:t>
      </w:r>
      <w:r>
        <w:rPr>
          <w:rFonts w:hint="eastAsia" w:ascii="仿宋_GB2312" w:hAnsi="仿宋_GB2312" w:eastAsia="仿宋_GB2312" w:cs="仿宋_GB2312"/>
          <w:color w:val="auto"/>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pPr>
        <w:numPr>
          <w:ilvl w:val="0"/>
          <w:numId w:val="4"/>
        </w:num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综合评价情况及评价结论（附相关评分表）</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一</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评价情况</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项目的综合评价基于对项目各方面绩效的深入分析与评估。从项目目标的达成情况来看，工信厅电子政务运行维护和企业信息化工作经费在做好我厅内外网专网以及各业务信息系统的运行维护和安全防护，确保安全稳定运行、做好新疆工信厅门户网站的日常运行维护工作，确保我厅在国家和自治区的网站日常监测和绩效评估中达标等方面表现出色，达到了预期的标准与要求。</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在项目管理方面，新疆维吾尔自治区工业和信息化厅信息中心通过有效的规划、组织与协调，项目得以顺利实施，并在预算与时间上保持了良好的控制。</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从项目效益的角度来看，本项目不仅实现了预期的社会效益方面产生了积极的影响。具体而言，系统安全稳定运行时间、</w:t>
      </w:r>
      <w:r>
        <w:rPr>
          <w:rFonts w:hint="eastAsia" w:ascii="仿宋_GB2312" w:hAnsi="仿宋_GB2312" w:eastAsia="仿宋_GB2312" w:cs="仿宋_GB2312"/>
          <w:color w:val="auto"/>
          <w:sz w:val="32"/>
          <w:szCs w:val="32"/>
          <w:highlight w:val="none"/>
          <w:lang w:eastAsia="zh-CN"/>
        </w:rPr>
        <w:t>使用人员满意度</w:t>
      </w:r>
      <w:r>
        <w:rPr>
          <w:rFonts w:hint="eastAsia" w:ascii="仿宋_GB2312" w:hAnsi="仿宋_GB2312" w:eastAsia="仿宋_GB2312" w:cs="仿宋_GB2312"/>
          <w:color w:val="auto"/>
          <w:sz w:val="32"/>
          <w:szCs w:val="32"/>
          <w:highlight w:val="none"/>
        </w:rPr>
        <w:t>等方面的提升，为项目的利益相关者带来了实实在在的利益。</w:t>
      </w:r>
    </w:p>
    <w:p>
      <w:pPr>
        <w:pStyle w:val="10"/>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综上所述，工信厅电子政务运行维护和企业信息化工作经费在绩效评价中表现出色，达到了项目的预期目标，并在多个方面取得了显著的成效。</w:t>
      </w:r>
    </w:p>
    <w:p>
      <w:pPr>
        <w:pStyle w:val="11"/>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二</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lang w:val="en-US" w:eastAsia="zh-CN"/>
        </w:rPr>
        <w:t>评价结论</w:t>
      </w:r>
    </w:p>
    <w:p>
      <w:pPr>
        <w:pStyle w:val="11"/>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eastAsia" w:ascii="仿宋_GB2312" w:hAnsi="仿宋_GB2312" w:eastAsia="仿宋_GB2312" w:cs="仿宋_GB2312"/>
          <w:b w:val="0"/>
          <w:bCs w:val="0"/>
          <w:color w:val="auto"/>
          <w:sz w:val="32"/>
          <w:szCs w:val="32"/>
          <w:highlight w:val="none"/>
        </w:rPr>
        <w:t>运用绩效评价组制定的评价指标体系以及财政部《项目支出绩效评价管理办法》（财预〔2020〕10号）文件的评分标准，通过数据采集、问卷调查及访谈等方式，对本项目进行客观评价，最终评分结果：总得分为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分，属于“优（良/中/差）”。其中，项目决策类指标权重为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%。项目过程类指标权重为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%。项目产出类指标权重为</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0分，得分为</w:t>
      </w:r>
      <w:r>
        <w:rPr>
          <w:rFonts w:hint="eastAsia" w:ascii="仿宋_GB2312" w:hAnsi="仿宋_GB2312" w:eastAsia="仿宋_GB2312" w:cs="仿宋_GB2312"/>
          <w:b w:val="0"/>
          <w:bCs w:val="0"/>
          <w:color w:val="auto"/>
          <w:sz w:val="32"/>
          <w:szCs w:val="32"/>
          <w:highlight w:val="none"/>
          <w:lang w:val="en-US" w:eastAsia="zh-CN"/>
        </w:rPr>
        <w:t>4</w:t>
      </w:r>
      <w:r>
        <w:rPr>
          <w:rFonts w:hint="eastAsia" w:ascii="仿宋_GB2312" w:hAnsi="仿宋_GB2312" w:eastAsia="仿宋_GB2312" w:cs="仿宋_GB2312"/>
          <w:b w:val="0"/>
          <w:bCs w:val="0"/>
          <w:color w:val="auto"/>
          <w:sz w:val="32"/>
          <w:szCs w:val="32"/>
          <w:highlight w:val="none"/>
        </w:rPr>
        <w:t xml:space="preserve">0分，得分率为 </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%。项目效益类指标权重为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分，得分为</w:t>
      </w:r>
      <w:r>
        <w:rPr>
          <w:rFonts w:hint="eastAsia" w:ascii="仿宋_GB2312" w:hAnsi="仿宋_GB2312" w:eastAsia="仿宋_GB2312" w:cs="仿宋_GB2312"/>
          <w:b w:val="0"/>
          <w:bCs w:val="0"/>
          <w:color w:val="auto"/>
          <w:sz w:val="32"/>
          <w:szCs w:val="32"/>
          <w:highlight w:val="none"/>
          <w:lang w:val="en-US" w:eastAsia="zh-CN"/>
        </w:rPr>
        <w:t>20</w:t>
      </w:r>
      <w:r>
        <w:rPr>
          <w:rFonts w:hint="eastAsia" w:ascii="仿宋_GB2312" w:hAnsi="仿宋_GB2312" w:eastAsia="仿宋_GB2312" w:cs="仿宋_GB2312"/>
          <w:b w:val="0"/>
          <w:bCs w:val="0"/>
          <w:color w:val="auto"/>
          <w:sz w:val="32"/>
          <w:szCs w:val="32"/>
          <w:highlight w:val="none"/>
        </w:rPr>
        <w:t>分，得分率为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%。具体打分情况详见：附件1综合评分表</w:t>
      </w:r>
      <w:r>
        <w:rPr>
          <w:rFonts w:hint="eastAsia" w:ascii="仿宋_GB2312" w:hAnsi="仿宋_GB2312" w:eastAsia="仿宋_GB2312" w:cs="仿宋_GB2312"/>
          <w:b w:val="0"/>
          <w:bCs w:val="0"/>
          <w:color w:val="auto"/>
          <w:sz w:val="32"/>
          <w:szCs w:val="32"/>
          <w:highlight w:val="none"/>
          <w:lang w:eastAsia="zh-CN"/>
        </w:rPr>
        <w:t>。</w:t>
      </w:r>
    </w:p>
    <w:p>
      <w:pPr>
        <w:pStyle w:val="11"/>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40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rPr>
            </w:pPr>
            <w:r>
              <w:rPr>
                <w:rFonts w:hint="default" w:ascii="Times New Roman" w:hAnsi="Times New Roman" w:eastAsia="仿宋_GB2312" w:cs="Times New Roman"/>
                <w:color w:val="auto"/>
                <w:sz w:val="21"/>
                <w:szCs w:val="21"/>
                <w:highlight w:val="none"/>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sz w:val="21"/>
                <w:szCs w:val="21"/>
                <w:highlight w:val="none"/>
                <w:lang w:val="en-US" w:eastAsia="zh-CN"/>
              </w:rPr>
            </w:pPr>
            <w:r>
              <w:rPr>
                <w:rFonts w:hint="eastAsia" w:eastAsia="仿宋_GB2312" w:cs="Times New Roman"/>
                <w:color w:val="auto"/>
                <w:sz w:val="21"/>
                <w:szCs w:val="21"/>
                <w:highlight w:val="none"/>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auto"/>
                <w:kern w:val="2"/>
                <w:sz w:val="21"/>
                <w:szCs w:val="21"/>
                <w:highlight w:val="none"/>
                <w:lang w:val="en-US" w:eastAsia="zh-CN" w:bidi="ar-SA"/>
              </w:rPr>
            </w:pPr>
            <w:r>
              <w:rPr>
                <w:rFonts w:hint="eastAsia" w:eastAsia="仿宋_GB2312" w:cs="Times New Roman"/>
                <w:color w:val="auto"/>
                <w:sz w:val="21"/>
                <w:szCs w:val="21"/>
                <w:highlight w:val="none"/>
                <w:lang w:val="en-US" w:eastAsia="zh-CN"/>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rPr>
            </w:pPr>
            <w:r>
              <w:rPr>
                <w:rFonts w:hint="default" w:ascii="Times New Roman" w:hAnsi="Times New Roman" w:eastAsia="仿宋_GB2312" w:cs="Times New Roman"/>
                <w:b/>
                <w:bCs/>
                <w:color w:val="auto"/>
                <w:sz w:val="21"/>
                <w:szCs w:val="21"/>
                <w:highlight w:val="none"/>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sz w:val="21"/>
                <w:szCs w:val="21"/>
                <w:highlight w:val="none"/>
                <w:lang w:val="en-US" w:eastAsia="zh-CN"/>
              </w:rPr>
            </w:pPr>
            <w:r>
              <w:rPr>
                <w:rFonts w:hint="default" w:ascii="Times New Roman" w:hAnsi="Times New Roman" w:eastAsia="仿宋_GB2312" w:cs="Times New Roman"/>
                <w:b/>
                <w:bCs/>
                <w:color w:val="auto"/>
                <w:sz w:val="21"/>
                <w:szCs w:val="21"/>
                <w:highlight w:val="none"/>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auto"/>
                <w:kern w:val="2"/>
                <w:sz w:val="21"/>
                <w:szCs w:val="21"/>
                <w:highlight w:val="none"/>
                <w:lang w:val="en-US" w:eastAsia="zh-CN" w:bidi="ar-SA"/>
              </w:rPr>
            </w:pPr>
            <w:r>
              <w:rPr>
                <w:rFonts w:hint="default" w:ascii="Times New Roman" w:hAnsi="Times New Roman" w:eastAsia="仿宋_GB2312" w:cs="Times New Roman"/>
                <w:b/>
                <w:bCs/>
                <w:color w:val="auto"/>
                <w:sz w:val="21"/>
                <w:szCs w:val="21"/>
                <w:highlight w:val="none"/>
                <w:lang w:val="en-US" w:eastAsia="zh-CN"/>
              </w:rPr>
              <w:t>100</w:t>
            </w:r>
          </w:p>
        </w:tc>
      </w:tr>
    </w:tbl>
    <w:p>
      <w:pPr>
        <w:spacing w:line="560" w:lineRule="exact"/>
        <w:ind w:firstLine="640" w:firstLineChars="200"/>
        <w:rPr>
          <w:rFonts w:hint="default" w:ascii="Times New Roman" w:hAnsi="Times New Roman" w:eastAsia="黑体" w:cs="Times New Roman"/>
          <w:color w:val="auto"/>
          <w:sz w:val="32"/>
          <w:szCs w:val="32"/>
          <w:highlight w:val="none"/>
        </w:rPr>
      </w:pPr>
      <w:r>
        <w:rPr>
          <w:rFonts w:hint="default" w:ascii="Times New Roman" w:hAnsi="Times New Roman" w:eastAsia="黑体" w:cs="Times New Roman"/>
          <w:color w:val="auto"/>
          <w:sz w:val="32"/>
          <w:szCs w:val="32"/>
          <w:highlight w:val="none"/>
        </w:rPr>
        <w:t>四、绩效评价指标分析</w:t>
      </w:r>
    </w:p>
    <w:p>
      <w:pPr>
        <w:pStyle w:val="11"/>
        <w:spacing w:before="0" w:after="0" w:line="560" w:lineRule="exact"/>
        <w:ind w:firstLine="643" w:firstLineChars="200"/>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（一）项目决策情况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项目决策类指标包括项目立项、绩效目标和资金投入三方面的内容，由6个三级指标构成，权重分值为20分，实际得分20分，得分率为100%。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1.项目立项</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（1）立项依据充分性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（2）立项程序规范性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项目申请、设立过程符合相关要求，</w:t>
      </w:r>
      <w:r>
        <w:rPr>
          <w:rFonts w:hint="eastAsia" w:ascii="仿宋_GB2312" w:hAnsi="仿宋_GB2312" w:eastAsia="仿宋_GB2312" w:cs="仿宋_GB2312"/>
          <w:color w:val="auto"/>
          <w:sz w:val="32"/>
          <w:szCs w:val="32"/>
          <w:highlight w:val="none"/>
          <w:lang w:eastAsia="zh-Hans"/>
        </w:rPr>
        <w:t>严格按照审批流程准备符合要求的文件、材料；</w:t>
      </w:r>
      <w:r>
        <w:rPr>
          <w:rFonts w:hint="eastAsia" w:ascii="仿宋_GB2312" w:hAnsi="仿宋_GB2312" w:eastAsia="仿宋_GB2312" w:cs="仿宋_GB2312"/>
          <w:color w:val="auto"/>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2.绩效目标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（1）绩效目标合理性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Hans"/>
        </w:rPr>
        <w:t>年初结合实际工作内容</w:t>
      </w:r>
      <w:r>
        <w:rPr>
          <w:rFonts w:hint="eastAsia" w:ascii="仿宋_GB2312" w:hAnsi="仿宋_GB2312" w:eastAsia="仿宋_GB2312" w:cs="仿宋_GB2312"/>
          <w:color w:val="auto"/>
          <w:sz w:val="32"/>
          <w:szCs w:val="32"/>
          <w:highlight w:val="none"/>
          <w:lang w:val="en-US" w:eastAsia="zh-CN"/>
        </w:rPr>
        <w:t>设定绩效目标</w:t>
      </w:r>
      <w:r>
        <w:rPr>
          <w:rFonts w:hint="eastAsia" w:ascii="仿宋_GB2312" w:hAnsi="仿宋_GB2312" w:eastAsia="仿宋_GB2312" w:cs="仿宋_GB2312"/>
          <w:color w:val="auto"/>
          <w:sz w:val="32"/>
          <w:szCs w:val="32"/>
          <w:highlight w:val="none"/>
          <w:lang w:val="en-US" w:eastAsia="zh-Hans"/>
        </w:rPr>
        <w:t>，绩效目标</w:t>
      </w:r>
      <w:r>
        <w:rPr>
          <w:rFonts w:hint="eastAsia" w:ascii="仿宋_GB2312" w:hAnsi="仿宋_GB2312" w:eastAsia="仿宋_GB2312" w:cs="仿宋_GB2312"/>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（2）绩效指标明确性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3.资金投入</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在预算编制过程中，</w:t>
      </w:r>
      <w:r>
        <w:rPr>
          <w:rFonts w:hint="eastAsia" w:ascii="仿宋_GB2312" w:hAnsi="仿宋_GB2312" w:eastAsia="仿宋_GB2312" w:cs="仿宋_GB2312"/>
          <w:color w:val="auto"/>
          <w:sz w:val="32"/>
          <w:szCs w:val="32"/>
          <w:highlight w:val="none"/>
          <w:lang w:val="en-US" w:eastAsia="zh-CN"/>
        </w:rPr>
        <w:t>还</w:t>
      </w:r>
      <w:r>
        <w:rPr>
          <w:rFonts w:hint="eastAsia" w:ascii="仿宋_GB2312" w:hAnsi="仿宋_GB2312" w:eastAsia="仿宋_GB2312" w:cs="仿宋_GB2312"/>
          <w:color w:val="auto"/>
          <w:sz w:val="32"/>
          <w:szCs w:val="32"/>
          <w:highlight w:val="none"/>
          <w:lang w:eastAsia="zh-CN"/>
        </w:rPr>
        <w:t>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本项目的资金分配遵循了公平、公正、透明的原则，确保了项目资源的合理配置与高效利用。在资金分配过程中，我们充分考虑了项目的实际需求与目标，对不同阶段、不同任务的资金进行了科学的规划与安排。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综上所述，本项目的资金分配是合理的、科学的，既符合项目的实际情况，又满足了资金使用的效益最大化要求。资金分配的合理性为项目的成功实施提供了有力的保障，也为项目的绩效评价奠定了坚实的基础。</w:t>
      </w:r>
    </w:p>
    <w:p>
      <w:pPr>
        <w:pStyle w:val="11"/>
        <w:numPr>
          <w:ilvl w:val="0"/>
          <w:numId w:val="5"/>
        </w:numPr>
        <w:spacing w:before="0" w:after="0" w:line="560" w:lineRule="exact"/>
        <w:ind w:firstLine="643" w:firstLineChars="200"/>
        <w:jc w:val="both"/>
        <w:rPr>
          <w:rFonts w:hint="eastAsia" w:ascii="仿宋_GB2312" w:hAnsi="仿宋_GB2312" w:eastAsia="仿宋_GB2312" w:cs="仿宋_GB2312"/>
          <w:color w:val="auto"/>
          <w:highlight w:val="none"/>
        </w:rPr>
      </w:pPr>
      <w:r>
        <w:rPr>
          <w:rFonts w:hint="eastAsia" w:ascii="仿宋_GB2312" w:hAnsi="仿宋_GB2312" w:eastAsia="仿宋_GB2312" w:cs="仿宋_GB2312"/>
          <w:color w:val="auto"/>
          <w:highlight w:val="none"/>
        </w:rPr>
        <w:t>项目过程情况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项目过程类指标包括资金管理和组织实施两方面的内容，由5个三级指标构成，权重分值为20分，实际得分20分，得分率为100%。</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1.资金管理</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（1）资金到位率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本项目总投资65万元，财政资金及时足额到位，到位率100%，预算资金按计划进度执行。</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（2）预算执行率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预算编制较为详细，项目资金支出总体能够按照预算执行，预算资金支出62.93万元，预算执行率为96.82%。</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本项目的资金使用严格遵循了国家相关法律法规与财务制度，确保了资金的合规性与安全性。在资金使用过程中，我们建立了完善的财务管理体系，对资金的流动进行了全程监控与记录。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w:t>
      </w:r>
    </w:p>
    <w:p>
      <w:pPr>
        <w:pStyle w:val="19"/>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2.组织实施</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本项目拥有一套完善、健全的管理制度体系，为项目的成功实施提供了坚实的制度保障。项目管理制度的制定紧密结合了项目的特点与实际情况，涵盖了项目的策划、组织、实施、监控与收尾等各个环节。</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在制度设计上，我们注重了制度的科学性与可操作性，确保制度能够切实指导项目的执行与管理。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综上所述，本项目的管理制度是健全的、有效的，既符合项目的实际情况，又满足了项目管理的需要。管理制度的健全性为项目的成功实施提供了有力的保障，也为项目的绩效评价奠定了坚实的基础。</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本项目在执行过程中，管理制度得到了全面、有效的落实，为确保项目的顺利实施与目标实现提供了坚实的保障。项目</w:t>
      </w:r>
      <w:r>
        <w:rPr>
          <w:rFonts w:hint="eastAsia" w:ascii="仿宋_GB2312" w:hAnsi="仿宋_GB2312" w:eastAsia="仿宋_GB2312" w:cs="仿宋_GB2312"/>
          <w:color w:val="auto"/>
          <w:sz w:val="32"/>
          <w:szCs w:val="32"/>
          <w:highlight w:val="none"/>
          <w:lang w:val="en-US" w:eastAsia="zh-CN"/>
        </w:rPr>
        <w:t>单位</w:t>
      </w:r>
      <w:r>
        <w:rPr>
          <w:rFonts w:hint="eastAsia" w:ascii="仿宋_GB2312" w:hAnsi="仿宋_GB2312" w:eastAsia="仿宋_GB2312" w:cs="仿宋_GB2312"/>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eastAsia="zh-CN"/>
        </w:rPr>
        <w:t>在具体执行过程中，项目团队成员严格按照制度要求进行操作。同时，我们还建立了有效的沟通机制与反馈机制，确保项目信息的及时传递与问题的及时解决，进一步提高了制度执行的效率与效果。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eastAsia="zh-CN"/>
        </w:rPr>
        <w:t>综上所述，本项目的管理制度在执行过程中表现出了高度的有效性，既确保了项目的顺利进行，又实现了项目目标的有效达成。</w:t>
      </w:r>
    </w:p>
    <w:p>
      <w:pPr>
        <w:pStyle w:val="13"/>
        <w:numPr>
          <w:ilvl w:val="0"/>
          <w:numId w:val="5"/>
        </w:numPr>
        <w:spacing w:line="560" w:lineRule="exact"/>
        <w:ind w:firstLine="643"/>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项目产出</w:t>
      </w:r>
      <w:r>
        <w:rPr>
          <w:rFonts w:hint="eastAsia" w:ascii="仿宋_GB2312" w:hAnsi="仿宋_GB2312" w:eastAsia="仿宋_GB2312" w:cs="仿宋_GB2312"/>
          <w:b/>
          <w:bCs/>
          <w:color w:val="auto"/>
          <w:sz w:val="32"/>
          <w:szCs w:val="32"/>
          <w:highlight w:val="none"/>
          <w:lang w:val="en-US" w:eastAsia="zh-CN"/>
        </w:rPr>
        <w:t>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项目产出类指标包括产出数量、产出质量、产出时效、产出成本四方面的内容，由6个三级指标构成，权重分为40分，实际得分40分，得分率为100%。具体产出指标完成情况如下：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1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①</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数量指标：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指标1：信息系统开发应用数量，指标值：≥36个，实际完成值：36个，指标完成率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质量指标：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：验收合格率，指标值：=100%，实际完成值：</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 xml:space="preserve"> 。</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：系统故障率，指标值：≤10%，实际完成值：</w:t>
      </w:r>
      <w:r>
        <w:rPr>
          <w:rFonts w:hint="eastAsia" w:ascii="仿宋_GB2312" w:hAnsi="仿宋_GB2312" w:eastAsia="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3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③</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时效指标：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系统故障修复处理时间，指标值：≤1天，实际完成值：</w:t>
      </w:r>
      <w:r>
        <w:rPr>
          <w:rFonts w:hint="eastAsia" w:ascii="仿宋_GB2312" w:hAnsi="仿宋_GB2312" w:eastAsia="仿宋_GB2312" w:cs="仿宋_GB2312"/>
          <w:color w:val="auto"/>
          <w:sz w:val="32"/>
          <w:szCs w:val="32"/>
          <w:highlight w:val="none"/>
          <w:lang w:val="en-US" w:eastAsia="zh-CN"/>
        </w:rPr>
        <w:t>1天</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系统运行维护响应时间，指标值：≤10小时，实际完成值：</w:t>
      </w:r>
      <w:r>
        <w:rPr>
          <w:rFonts w:hint="eastAsia" w:ascii="仿宋_GB2312" w:hAnsi="仿宋_GB2312" w:eastAsia="仿宋_GB2312" w:cs="仿宋_GB2312"/>
          <w:color w:val="auto"/>
          <w:sz w:val="32"/>
          <w:szCs w:val="32"/>
          <w:highlight w:val="none"/>
          <w:lang w:val="en-US" w:eastAsia="zh-CN"/>
        </w:rPr>
        <w:t>4</w:t>
      </w:r>
      <w:r>
        <w:rPr>
          <w:rFonts w:hint="eastAsia" w:ascii="仿宋_GB2312" w:hAnsi="仿宋_GB2312" w:eastAsia="仿宋_GB2312" w:cs="仿宋_GB2312"/>
          <w:color w:val="auto"/>
          <w:sz w:val="32"/>
          <w:szCs w:val="32"/>
          <w:highlight w:val="none"/>
        </w:rPr>
        <w:t>小时，指标完成率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4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④</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sz w:val="32"/>
          <w:szCs w:val="32"/>
          <w:highlight w:val="none"/>
        </w:rPr>
        <w:t>成本指标：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指标</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年度维护成本增长率，指标值：≤10%，实际完成值：</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pStyle w:val="13"/>
        <w:numPr>
          <w:ilvl w:val="0"/>
          <w:numId w:val="5"/>
        </w:numPr>
        <w:spacing w:line="560" w:lineRule="exact"/>
        <w:ind w:firstLine="643"/>
        <w:rPr>
          <w:rFonts w:hint="eastAsia" w:ascii="仿宋_GB2312" w:hAnsi="仿宋_GB2312" w:eastAsia="仿宋_GB2312" w:cs="仿宋_GB2312"/>
          <w:b/>
          <w:bCs/>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项目效益情况</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项目效益类指标包括项目实施效益和满意度两方面的内容，由2个三级指标构成，权重分为20分，实际得分20分，得分率为100%。具体效益指标及满意度指标完成情况如下：</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①</w:t>
      </w:r>
      <w:r>
        <w:rPr>
          <w:rFonts w:hint="eastAsia" w:ascii="仿宋_GB2312" w:hAnsi="仿宋_GB2312" w:eastAsia="仿宋_GB2312" w:cs="仿宋_GB2312"/>
          <w:color w:val="auto"/>
          <w:sz w:val="32"/>
          <w:szCs w:val="32"/>
          <w:highlight w:val="none"/>
        </w:rPr>
        <w:t>社会效益指标：</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系统安全稳定运行时间，指标值：≥1年，实际完成值：1年，指标完成率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pStyle w:val="2"/>
        <w:pageBreakBefore w:val="0"/>
        <w:numPr>
          <w:ilvl w:val="0"/>
          <w:numId w:val="0"/>
        </w:numPr>
        <w:kinsoku/>
        <w:wordWrap/>
        <w:overflowPunct/>
        <w:topLinePunct w:val="0"/>
        <w:autoSpaceDE/>
        <w:autoSpaceDN/>
        <w:bidi w:val="0"/>
        <w:adjustRightInd/>
        <w:snapToGrid/>
        <w:spacing w:after="0" w:line="560" w:lineRule="exact"/>
        <w:ind w:right="0" w:rightChars="0" w:firstLine="600"/>
        <w:rPr>
          <w:rFonts w:hint="eastAsia" w:ascii="仿宋_GB2312" w:hAnsi="仿宋_GB2312" w:eastAsia="仿宋_GB2312" w:cs="仿宋_GB2312"/>
          <w:color w:val="auto"/>
          <w:kern w:val="2"/>
          <w:sz w:val="32"/>
          <w:szCs w:val="32"/>
          <w:highlight w:val="none"/>
          <w:lang w:val="en-US" w:eastAsia="zh-CN" w:bidi="ar-SA"/>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 2 \* GB3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rPr>
        <w:t>②</w:t>
      </w:r>
      <w:r>
        <w:rPr>
          <w:rFonts w:hint="eastAsia" w:ascii="仿宋_GB2312" w:hAnsi="仿宋_GB2312" w:eastAsia="仿宋_GB2312" w:cs="仿宋_GB2312"/>
          <w:color w:val="auto"/>
          <w:sz w:val="32"/>
          <w:szCs w:val="32"/>
          <w:highlight w:val="none"/>
        </w:rPr>
        <w:fldChar w:fldCharType="end"/>
      </w:r>
      <w:r>
        <w:rPr>
          <w:rFonts w:hint="eastAsia" w:ascii="仿宋_GB2312" w:hAnsi="仿宋_GB2312" w:eastAsia="仿宋_GB2312" w:cs="仿宋_GB2312"/>
          <w:color w:val="auto"/>
          <w:kern w:val="2"/>
          <w:sz w:val="32"/>
          <w:szCs w:val="32"/>
          <w:highlight w:val="none"/>
          <w:lang w:val="en-US" w:eastAsia="zh-CN" w:bidi="ar-SA"/>
        </w:rPr>
        <w:t>满意度指标：</w:t>
      </w:r>
    </w:p>
    <w:p>
      <w:pPr>
        <w:spacing w:line="560" w:lineRule="exact"/>
        <w:ind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rPr>
        <w:t>使用人员满意度，指标值：≥85%，实际完成值：</w:t>
      </w:r>
      <w:r>
        <w:rPr>
          <w:rFonts w:hint="eastAsia" w:ascii="仿宋_GB2312" w:hAnsi="仿宋_GB2312" w:eastAsia="仿宋_GB2312" w:cs="仿宋_GB2312"/>
          <w:color w:val="auto"/>
          <w:sz w:val="32"/>
          <w:szCs w:val="32"/>
          <w:highlight w:val="none"/>
          <w:lang w:val="en-US" w:eastAsia="zh-CN"/>
        </w:rPr>
        <w:t>96%</w:t>
      </w:r>
      <w:r>
        <w:rPr>
          <w:rFonts w:hint="eastAsia" w:ascii="仿宋_GB2312" w:hAnsi="仿宋_GB2312" w:eastAsia="仿宋_GB2312" w:cs="仿宋_GB2312"/>
          <w:color w:val="auto"/>
          <w:sz w:val="32"/>
          <w:szCs w:val="32"/>
          <w:highlight w:val="none"/>
        </w:rPr>
        <w:t>，指标完成率</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w:t>
      </w:r>
    </w:p>
    <w:p>
      <w:pPr>
        <w:spacing w:line="560" w:lineRule="exact"/>
        <w:ind w:firstLine="640" w:firstLineChars="200"/>
        <w:rPr>
          <w:rFonts w:hint="eastAsia" w:ascii="黑体" w:hAnsi="黑体" w:eastAsia="黑体" w:cs="黑体"/>
          <w:b w:val="0"/>
          <w:bCs w:val="0"/>
          <w:color w:val="auto"/>
          <w:sz w:val="32"/>
          <w:szCs w:val="32"/>
          <w:highlight w:val="none"/>
          <w:lang w:val="en-US" w:eastAsia="zh-Hans"/>
        </w:rPr>
      </w:pPr>
      <w:r>
        <w:rPr>
          <w:rFonts w:hint="eastAsia" w:ascii="黑体" w:hAnsi="黑体" w:eastAsia="黑体" w:cs="黑体"/>
          <w:b w:val="0"/>
          <w:bCs w:val="0"/>
          <w:color w:val="auto"/>
          <w:sz w:val="32"/>
          <w:szCs w:val="32"/>
          <w:highlight w:val="none"/>
          <w:lang w:val="en-US" w:eastAsia="zh-CN"/>
        </w:rPr>
        <w:t>五、</w:t>
      </w:r>
      <w:r>
        <w:rPr>
          <w:rFonts w:hint="eastAsia" w:ascii="黑体" w:hAnsi="黑体" w:eastAsia="黑体" w:cs="黑体"/>
          <w:b w:val="0"/>
          <w:bCs w:val="0"/>
          <w:color w:val="auto"/>
          <w:sz w:val="32"/>
          <w:szCs w:val="32"/>
          <w:highlight w:val="none"/>
          <w:lang w:val="en-US" w:eastAsia="zh-Hans"/>
        </w:rPr>
        <w:t>预算执行进度与绩效指标总体完成率偏差</w:t>
      </w:r>
    </w:p>
    <w:p>
      <w:pPr>
        <w:pStyle w:val="19"/>
        <w:spacing w:line="560" w:lineRule="exact"/>
        <w:ind w:firstLine="640"/>
        <w:rPr>
          <w:rFonts w:hint="eastAsia" w:ascii="仿宋_GB2312" w:hAnsi="仿宋_GB2312" w:eastAsia="仿宋_GB2312" w:cs="仿宋_GB2312"/>
          <w:b w:val="0"/>
          <w:bCs w:val="0"/>
          <w:color w:val="auto"/>
          <w:sz w:val="32"/>
          <w:szCs w:val="32"/>
          <w:highlight w:val="none"/>
          <w:lang w:eastAsia="zh-CN"/>
        </w:rPr>
      </w:pPr>
      <w:r>
        <w:rPr>
          <w:rFonts w:hint="default" w:ascii="Times New Roman" w:hAnsi="Times New Roman" w:eastAsia="仿宋_GB2312" w:cs="Times New Roman"/>
          <w:color w:val="auto"/>
          <w:sz w:val="32"/>
          <w:szCs w:val="32"/>
          <w:highlight w:val="none"/>
        </w:rPr>
        <w:t>工信厅电子政务运行维护和企业信息化工作经费</w:t>
      </w:r>
      <w:r>
        <w:rPr>
          <w:rFonts w:hint="eastAsia" w:ascii="仿宋_GB2312" w:hAnsi="仿宋_GB2312" w:eastAsia="仿宋_GB2312" w:cs="仿宋_GB2312"/>
          <w:b w:val="0"/>
          <w:bCs w:val="0"/>
          <w:color w:val="auto"/>
          <w:sz w:val="32"/>
          <w:szCs w:val="32"/>
          <w:highlight w:val="none"/>
        </w:rPr>
        <w:t>项目年初预算</w:t>
      </w:r>
      <w:r>
        <w:rPr>
          <w:rFonts w:hint="eastAsia" w:ascii="仿宋_GB2312" w:hAnsi="仿宋_GB2312" w:eastAsia="仿宋_GB2312" w:cs="仿宋_GB2312"/>
          <w:b w:val="0"/>
          <w:bCs w:val="0"/>
          <w:color w:val="auto"/>
          <w:sz w:val="32"/>
          <w:szCs w:val="32"/>
          <w:highlight w:val="none"/>
          <w:lang w:val="en-US" w:eastAsia="zh-CN"/>
        </w:rPr>
        <w:t>65</w:t>
      </w:r>
      <w:r>
        <w:rPr>
          <w:rFonts w:hint="eastAsia" w:ascii="仿宋_GB2312" w:hAnsi="仿宋_GB2312" w:eastAsia="仿宋_GB2312" w:cs="仿宋_GB2312"/>
          <w:b w:val="0"/>
          <w:bCs w:val="0"/>
          <w:color w:val="auto"/>
          <w:sz w:val="32"/>
          <w:szCs w:val="32"/>
          <w:highlight w:val="none"/>
        </w:rPr>
        <w:t>万元，全年预算</w:t>
      </w:r>
      <w:r>
        <w:rPr>
          <w:rFonts w:hint="eastAsia" w:ascii="仿宋_GB2312" w:hAnsi="仿宋_GB2312" w:eastAsia="仿宋_GB2312" w:cs="仿宋_GB2312"/>
          <w:b w:val="0"/>
          <w:bCs w:val="0"/>
          <w:color w:val="auto"/>
          <w:sz w:val="32"/>
          <w:szCs w:val="32"/>
          <w:highlight w:val="none"/>
          <w:lang w:val="en-US" w:eastAsia="zh-CN"/>
        </w:rPr>
        <w:t>65</w:t>
      </w:r>
      <w:r>
        <w:rPr>
          <w:rFonts w:hint="eastAsia" w:ascii="仿宋_GB2312" w:hAnsi="仿宋_GB2312" w:eastAsia="仿宋_GB2312" w:cs="仿宋_GB2312"/>
          <w:b w:val="0"/>
          <w:bCs w:val="0"/>
          <w:color w:val="auto"/>
          <w:sz w:val="32"/>
          <w:szCs w:val="32"/>
          <w:highlight w:val="none"/>
        </w:rPr>
        <w:t>万元，实际支出</w:t>
      </w:r>
      <w:r>
        <w:rPr>
          <w:rFonts w:hint="eastAsia" w:ascii="仿宋_GB2312" w:hAnsi="仿宋_GB2312" w:eastAsia="仿宋_GB2312" w:cs="仿宋_GB2312"/>
          <w:b w:val="0"/>
          <w:bCs w:val="0"/>
          <w:color w:val="auto"/>
          <w:sz w:val="32"/>
          <w:szCs w:val="32"/>
          <w:highlight w:val="none"/>
          <w:lang w:val="en-US" w:eastAsia="zh-CN"/>
        </w:rPr>
        <w:t>62.93</w:t>
      </w:r>
      <w:r>
        <w:rPr>
          <w:rFonts w:hint="eastAsia" w:ascii="仿宋_GB2312" w:hAnsi="仿宋_GB2312" w:eastAsia="仿宋_GB2312" w:cs="仿宋_GB2312"/>
          <w:b w:val="0"/>
          <w:bCs w:val="0"/>
          <w:color w:val="auto"/>
          <w:sz w:val="32"/>
          <w:szCs w:val="32"/>
          <w:highlight w:val="none"/>
        </w:rPr>
        <w:t>万元，预算执行率为</w:t>
      </w:r>
      <w:r>
        <w:rPr>
          <w:rFonts w:hint="eastAsia" w:ascii="仿宋_GB2312" w:hAnsi="仿宋_GB2312" w:eastAsia="仿宋_GB2312" w:cs="仿宋_GB2312"/>
          <w:b w:val="0"/>
          <w:bCs w:val="0"/>
          <w:color w:val="auto"/>
          <w:sz w:val="32"/>
          <w:szCs w:val="32"/>
          <w:highlight w:val="none"/>
          <w:lang w:val="en-US" w:eastAsia="zh-CN"/>
        </w:rPr>
        <w:t>96.82</w:t>
      </w:r>
      <w:r>
        <w:rPr>
          <w:rFonts w:hint="eastAsia" w:ascii="仿宋_GB2312" w:hAnsi="仿宋_GB2312" w:eastAsia="仿宋_GB2312" w:cs="仿宋_GB2312"/>
          <w:b w:val="0"/>
          <w:bCs w:val="0"/>
          <w:color w:val="auto"/>
          <w:sz w:val="32"/>
          <w:szCs w:val="32"/>
          <w:highlight w:val="none"/>
        </w:rPr>
        <w:t>%，项目绩效指标总体完成率为</w:t>
      </w:r>
      <w:r>
        <w:rPr>
          <w:rFonts w:hint="eastAsia" w:ascii="仿宋_GB2312" w:hAnsi="仿宋_GB2312" w:eastAsia="仿宋_GB2312" w:cs="仿宋_GB2312"/>
          <w:b w:val="0"/>
          <w:bCs w:val="0"/>
          <w:color w:val="auto"/>
          <w:sz w:val="32"/>
          <w:szCs w:val="32"/>
          <w:highlight w:val="none"/>
          <w:lang w:val="en-US" w:eastAsia="zh-CN"/>
        </w:rPr>
        <w:t>100</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eastAsia="zh-CN"/>
        </w:rPr>
        <w:t>。</w:t>
      </w:r>
    </w:p>
    <w:p>
      <w:pPr>
        <w:spacing w:line="560" w:lineRule="exact"/>
        <w:ind w:firstLine="640" w:firstLineChars="200"/>
        <w:rPr>
          <w:rStyle w:val="18"/>
          <w:rFonts w:hint="default" w:ascii="Times New Roman" w:hAnsi="Times New Roman" w:cs="Times New Roman"/>
          <w:color w:val="auto"/>
          <w:highlight w:val="none"/>
        </w:rPr>
      </w:pPr>
      <w:r>
        <w:rPr>
          <w:rFonts w:hint="eastAsia" w:eastAsia="黑体" w:cs="Times New Roman"/>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主要经验及做法、存在的问题及原因分析</w:t>
      </w:r>
    </w:p>
    <w:p>
      <w:pPr>
        <w:spacing w:line="560" w:lineRule="exact"/>
        <w:ind w:firstLine="627" w:firstLineChars="200"/>
        <w:rPr>
          <w:rFonts w:hint="eastAsia" w:ascii="仿宋_GB2312" w:hAnsi="仿宋_GB2312" w:eastAsia="仿宋_GB2312" w:cs="仿宋_GB2312"/>
          <w:b/>
          <w:color w:val="auto"/>
          <w:spacing w:val="-4"/>
          <w:sz w:val="32"/>
          <w:szCs w:val="32"/>
          <w:highlight w:val="none"/>
        </w:rPr>
      </w:pPr>
      <w:r>
        <w:rPr>
          <w:rFonts w:hint="eastAsia" w:ascii="仿宋_GB2312" w:hAnsi="仿宋_GB2312" w:eastAsia="仿宋_GB2312" w:cs="仿宋_GB2312"/>
          <w:b/>
          <w:color w:val="auto"/>
          <w:spacing w:val="-4"/>
          <w:sz w:val="32"/>
          <w:szCs w:val="32"/>
          <w:highlight w:val="none"/>
        </w:rPr>
        <w:t>（一）主要经验及做法</w:t>
      </w:r>
    </w:p>
    <w:p>
      <w:pPr>
        <w:spacing w:line="560" w:lineRule="exact"/>
        <w:ind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11"/>
        <w:spacing w:before="0" w:after="0" w:line="560" w:lineRule="exact"/>
        <w:ind w:firstLine="640" w:firstLineChars="200"/>
        <w:jc w:val="left"/>
        <w:rPr>
          <w:rFonts w:hint="eastAsia" w:ascii="仿宋_GB2312" w:hAnsi="仿宋_GB2312" w:eastAsia="仿宋_GB2312" w:cs="仿宋_GB2312"/>
          <w:b w:val="0"/>
          <w:bCs w:val="0"/>
          <w:color w:val="auto"/>
          <w:kern w:val="2"/>
          <w:highlight w:val="none"/>
        </w:rPr>
      </w:pPr>
      <w:r>
        <w:rPr>
          <w:rFonts w:hint="eastAsia" w:ascii="仿宋_GB2312" w:hAnsi="仿宋_GB2312" w:eastAsia="仿宋_GB2312" w:cs="仿宋_GB2312"/>
          <w:b w:val="0"/>
          <w:bCs w:val="0"/>
          <w:color w:val="auto"/>
          <w:kern w:val="2"/>
          <w:highlight w:val="none"/>
        </w:rPr>
        <w:t>严格坚持先做事、后验收、再拨付的原则，</w:t>
      </w:r>
      <w:r>
        <w:rPr>
          <w:rFonts w:hint="eastAsia" w:ascii="仿宋_GB2312" w:hAnsi="仿宋_GB2312" w:eastAsia="仿宋_GB2312" w:cs="仿宋_GB2312"/>
          <w:b w:val="0"/>
          <w:bCs w:val="0"/>
          <w:color w:val="auto"/>
          <w:kern w:val="2"/>
          <w:highlight w:val="none"/>
          <w:lang w:eastAsia="zh-CN"/>
        </w:rPr>
        <w:t>杜绝</w:t>
      </w:r>
      <w:r>
        <w:rPr>
          <w:rFonts w:hint="eastAsia" w:ascii="仿宋_GB2312" w:hAnsi="仿宋_GB2312" w:eastAsia="仿宋_GB2312" w:cs="仿宋_GB2312"/>
          <w:b w:val="0"/>
          <w:bCs w:val="0"/>
          <w:color w:val="auto"/>
          <w:kern w:val="2"/>
          <w:highlight w:val="none"/>
        </w:rPr>
        <w:t>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keepNext/>
        <w:keepLines/>
        <w:numPr>
          <w:ilvl w:val="0"/>
          <w:numId w:val="6"/>
        </w:numPr>
        <w:spacing w:line="560" w:lineRule="exact"/>
        <w:ind w:firstLine="643" w:firstLineChars="200"/>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t>存在的问题及原因分析</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ascii="Times New Roman" w:hAnsi="Times New Roman" w:eastAsia="黑体" w:cs="Times New Roman"/>
          <w:color w:val="auto"/>
          <w:sz w:val="32"/>
          <w:szCs w:val="32"/>
          <w:highlight w:val="none"/>
          <w:lang w:val="en-US" w:eastAsia="zh-CN"/>
        </w:rPr>
        <w:t>七</w:t>
      </w:r>
      <w:r>
        <w:rPr>
          <w:rFonts w:hint="eastAsia" w:eastAsia="黑体" w:cs="Times New Roman"/>
          <w:color w:val="auto"/>
          <w:sz w:val="32"/>
          <w:szCs w:val="32"/>
          <w:highlight w:val="none"/>
          <w:lang w:val="en-US" w:eastAsia="zh-CN"/>
        </w:rPr>
        <w:t>、</w:t>
      </w:r>
      <w:r>
        <w:rPr>
          <w:rFonts w:hint="default" w:ascii="Times New Roman" w:hAnsi="Times New Roman" w:eastAsia="黑体" w:cs="Times New Roman"/>
          <w:color w:val="auto"/>
          <w:sz w:val="32"/>
          <w:szCs w:val="32"/>
          <w:highlight w:val="none"/>
        </w:rPr>
        <w:t>有关建议</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1.多进行有关绩效管理工作方面的培训。积极组织第三方开展绩效管理工作培训，进一步夯实业务基础，提高我单位绩效人员水平。</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2.进一步完善项目评价过程中有关数据和资料的收集、整理、审核及分析。项目启动时同步做好档案的归纳与整理，及时整理、收集、汇总，健全档案资料。项目后续管理有待进一步加强和跟踪</w:t>
      </w:r>
      <w:r>
        <w:rPr>
          <w:rFonts w:hint="eastAsia" w:ascii="仿宋_GB2312" w:hAnsi="仿宋_GB2312" w:eastAsia="仿宋_GB2312" w:cs="仿宋_GB2312"/>
          <w:color w:val="auto"/>
          <w:sz w:val="32"/>
          <w:szCs w:val="32"/>
          <w:highlight w:val="none"/>
        </w:rPr>
        <w:t>。</w:t>
      </w:r>
    </w:p>
    <w:p>
      <w:pPr>
        <w:shd w:val="clear"/>
        <w:spacing w:line="600" w:lineRule="exact"/>
        <w:ind w:firstLine="640" w:firstLineChars="200"/>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进一步加强对绩效管理工作的组织领导，提高对预算绩效管理工作重要性的认识，总结经验查找问题，抓紧研究制定更全面更完善的绩效评价管理办法。结合工作实际建立绩效工作考核制度，加大全局对全面实施预算绩效管理和绩效管理工作的学习力度，让“花钱必问效，无效必问责”的理念深入工作每个环节。</w:t>
      </w:r>
    </w:p>
    <w:p>
      <w:pPr>
        <w:spacing w:line="560" w:lineRule="exact"/>
        <w:ind w:firstLine="640" w:firstLineChars="200"/>
        <w:rPr>
          <w:rFonts w:hint="default" w:ascii="Times New Roman" w:hAnsi="Times New Roman" w:eastAsia="黑体" w:cs="Times New Roman"/>
          <w:color w:val="auto"/>
          <w:sz w:val="32"/>
          <w:szCs w:val="32"/>
          <w:highlight w:val="none"/>
        </w:rPr>
      </w:pPr>
      <w:r>
        <w:rPr>
          <w:rFonts w:hint="eastAsia" w:eastAsia="黑体" w:cs="Times New Roman"/>
          <w:color w:val="auto"/>
          <w:sz w:val="32"/>
          <w:szCs w:val="32"/>
          <w:highlight w:val="none"/>
          <w:lang w:val="en-US" w:eastAsia="zh-CN"/>
        </w:rPr>
        <w:t>八</w:t>
      </w:r>
      <w:r>
        <w:rPr>
          <w:rFonts w:hint="eastAsia" w:eastAsia="仿宋_GB2312" w:cs="Times New Roman"/>
          <w:b/>
          <w:bCs/>
          <w:color w:val="auto"/>
          <w:sz w:val="32"/>
          <w:szCs w:val="32"/>
          <w:highlight w:val="none"/>
          <w:lang w:val="en-US" w:eastAsia="zh-CN"/>
        </w:rPr>
        <w:t>、</w:t>
      </w:r>
      <w:r>
        <w:rPr>
          <w:rFonts w:hint="default" w:ascii="Times New Roman" w:hAnsi="Times New Roman" w:eastAsia="黑体" w:cs="Times New Roman"/>
          <w:color w:val="auto"/>
          <w:sz w:val="32"/>
          <w:szCs w:val="32"/>
          <w:highlight w:val="none"/>
        </w:rPr>
        <w:t>其他需要说</w:t>
      </w:r>
      <w:bookmarkStart w:id="0" w:name="page8"/>
      <w:bookmarkEnd w:id="0"/>
      <w:r>
        <w:rPr>
          <w:rFonts w:hint="default" w:ascii="Times New Roman" w:hAnsi="Times New Roman" w:eastAsia="黑体" w:cs="Times New Roman"/>
          <w:color w:val="auto"/>
          <w:sz w:val="32"/>
          <w:szCs w:val="32"/>
          <w:highlight w:val="none"/>
        </w:rPr>
        <w:t>明的问题</w:t>
      </w:r>
    </w:p>
    <w:p>
      <w:pPr>
        <w:pStyle w:val="2"/>
        <w:spacing w:after="0" w:line="560" w:lineRule="exact"/>
        <w:ind w:left="0" w:leftChars="0" w:firstLine="640"/>
        <w:rPr>
          <w:rFonts w:hint="default" w:ascii="Times New Roman" w:hAnsi="Times New Roman" w:eastAsia="仿宋_GB2312" w:cs="Times New Roman"/>
          <w:color w:val="auto"/>
          <w:sz w:val="32"/>
          <w:szCs w:val="32"/>
          <w:highlight w:val="none"/>
          <w:lang w:eastAsia="zh-Hans"/>
        </w:rPr>
      </w:pPr>
      <w:r>
        <w:rPr>
          <w:rFonts w:hint="default" w:ascii="Times New Roman" w:hAnsi="Times New Roman" w:eastAsia="仿宋_GB2312" w:cs="Times New Roman"/>
          <w:color w:val="auto"/>
          <w:sz w:val="32"/>
          <w:szCs w:val="32"/>
          <w:highlight w:val="none"/>
          <w:lang w:eastAsia="zh-Hans"/>
        </w:rPr>
        <w:t>本项目无其他需说明的问题。</w:t>
      </w:r>
    </w:p>
    <w:p>
      <w:pPr>
        <w:pStyle w:val="2"/>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2"/>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2"/>
        <w:spacing w:after="0" w:line="560" w:lineRule="exact"/>
        <w:ind w:left="0" w:leftChars="0" w:firstLine="640"/>
        <w:rPr>
          <w:rFonts w:hint="eastAsia" w:ascii="Times New Roman" w:hAnsi="Times New Roman" w:eastAsia="仿宋_GB2312" w:cs="Times New Roman"/>
          <w:color w:val="auto"/>
          <w:sz w:val="32"/>
          <w:szCs w:val="32"/>
          <w:highlight w:val="none"/>
          <w:lang w:eastAsia="zh-CN"/>
        </w:rPr>
      </w:pPr>
    </w:p>
    <w:p>
      <w:pPr>
        <w:pStyle w:val="2"/>
        <w:spacing w:after="0" w:line="560" w:lineRule="exact"/>
        <w:ind w:left="0" w:leftChars="0" w:firstLine="643" w:firstLineChars="200"/>
        <w:rPr>
          <w:rFonts w:hint="eastAsia" w:ascii="Times New Roman" w:hAnsi="Times New Roman" w:eastAsia="仿宋_GB2312" w:cs="Times New Roman"/>
          <w:b/>
          <w:bCs/>
          <w:color w:val="auto"/>
          <w:sz w:val="32"/>
          <w:szCs w:val="32"/>
          <w:highlight w:val="none"/>
          <w:lang w:eastAsia="zh-CN"/>
        </w:rPr>
      </w:pPr>
    </w:p>
    <w:p>
      <w:pPr>
        <w:pStyle w:val="2"/>
        <w:spacing w:after="0" w:line="560" w:lineRule="exact"/>
        <w:ind w:left="0" w:leftChars="0" w:firstLine="0" w:firstLineChars="0"/>
        <w:rPr>
          <w:rFonts w:hint="default" w:ascii="Times New Roman" w:hAnsi="Times New Roman" w:eastAsia="仿宋_GB2312" w:cs="Times New Roman"/>
          <w:color w:val="auto"/>
          <w:sz w:val="32"/>
          <w:szCs w:val="32"/>
          <w:highlight w:val="none"/>
        </w:rPr>
      </w:pPr>
    </w:p>
    <w:p>
      <w:pPr>
        <w:spacing w:line="600" w:lineRule="exact"/>
        <w:rPr>
          <w:rFonts w:hint="eastAsia" w:ascii="Times New Roman" w:hAnsi="Times New Roman" w:eastAsia="黑体" w:cs="Times New Roman"/>
          <w:color w:val="auto"/>
          <w:sz w:val="32"/>
          <w:szCs w:val="32"/>
          <w:highlight w:val="none"/>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color w:val="auto"/>
          <w:sz w:val="32"/>
          <w:szCs w:val="32"/>
          <w:highlight w:val="none"/>
          <w:lang w:val="en-US" w:eastAsia="zh-CN"/>
        </w:rPr>
      </w:pPr>
      <w:r>
        <w:rPr>
          <w:rFonts w:hint="eastAsia" w:ascii="Times New Roman" w:hAnsi="Times New Roman" w:eastAsia="黑体" w:cs="Times New Roman"/>
          <w:color w:val="auto"/>
          <w:sz w:val="32"/>
          <w:szCs w:val="32"/>
          <w:highlight w:val="none"/>
          <w:lang w:val="en-US" w:eastAsia="zh-CN"/>
        </w:rPr>
        <w:t>附件</w:t>
      </w:r>
      <w:r>
        <w:rPr>
          <w:rFonts w:hint="eastAsia" w:eastAsia="黑体" w:cs="Times New Roman"/>
          <w:color w:val="auto"/>
          <w:sz w:val="32"/>
          <w:szCs w:val="32"/>
          <w:highlight w:val="none"/>
          <w:lang w:val="en-US" w:eastAsia="zh-CN"/>
        </w:rPr>
        <w:t>1</w:t>
      </w:r>
    </w:p>
    <w:p>
      <w:pPr>
        <w:pStyle w:val="19"/>
        <w:ind w:firstLine="562"/>
        <w:jc w:val="center"/>
        <w:rPr>
          <w:rFonts w:hint="eastAsia" w:ascii="仿宋_GB2312" w:hAnsi="仿宋_GB2312" w:eastAsia="仿宋_GB2312" w:cs="仿宋_GB2312"/>
          <w:color w:val="auto"/>
          <w:sz w:val="28"/>
          <w:szCs w:val="40"/>
          <w:highlight w:val="none"/>
        </w:rPr>
      </w:pPr>
      <w:bookmarkStart w:id="1" w:name="_Toc30064_WPSOffice_Level1"/>
      <w:bookmarkStart w:id="2" w:name="_Toc26499_WPSOffice_Level2"/>
      <w:r>
        <w:rPr>
          <w:rFonts w:hint="default" w:ascii="仿宋_GB2312" w:hAnsi="仿宋_GB2312" w:eastAsia="仿宋_GB2312" w:cs="仿宋_GB2312"/>
          <w:b/>
          <w:bCs/>
          <w:color w:val="auto"/>
          <w:sz w:val="28"/>
          <w:szCs w:val="40"/>
          <w:highlight w:val="none"/>
        </w:rPr>
        <w:t>工信厅电子政务运行维护和企业信息化工作经费</w:t>
      </w:r>
      <w:r>
        <w:rPr>
          <w:rFonts w:hint="eastAsia" w:ascii="仿宋_GB2312" w:hAnsi="仿宋_GB2312" w:eastAsia="仿宋_GB2312" w:cs="仿宋_GB2312"/>
          <w:b/>
          <w:bCs/>
          <w:color w:val="auto"/>
          <w:sz w:val="28"/>
          <w:szCs w:val="40"/>
          <w:highlight w:val="none"/>
        </w:rPr>
        <w:t>项目绩效评价指标体系及综合评分表</w:t>
      </w:r>
      <w:bookmarkEnd w:id="1"/>
      <w:bookmarkEnd w:id="2"/>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552" w:hRule="atLeast"/>
          <w:tblHeader/>
          <w:jc w:val="center"/>
        </w:trPr>
        <w:tc>
          <w:tcPr>
            <w:tcW w:w="1004"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一级指标</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二级指标</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三级指标</w:t>
            </w:r>
          </w:p>
        </w:tc>
        <w:tc>
          <w:tcPr>
            <w:tcW w:w="172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指标解释</w:t>
            </w:r>
          </w:p>
        </w:tc>
        <w:tc>
          <w:tcPr>
            <w:tcW w:w="521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指标说明</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权重</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决策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立项依据</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充分性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项目立项是否符合法律法规、相关政策、发展规划以及部门职责，用以反映和考核项目立项依据情况。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②项目立项是否符合行业发展规划和政策要求；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③项目立项是否与部门职责范围相符，属于部门履职所需；</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⑤项目是否与相关部门同类项目或部门内部相关项目重复。</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0.5</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立项程序</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规范性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项目申请、设立过程是否符合相关要求，用以反映和考核项目立项的规范情况。</w:t>
            </w:r>
          </w:p>
        </w:tc>
        <w:tc>
          <w:tcPr>
            <w:tcW w:w="521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①项目是否按照规定的程序申请设立；</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②审批文件、材料是否符合相关要求；</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0.5</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0.5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绩效目标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项目所设定的绩效目标是否依据充分，是否符合客观实际，用以反映和考核项目绩效目标与项目实施的相符情况。</w:t>
            </w:r>
          </w:p>
        </w:tc>
        <w:tc>
          <w:tcPr>
            <w:tcW w:w="5216" w:type="dxa"/>
            <w:shd w:val="clear" w:color="000000"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（如未设定预算绩效目标，也可考核其他工作任务目标）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①项目是否有绩效目标；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②项目绩效目标与实际工作内容是否具有相关性；</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④是否与预算确定的项目投资额或资金量相匹配。</w:t>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绩效指标</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明确性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依据绩效目标设定的绩效指标是否清晰、细化、可衡量等，用以反映和考核项目绩效目标的明细化情况。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①是否将项目绩效目标细化分解为具体的绩效指标；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②是否通过清晰、可衡量的指标值予以体现；</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③是否与项目目标任务数或计划数相对应。</w:t>
            </w:r>
            <w:r>
              <w:rPr>
                <w:rFonts w:hint="default" w:ascii="Times New Roman" w:hAnsi="Times New Roman" w:eastAsia="仿宋_GB2312" w:cs="Times New Roman"/>
                <w:color w:val="auto"/>
                <w:kern w:val="0"/>
                <w:sz w:val="18"/>
                <w:szCs w:val="18"/>
                <w:highlight w:val="none"/>
              </w:rPr>
              <w:br w:type="textWrapping"/>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资金投入</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预算编制</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科学性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项目预算编制是否经过科学论证、有明确标准，资金额度与年度目标是否相适应，用以反映和考核项目预算编制的科学性、合理性情况。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①预算编制是否经过科学论证；</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②预算内容与项目内容是否匹配；</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③预算额度测算依据是否充分，是否按照标准编制；</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④预算确定的项目投资额或资金量是否与工作任务相匹配。</w:t>
            </w:r>
          </w:p>
        </w:tc>
        <w:tc>
          <w:tcPr>
            <w:tcW w:w="1300"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资金分配</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合理性</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项目预算资金分配是否有测算依据，与补助单位或地方实际是否相适应，用以反映和考核项目预算资金分配的科学性、合理性情况。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①预算资金分配依据是否充分；</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②资金分配额度是否合理，与项目单位或地方实际是否相适应。</w:t>
            </w:r>
          </w:p>
        </w:tc>
        <w:tc>
          <w:tcPr>
            <w:tcW w:w="1300"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004" w:type="dxa"/>
            <w:vMerge w:val="restart"/>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过程</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实际到位资金与预算资金的比率，用以反映和考核资金落实情况对项目实施的总体保障程度。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预算资金：一定时期（本年度或项目期）内预算安排到具体项目的资金。</w:t>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w:t>
            </w:r>
          </w:p>
        </w:tc>
        <w:tc>
          <w:tcPr>
            <w:tcW w:w="172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项目预算资金是否按照计划执行，用以反映或考核项目预算执行情况。</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预算执行率=（实际支出资金/实际到位资金）×100%。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实际支出资金：一定时期（本年度或项目期）内项目实际拨付的资金。</w:t>
            </w:r>
          </w:p>
        </w:tc>
        <w:tc>
          <w:tcPr>
            <w:tcW w:w="1300" w:type="dxa"/>
            <w:shd w:val="clear" w:color="auto"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0.97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资金管理</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资金使用</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合规性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项目资金使用是否符合相关的财务管理制度规定，用以反映和考核项目资金的规范运行情况。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②资金的拨付是否有完整的审批程序和手续；</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③是否符合项目预算批复或合同规定的用途；</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④是否存在截留、挤占、挪用、虚列支出等情况。</w:t>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组织实施</w:t>
            </w:r>
          </w:p>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管理制度</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健全性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项目实施单位的财务和业务管理制度是否健全，用以反映和考核财务和业务管理制度对项目顺利实施的保障情况。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①是否已制定或具有相应的财务和业务管理制度；</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②财务和业务管理制度是否合法、合规、完整。</w:t>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制度执行</w:t>
            </w:r>
          </w:p>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有效性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项目实施是否符合相关管理规定，用以反映和考核相关管理制度的有效执行情况。</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评价要点：</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①是否遵守相关法律法规和相关管理规定；</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②项目调整及支出调整手续是否完备；</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③项目合同书、验收报告、技术鉴定等资料是否齐全并及时归档；</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④项目实施的人员条件、场地设备、信息支撑等是否落实到位。</w:t>
            </w:r>
          </w:p>
        </w:tc>
        <w:tc>
          <w:tcPr>
            <w:tcW w:w="1300" w:type="dxa"/>
            <w:shd w:val="clear" w:color="000000" w:fill="FFFFFF"/>
            <w:vAlign w:val="center"/>
          </w:tcPr>
          <w:p>
            <w:pPr>
              <w:widowControl/>
              <w:spacing w:line="0" w:lineRule="atLeast"/>
              <w:jc w:val="center"/>
              <w:rPr>
                <w:rFonts w:hint="eastAsia" w:ascii="Times New Roman" w:hAnsi="Times New Roman" w:eastAsia="仿宋_GB2312" w:cs="Times New Roman"/>
                <w:b/>
                <w:bCs/>
                <w:color w:val="auto"/>
                <w:kern w:val="0"/>
                <w:sz w:val="18"/>
                <w:szCs w:val="18"/>
                <w:highlight w:val="none"/>
                <w:lang w:eastAsia="zh-CN"/>
              </w:rPr>
            </w:pPr>
            <w:r>
              <w:rPr>
                <w:rFonts w:hint="eastAsia" w:eastAsia="仿宋_GB2312" w:cs="Times New Roman"/>
                <w:b/>
                <w:bCs/>
                <w:color w:val="auto"/>
                <w:kern w:val="0"/>
                <w:sz w:val="18"/>
                <w:szCs w:val="18"/>
                <w:highlight w:val="none"/>
                <w:lang w:val="en-US" w:eastAsia="zh-CN"/>
              </w:rPr>
              <w:t>1</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eastAsia" w:eastAsia="仿宋_GB2312" w:cs="Times New Roman"/>
                <w:b/>
                <w:bCs/>
                <w:color w:val="auto"/>
                <w:kern w:val="0"/>
                <w:sz w:val="18"/>
                <w:szCs w:val="18"/>
                <w:highlight w:val="none"/>
                <w:lang w:val="en-US" w:eastAsia="zh-CN"/>
              </w:rPr>
              <w:t>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w:t>
            </w: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产出数量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项目实施的实际产出数与计划产出数的比率，用以反映和考核项目产出数量目标的实现程度。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实际完成率=（实际产出数/计划产出数）×100%。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产出质量</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项目完成的质量达标产出数与实际产出数的比率，用以反映和考核项目产出质量目标的实现程度。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15</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1004" w:type="dxa"/>
            <w:vMerge w:val="continue"/>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产出时效</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完成及时性</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项目实际完成时间与计划完成时间的比较，用以反映和考核项目产出时效目标的实现程度。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实际完成时间：项目实施单位完成该项目实际所耗用的时间。</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15</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产出成本</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成本节约率</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完成项目计划工作目标的实际节约成本与计划成本的比率，用以反映和考核项目的成本节约程度。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成本节约率=[（计划成本-实际成本）/计划成本]×100%。</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auto"/>
                <w:kern w:val="0"/>
                <w:sz w:val="18"/>
                <w:szCs w:val="18"/>
                <w:highlight w:val="none"/>
              </w:rPr>
              <w:br w:type="textWrapping"/>
            </w:r>
            <w:r>
              <w:rPr>
                <w:rFonts w:hint="default" w:ascii="Times New Roman" w:hAnsi="Times New Roman" w:eastAsia="仿宋_GB2312" w:cs="Times New Roman"/>
                <w:color w:val="auto"/>
                <w:kern w:val="0"/>
                <w:sz w:val="18"/>
                <w:szCs w:val="18"/>
                <w:highlight w:val="none"/>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1004"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效益　</w:t>
            </w:r>
          </w:p>
        </w:tc>
        <w:tc>
          <w:tcPr>
            <w:tcW w:w="1000" w:type="dxa"/>
            <w:vMerge w:val="restart"/>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项目效益　</w:t>
            </w: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实施效益</w:t>
            </w:r>
          </w:p>
        </w:tc>
        <w:tc>
          <w:tcPr>
            <w:tcW w:w="1726" w:type="dxa"/>
            <w:shd w:val="clear" w:color="auto" w:fill="FFFFFF"/>
            <w:vAlign w:val="center"/>
          </w:tcPr>
          <w:p>
            <w:pPr>
              <w:widowControl/>
              <w:spacing w:line="0" w:lineRule="atLeast"/>
              <w:jc w:val="lef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项目实施所产生的效益。</w:t>
            </w:r>
          </w:p>
        </w:tc>
        <w:tc>
          <w:tcPr>
            <w:tcW w:w="5216" w:type="dxa"/>
            <w:shd w:val="clear" w:color="auto"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20</w:t>
            </w:r>
          </w:p>
        </w:tc>
        <w:tc>
          <w:tcPr>
            <w:tcW w:w="1366" w:type="dxa"/>
            <w:shd w:val="clear" w:color="auto"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004"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00" w:type="dxa"/>
            <w:vMerge w:val="continue"/>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p>
        </w:tc>
        <w:tc>
          <w:tcPr>
            <w:tcW w:w="1071" w:type="dxa"/>
            <w:shd w:val="clear" w:color="auto" w:fill="FFFFFF"/>
            <w:vAlign w:val="center"/>
          </w:tcPr>
          <w:p>
            <w:pPr>
              <w:widowControl/>
              <w:spacing w:line="0" w:lineRule="atLeast"/>
              <w:jc w:val="center"/>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满意度</w:t>
            </w:r>
          </w:p>
        </w:tc>
        <w:tc>
          <w:tcPr>
            <w:tcW w:w="172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社会公众或服务对象对项目实施效果的满意程度。</w:t>
            </w:r>
          </w:p>
        </w:tc>
        <w:tc>
          <w:tcPr>
            <w:tcW w:w="5216" w:type="dxa"/>
            <w:shd w:val="clear" w:color="000000" w:fill="FFFFFF"/>
            <w:vAlign w:val="center"/>
          </w:tcPr>
          <w:p>
            <w:pPr>
              <w:widowControl/>
              <w:spacing w:line="0" w:lineRule="atLeast"/>
              <w:rPr>
                <w:rFonts w:hint="default" w:ascii="Times New Roman" w:hAnsi="Times New Roman" w:eastAsia="仿宋_GB2312" w:cs="Times New Roman"/>
                <w:color w:val="auto"/>
                <w:kern w:val="0"/>
                <w:sz w:val="18"/>
                <w:szCs w:val="18"/>
                <w:highlight w:val="none"/>
              </w:rPr>
            </w:pPr>
            <w:r>
              <w:rPr>
                <w:rFonts w:hint="default" w:ascii="Times New Roman" w:hAnsi="Times New Roman" w:eastAsia="仿宋_GB2312" w:cs="Times New Roman"/>
                <w:color w:val="auto"/>
                <w:kern w:val="0"/>
                <w:sz w:val="18"/>
                <w:szCs w:val="18"/>
                <w:highlight w:val="none"/>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rPr>
            </w:pPr>
            <w:r>
              <w:rPr>
                <w:rFonts w:hint="default" w:ascii="Times New Roman" w:hAnsi="Times New Roman" w:eastAsia="仿宋_GB2312" w:cs="Times New Roman"/>
                <w:b/>
                <w:bCs/>
                <w:color w:val="auto"/>
                <w:kern w:val="0"/>
                <w:sz w:val="18"/>
                <w:szCs w:val="18"/>
                <w:highlight w:val="none"/>
              </w:rPr>
              <w:t>10</w:t>
            </w:r>
          </w:p>
        </w:tc>
        <w:tc>
          <w:tcPr>
            <w:tcW w:w="1366" w:type="dxa"/>
            <w:shd w:val="clear" w:color="000000" w:fill="FFFFFF"/>
            <w:vAlign w:val="center"/>
          </w:tcPr>
          <w:p>
            <w:pPr>
              <w:widowControl/>
              <w:spacing w:line="0" w:lineRule="atLeast"/>
              <w:jc w:val="center"/>
              <w:rPr>
                <w:rFonts w:hint="default" w:ascii="Times New Roman" w:hAnsi="Times New Roman" w:eastAsia="仿宋_GB2312" w:cs="Times New Roman"/>
                <w:b/>
                <w:bCs/>
                <w:color w:val="auto"/>
                <w:kern w:val="0"/>
                <w:sz w:val="18"/>
                <w:szCs w:val="18"/>
                <w:highlight w:val="none"/>
                <w:lang w:val="en-US" w:eastAsia="zh-CN"/>
              </w:rPr>
            </w:pPr>
            <w:r>
              <w:rPr>
                <w:rFonts w:hint="eastAsia" w:eastAsia="仿宋_GB2312" w:cs="Times New Roman"/>
                <w:b/>
                <w:bCs/>
                <w:color w:val="auto"/>
                <w:kern w:val="0"/>
                <w:sz w:val="18"/>
                <w:szCs w:val="18"/>
                <w:highlight w:val="none"/>
                <w:lang w:val="en-US" w:eastAsia="zh-CN"/>
              </w:rPr>
              <w:t>10</w:t>
            </w:r>
          </w:p>
        </w:tc>
      </w:tr>
    </w:tbl>
    <w:p>
      <w:pPr>
        <w:rPr>
          <w:rFonts w:hint="default" w:ascii="Times New Roman" w:hAnsi="Times New Roman" w:cs="Times New Roman"/>
          <w:color w:val="auto"/>
          <w:highlight w:val="none"/>
        </w:rPr>
        <w:sectPr>
          <w:pgSz w:w="16838" w:h="11906" w:orient="landscape"/>
          <w:pgMar w:top="1800" w:right="1440" w:bottom="1558" w:left="1440" w:header="851" w:footer="992" w:gutter="0"/>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240" w:lineRule="atLeast"/>
        <w:jc w:val="left"/>
        <w:textAlignment w:val="auto"/>
        <w:rPr>
          <w:rFonts w:hint="eastAsia" w:ascii="黑体" w:hAnsi="黑体" w:eastAsia="黑体" w:cs="黑体"/>
          <w:b/>
          <w:bCs/>
          <w:i w:val="0"/>
          <w:iCs w:val="0"/>
          <w:color w:val="auto"/>
          <w:kern w:val="0"/>
          <w:sz w:val="32"/>
          <w:szCs w:val="32"/>
          <w:highlight w:val="none"/>
          <w:u w:val="none"/>
          <w:lang w:val="en-US" w:eastAsia="zh-CN" w:bidi="ar"/>
        </w:rPr>
      </w:pPr>
      <w:r>
        <w:rPr>
          <w:rFonts w:hint="eastAsia" w:ascii="黑体" w:hAnsi="黑体" w:eastAsia="黑体" w:cs="黑体"/>
          <w:b/>
          <w:bCs/>
          <w:i w:val="0"/>
          <w:iCs w:val="0"/>
          <w:color w:val="auto"/>
          <w:kern w:val="0"/>
          <w:sz w:val="32"/>
          <w:szCs w:val="32"/>
          <w:highlight w:val="none"/>
          <w:u w:val="none"/>
          <w:lang w:val="en-US" w:eastAsia="zh-CN" w:bidi="ar"/>
        </w:rPr>
        <w:t>附件2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auto"/>
          <w:kern w:val="0"/>
          <w:sz w:val="28"/>
          <w:szCs w:val="28"/>
          <w:highlight w:val="none"/>
          <w:u w:val="none"/>
          <w:lang w:val="en-US" w:eastAsia="zh-CN" w:bidi="ar"/>
        </w:rPr>
      </w:pPr>
      <w:r>
        <w:rPr>
          <w:rFonts w:hint="eastAsia" w:ascii="仿宋_GB2312" w:hAnsi="仿宋_GB2312" w:eastAsia="仿宋_GB2312" w:cs="仿宋_GB2312"/>
          <w:b/>
          <w:bCs/>
          <w:i w:val="0"/>
          <w:iCs w:val="0"/>
          <w:color w:val="auto"/>
          <w:kern w:val="0"/>
          <w:sz w:val="28"/>
          <w:szCs w:val="28"/>
          <w:highlight w:val="none"/>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auto"/>
          <w:kern w:val="0"/>
          <w:sz w:val="22"/>
          <w:szCs w:val="22"/>
          <w:highlight w:val="none"/>
          <w:u w:val="none"/>
          <w:lang w:val="en-US" w:eastAsia="zh-CN" w:bidi="ar"/>
        </w:rPr>
      </w:pPr>
      <w:r>
        <w:rPr>
          <w:rFonts w:hint="default" w:ascii="Times New Roman" w:hAnsi="Times New Roman" w:eastAsia="仿宋_GB2312" w:cs="Times New Roman"/>
          <w:b/>
          <w:bCs/>
          <w:i w:val="0"/>
          <w:iCs w:val="0"/>
          <w:color w:val="auto"/>
          <w:kern w:val="0"/>
          <w:sz w:val="22"/>
          <w:szCs w:val="22"/>
          <w:highlight w:val="none"/>
          <w:u w:val="none"/>
          <w:lang w:val="en-US" w:eastAsia="zh-CN" w:bidi="ar"/>
        </w:rPr>
        <w:t>（ 2024年度）</w:t>
      </w:r>
    </w:p>
    <w:tbl>
      <w:tblPr>
        <w:tblStyle w:val="14"/>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917"/>
        <w:gridCol w:w="1292"/>
        <w:gridCol w:w="1312"/>
        <w:gridCol w:w="1032"/>
        <w:gridCol w:w="1140"/>
        <w:gridCol w:w="1164"/>
        <w:gridCol w:w="924"/>
        <w:gridCol w:w="837"/>
        <w:gridCol w:w="882"/>
        <w:gridCol w:w="777"/>
        <w:gridCol w:w="1032"/>
        <w:gridCol w:w="830"/>
        <w:gridCol w:w="748"/>
        <w:gridCol w:w="128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项目名称</w:t>
            </w:r>
          </w:p>
        </w:tc>
        <w:tc>
          <w:tcPr>
            <w:tcW w:w="11965"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000000"/>
                <w:kern w:val="0"/>
                <w:sz w:val="13"/>
                <w:szCs w:val="13"/>
                <w:u w:val="none"/>
                <w:lang w:val="en-US" w:eastAsia="zh-CN" w:bidi="ar"/>
              </w:rPr>
              <w:t>工信厅电子政务运行维护和企业信息化工作经费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主管部门</w:t>
            </w:r>
          </w:p>
        </w:tc>
        <w:tc>
          <w:tcPr>
            <w:tcW w:w="5572"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000000"/>
                <w:kern w:val="0"/>
                <w:sz w:val="13"/>
                <w:szCs w:val="13"/>
                <w:u w:val="none"/>
                <w:lang w:val="en-US" w:eastAsia="zh-CN" w:bidi="ar"/>
              </w:rPr>
              <w:t>新疆维吾尔自治区工业和信息化厅</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实施单位</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000000"/>
                <w:kern w:val="0"/>
                <w:sz w:val="13"/>
                <w:szCs w:val="13"/>
                <w:u w:val="none"/>
                <w:lang w:val="en-US" w:eastAsia="zh-CN" w:bidi="ar"/>
              </w:rPr>
              <w:t>新疆维吾尔自治区工业和信息化厅信息中心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项目资金</w:t>
            </w:r>
            <w:r>
              <w:rPr>
                <w:rFonts w:hint="eastAsia" w:ascii="仿宋_GB2312" w:hAnsi="仿宋_GB2312" w:eastAsia="仿宋_GB2312" w:cs="仿宋_GB2312"/>
                <w:i w:val="0"/>
                <w:iCs w:val="0"/>
                <w:color w:val="auto"/>
                <w:kern w:val="0"/>
                <w:sz w:val="18"/>
                <w:szCs w:val="18"/>
                <w:highlight w:val="none"/>
                <w:u w:val="none"/>
                <w:lang w:val="en-US" w:eastAsia="zh-CN" w:bidi="ar"/>
              </w:rPr>
              <w:br w:type="textWrapping"/>
            </w:r>
            <w:r>
              <w:rPr>
                <w:rFonts w:hint="eastAsia" w:ascii="仿宋_GB2312" w:hAnsi="仿宋_GB2312" w:eastAsia="仿宋_GB2312" w:cs="仿宋_GB2312"/>
                <w:i w:val="0"/>
                <w:iCs w:val="0"/>
                <w:color w:val="auto"/>
                <w:kern w:val="0"/>
                <w:sz w:val="18"/>
                <w:szCs w:val="18"/>
                <w:highlight w:val="none"/>
                <w:u w:val="none"/>
                <w:lang w:val="en-US" w:eastAsia="zh-CN" w:bidi="ar"/>
              </w:rPr>
              <w:t>（万元）</w:t>
            </w: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资金来源</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年初预算数</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全年预算数</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全年执行数</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分值权重</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执行率</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年度资金总额</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color w:val="auto"/>
                <w:kern w:val="0"/>
                <w:sz w:val="18"/>
                <w:szCs w:val="18"/>
                <w:highlight w:val="none"/>
                <w:lang w:val="en-US" w:eastAsia="zh-CN"/>
              </w:rPr>
              <w:t>65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color w:val="auto"/>
                <w:kern w:val="0"/>
                <w:sz w:val="18"/>
                <w:szCs w:val="18"/>
                <w:highlight w:val="none"/>
                <w:lang w:val="en-US" w:eastAsia="zh-CN"/>
              </w:rPr>
              <w:t>65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cs="宋体"/>
                <w:color w:val="auto"/>
                <w:kern w:val="0"/>
                <w:sz w:val="18"/>
                <w:szCs w:val="18"/>
                <w:highlight w:val="none"/>
                <w:lang w:val="en-US" w:eastAsia="zh-CN"/>
              </w:rPr>
              <w:t>62.93</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96.82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4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其中：当年财政拨款</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color w:val="auto"/>
                <w:kern w:val="0"/>
                <w:sz w:val="18"/>
                <w:szCs w:val="18"/>
                <w:highlight w:val="none"/>
                <w:lang w:val="en-US" w:eastAsia="zh-CN"/>
              </w:rPr>
              <w:t>65</w:t>
            </w:r>
          </w:p>
        </w:tc>
        <w:tc>
          <w:tcPr>
            <w:tcW w:w="208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eastAsia="宋体" w:cs="宋体"/>
                <w:color w:val="auto"/>
                <w:kern w:val="0"/>
                <w:sz w:val="18"/>
                <w:szCs w:val="18"/>
                <w:highlight w:val="none"/>
                <w:lang w:val="en-US" w:eastAsia="zh-CN"/>
              </w:rPr>
              <w:t>65</w:t>
            </w:r>
          </w:p>
        </w:tc>
        <w:tc>
          <w:tcPr>
            <w:tcW w:w="17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宋体" w:hAnsi="宋体" w:cs="宋体"/>
                <w:color w:val="auto"/>
                <w:kern w:val="0"/>
                <w:sz w:val="18"/>
                <w:szCs w:val="18"/>
                <w:highlight w:val="none"/>
                <w:lang w:val="en-US" w:eastAsia="zh-CN"/>
              </w:rPr>
              <w:t>62.93</w:t>
            </w: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96.82</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kern w:val="2"/>
                <w:sz w:val="18"/>
                <w:szCs w:val="18"/>
                <w:highlight w:val="none"/>
                <w:u w:val="none"/>
                <w:lang w:val="en-US" w:eastAsia="zh-CN" w:bidi="ar-SA"/>
              </w:rPr>
            </w:pPr>
            <w:r>
              <w:rPr>
                <w:rFonts w:hint="eastAsia" w:ascii="仿宋_GB2312" w:hAnsi="仿宋_GB2312" w:eastAsia="仿宋_GB2312" w:cs="仿宋_GB2312"/>
                <w:i w:val="0"/>
                <w:iCs w:val="0"/>
                <w:color w:val="auto"/>
                <w:sz w:val="18"/>
                <w:szCs w:val="18"/>
                <w:highlight w:val="none"/>
                <w:u w:val="none"/>
                <w:lang w:val="en-US" w:eastAsia="zh-CN"/>
              </w:rPr>
              <w:t>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220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344"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其他资金</w:t>
            </w:r>
          </w:p>
        </w:tc>
        <w:tc>
          <w:tcPr>
            <w:tcW w:w="1140" w:type="dxa"/>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2088"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719" w:type="dxa"/>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80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57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年度总体目标</w:t>
            </w: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583" w:type="dxa"/>
            <w:gridSpan w:val="8"/>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both"/>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做好我厅内外网专网以及各业务信息系统的运行维护和安全防护，确保安全稳定运行；做好新疆工信厅门户网站的日常运行维护工作，确保我厅在国家和自治区的网站日常监测和绩效评估中达标。充分发挥新疆工信厅门户网站的服务功能，更好地向社会、企业、公众提供政务服务，促进我区工业和信息化工作高质量发展。</w:t>
            </w:r>
          </w:p>
        </w:tc>
        <w:tc>
          <w:tcPr>
            <w:tcW w:w="4674"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工信厅电子政务运行维护和企业信息化工作经费项目，项目维护需要全年推进执行，截至2024年12月31日已执行365天。较好的完成了我厅内外网专网以及各业务信息系统的运行维护和安全防护，确保安全稳定运行；保证了新疆工信厅门户网站的日常运行维护工作，使我厅在国家和自治区的网站日常监测和绩效评估中达标。充分发挥了新疆工信厅门户网站的服务功能，更好地向社会、企业、公众提供政务服务，促进我区工业和信息化工作高质量发展。全年预算执行62.93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600" w:hRule="atLeast"/>
        </w:trPr>
        <w:tc>
          <w:tcPr>
            <w:tcW w:w="91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绩效指标</w:t>
            </w: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一级指标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二级指标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三级指标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指标值设置依据</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上年完成值</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指标分值权重</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指标赋分规则</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佐证资料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指标实际完成值</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完成率</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指标得分</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产出指标</w:t>
            </w: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数量指标</w:t>
            </w:r>
          </w:p>
        </w:tc>
        <w:tc>
          <w:tcPr>
            <w:tcW w:w="1032"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信息系统开发应用数量</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≥36个</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36个</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36</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12"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质量指标</w:t>
            </w:r>
          </w:p>
        </w:tc>
        <w:tc>
          <w:tcPr>
            <w:tcW w:w="103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验收合格率</w:t>
            </w:r>
          </w:p>
        </w:tc>
        <w:tc>
          <w:tcPr>
            <w:tcW w:w="114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116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83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77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83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Ex>
        <w:trPr>
          <w:trHeight w:val="110"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03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系统故障率</w:t>
            </w:r>
          </w:p>
        </w:tc>
        <w:tc>
          <w:tcPr>
            <w:tcW w:w="114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6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83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88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77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10%</w:t>
            </w:r>
          </w:p>
        </w:tc>
        <w:tc>
          <w:tcPr>
            <w:tcW w:w="83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287"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83"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时效指标</w:t>
            </w:r>
          </w:p>
        </w:tc>
        <w:tc>
          <w:tcPr>
            <w:tcW w:w="103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系统故障修复处理时间</w:t>
            </w:r>
          </w:p>
        </w:tc>
        <w:tc>
          <w:tcPr>
            <w:tcW w:w="1140"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≤1天</w:t>
            </w:r>
          </w:p>
        </w:tc>
        <w:tc>
          <w:tcPr>
            <w:tcW w:w="116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1天</w:t>
            </w:r>
          </w:p>
        </w:tc>
        <w:tc>
          <w:tcPr>
            <w:tcW w:w="83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882"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直接赋分</w:t>
            </w:r>
          </w:p>
        </w:tc>
        <w:tc>
          <w:tcPr>
            <w:tcW w:w="777"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1天</w:t>
            </w:r>
          </w:p>
        </w:tc>
        <w:tc>
          <w:tcPr>
            <w:tcW w:w="830"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5</w:t>
            </w:r>
          </w:p>
        </w:tc>
        <w:tc>
          <w:tcPr>
            <w:tcW w:w="1287" w:type="dxa"/>
            <w:tcBorders>
              <w:top w:val="single" w:color="000000" w:sz="4" w:space="0"/>
              <w:left w:val="single" w:color="000000" w:sz="4" w:space="0"/>
              <w:bottom w:val="single" w:color="auto"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9"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vMerge w:val="continue"/>
            <w:tcBorders>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p>
        </w:tc>
        <w:tc>
          <w:tcPr>
            <w:tcW w:w="103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系统运行维护响应时间</w:t>
            </w:r>
          </w:p>
        </w:tc>
        <w:tc>
          <w:tcPr>
            <w:tcW w:w="1140"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≤10小时</w:t>
            </w:r>
          </w:p>
        </w:tc>
        <w:tc>
          <w:tcPr>
            <w:tcW w:w="116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4小时</w:t>
            </w:r>
          </w:p>
        </w:tc>
        <w:tc>
          <w:tcPr>
            <w:tcW w:w="83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直接赋分</w:t>
            </w:r>
          </w:p>
        </w:tc>
        <w:tc>
          <w:tcPr>
            <w:tcW w:w="777"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4小时</w:t>
            </w:r>
          </w:p>
        </w:tc>
        <w:tc>
          <w:tcPr>
            <w:tcW w:w="830"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auto"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成本指标</w:t>
            </w:r>
          </w:p>
        </w:tc>
        <w:tc>
          <w:tcPr>
            <w:tcW w:w="131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kern w:val="0"/>
                <w:sz w:val="18"/>
                <w:szCs w:val="18"/>
                <w:highlight w:val="none"/>
                <w:u w:val="none"/>
                <w:lang w:val="en-US" w:eastAsia="zh-CN" w:bidi="ar"/>
              </w:rPr>
            </w:pPr>
            <w:r>
              <w:rPr>
                <w:rFonts w:hint="eastAsia" w:ascii="仿宋_GB2312" w:hAnsi="仿宋_GB2312" w:eastAsia="仿宋_GB2312" w:cs="仿宋_GB2312"/>
                <w:i w:val="0"/>
                <w:iCs w:val="0"/>
                <w:color w:val="auto"/>
                <w:kern w:val="0"/>
                <w:sz w:val="18"/>
                <w:szCs w:val="18"/>
                <w:highlight w:val="none"/>
                <w:u w:val="none"/>
                <w:lang w:val="en-US" w:eastAsia="zh-CN" w:bidi="ar"/>
              </w:rPr>
              <w:t>经济成本指标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年度维护成本增长率</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16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预算支出标准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0%</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8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0%</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效益指标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经济效益指标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社会效益指标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系统安全稳定运行时间</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≥1年</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1年</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1年</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生态效益指标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100%</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91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29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满意度指标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使用人员满意度（%）</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≥85%</w:t>
            </w:r>
          </w:p>
        </w:tc>
        <w:tc>
          <w:tcPr>
            <w:tcW w:w="11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历史标准</w:t>
            </w: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95%</w:t>
            </w: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96%</w:t>
            </w: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sz w:val="18"/>
                <w:szCs w:val="18"/>
                <w:highlight w:val="none"/>
                <w:u w:val="none"/>
                <w:lang w:val="en-US" w:eastAsia="zh-CN"/>
              </w:rPr>
              <w:t>112.94%</w:t>
            </w: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r>
              <w:rPr>
                <w:rFonts w:hint="eastAsia" w:ascii="宋体" w:hAnsi="宋体" w:eastAsia="宋体" w:cs="宋体"/>
                <w:i w:val="0"/>
                <w:color w:val="000000"/>
                <w:kern w:val="0"/>
                <w:sz w:val="13"/>
                <w:szCs w:val="13"/>
                <w:u w:val="none"/>
                <w:lang w:val="en-US" w:eastAsia="zh-CN" w:bidi="ar"/>
              </w:rPr>
              <w:t>年初设置目标为大于等于</w:t>
            </w:r>
            <w:r>
              <w:rPr>
                <w:rFonts w:hint="eastAsia" w:ascii="宋体" w:hAnsi="宋体" w:cs="宋体"/>
                <w:i w:val="0"/>
                <w:color w:val="000000"/>
                <w:kern w:val="0"/>
                <w:sz w:val="13"/>
                <w:szCs w:val="13"/>
                <w:u w:val="none"/>
                <w:lang w:val="en-US" w:eastAsia="zh-CN" w:bidi="ar"/>
              </w:rPr>
              <w:t>85</w:t>
            </w:r>
            <w:r>
              <w:rPr>
                <w:rFonts w:hint="eastAsia" w:ascii="宋体" w:hAnsi="宋体" w:eastAsia="宋体" w:cs="宋体"/>
                <w:i w:val="0"/>
                <w:color w:val="000000"/>
                <w:kern w:val="0"/>
                <w:sz w:val="13"/>
                <w:szCs w:val="13"/>
                <w:u w:val="none"/>
                <w:lang w:val="en-US" w:eastAsia="zh-CN" w:bidi="ar"/>
              </w:rPr>
              <w:t>%，实际完成</w:t>
            </w:r>
            <w:r>
              <w:rPr>
                <w:rFonts w:hint="eastAsia" w:ascii="宋体" w:hAnsi="宋体" w:cs="宋体"/>
                <w:i w:val="0"/>
                <w:color w:val="000000"/>
                <w:kern w:val="0"/>
                <w:sz w:val="13"/>
                <w:szCs w:val="13"/>
                <w:u w:val="none"/>
                <w:lang w:val="en-US" w:eastAsia="zh-CN" w:bidi="ar"/>
              </w:rPr>
              <w:t>96</w:t>
            </w:r>
            <w:r>
              <w:rPr>
                <w:rFonts w:hint="eastAsia" w:ascii="宋体" w:hAnsi="宋体" w:eastAsia="宋体" w:cs="宋体"/>
                <w:i w:val="0"/>
                <w:color w:val="000000"/>
                <w:kern w:val="0"/>
                <w:sz w:val="13"/>
                <w:szCs w:val="13"/>
                <w:u w:val="none"/>
                <w:lang w:val="en-US" w:eastAsia="zh-CN" w:bidi="ar"/>
              </w:rPr>
              <w:t>%，大于年初目标值，所以完成率为100%。改进措施：全面了解分析项目实际情况，在下一年更加严谨设置年度指标值。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288" w:hRule="atLeast"/>
        </w:trPr>
        <w:tc>
          <w:tcPr>
            <w:tcW w:w="4553" w:type="dxa"/>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z w:val="18"/>
                <w:szCs w:val="18"/>
                <w:highlight w:val="none"/>
                <w:u w:val="none"/>
              </w:rPr>
            </w:pPr>
            <w:r>
              <w:rPr>
                <w:rFonts w:hint="eastAsia" w:ascii="仿宋_GB2312" w:hAnsi="仿宋_GB2312" w:eastAsia="仿宋_GB2312" w:cs="仿宋_GB2312"/>
                <w:i w:val="0"/>
                <w:iCs w:val="0"/>
                <w:color w:val="auto"/>
                <w:kern w:val="0"/>
                <w:sz w:val="18"/>
                <w:szCs w:val="18"/>
                <w:highlight w:val="none"/>
                <w:u w:val="none"/>
                <w:lang w:val="en-US" w:eastAsia="zh-CN" w:bidi="ar"/>
              </w:rPr>
              <w:t>总分</w:t>
            </w:r>
          </w:p>
        </w:tc>
        <w:tc>
          <w:tcPr>
            <w:tcW w:w="114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1164" w:type="dxa"/>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auto"/>
                <w:sz w:val="18"/>
                <w:szCs w:val="18"/>
                <w:highlight w:val="none"/>
                <w:u w:val="none"/>
              </w:rPr>
            </w:pPr>
          </w:p>
        </w:tc>
        <w:tc>
          <w:tcPr>
            <w:tcW w:w="92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37"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882"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auto"/>
                <w:sz w:val="18"/>
                <w:szCs w:val="18"/>
                <w:highlight w:val="none"/>
                <w:u w:val="none"/>
              </w:rPr>
            </w:pP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830"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c>
          <w:tcPr>
            <w:tcW w:w="74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auto"/>
                <w:sz w:val="18"/>
                <w:szCs w:val="18"/>
                <w:highlight w:val="none"/>
                <w:u w:val="none"/>
                <w:lang w:val="en-US" w:eastAsia="zh-CN"/>
              </w:rPr>
            </w:pPr>
            <w:r>
              <w:rPr>
                <w:rFonts w:hint="eastAsia" w:ascii="仿宋_GB2312" w:hAnsi="仿宋_GB2312" w:eastAsia="仿宋_GB2312" w:cs="仿宋_GB2312"/>
                <w:i w:val="0"/>
                <w:iCs w:val="0"/>
                <w:color w:val="auto"/>
                <w:sz w:val="18"/>
                <w:szCs w:val="18"/>
                <w:highlight w:val="none"/>
                <w:u w:val="none"/>
                <w:lang w:val="en-US" w:eastAsia="zh-CN"/>
              </w:rPr>
              <w:t>99.68</w:t>
            </w:r>
            <w:bookmarkStart w:id="3" w:name="_GoBack"/>
            <w:bookmarkEnd w:id="3"/>
          </w:p>
        </w:tc>
        <w:tc>
          <w:tcPr>
            <w:tcW w:w="1287"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auto"/>
                <w:sz w:val="18"/>
                <w:szCs w:val="18"/>
                <w:highlight w:val="none"/>
                <w:u w:val="none"/>
              </w:rPr>
            </w:pPr>
          </w:p>
        </w:tc>
      </w:tr>
    </w:tbl>
    <w:p>
      <w:pPr>
        <w:pStyle w:val="2"/>
        <w:rPr>
          <w:rFonts w:hint="default"/>
          <w:color w:val="auto"/>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8"/>
          <w:jc w:val="center"/>
        </w:pPr>
        <w:r>
          <w:fldChar w:fldCharType="begin"/>
        </w:r>
        <w:r>
          <w:instrText xml:space="preserve">PAGE   \* MERGEFORMAT</w:instrText>
        </w:r>
        <w:r>
          <w:fldChar w:fldCharType="separate"/>
        </w:r>
        <w:r>
          <w:rPr>
            <w:lang w:val="zh-CN"/>
          </w:rPr>
          <w:t>13</w:t>
        </w:r>
        <w: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CD2B0F"/>
    <w:multiLevelType w:val="singleLevel"/>
    <w:tmpl w:val="F4CD2B0F"/>
    <w:lvl w:ilvl="0" w:tentative="0">
      <w:start w:val="1"/>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68AD9A2D"/>
    <w:multiLevelType w:val="singleLevel"/>
    <w:tmpl w:val="68AD9A2D"/>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iOGM5NzlhN2JhOTc3OTljZTBmY2FhN2MzNTk3ODEifQ=="/>
  </w:docVars>
  <w:rsids>
    <w:rsidRoot w:val="00172A27"/>
    <w:rsid w:val="006F7242"/>
    <w:rsid w:val="007B168A"/>
    <w:rsid w:val="008B2CFE"/>
    <w:rsid w:val="00F26FF6"/>
    <w:rsid w:val="01610122"/>
    <w:rsid w:val="02510197"/>
    <w:rsid w:val="03EC461B"/>
    <w:rsid w:val="04CB01D1"/>
    <w:rsid w:val="06FD56EB"/>
    <w:rsid w:val="07397B77"/>
    <w:rsid w:val="0AD007F3"/>
    <w:rsid w:val="0E3C619F"/>
    <w:rsid w:val="0FBF05FB"/>
    <w:rsid w:val="104015A6"/>
    <w:rsid w:val="11170296"/>
    <w:rsid w:val="111826CB"/>
    <w:rsid w:val="13471461"/>
    <w:rsid w:val="13B90F01"/>
    <w:rsid w:val="155E4C4D"/>
    <w:rsid w:val="17462648"/>
    <w:rsid w:val="181066D2"/>
    <w:rsid w:val="182648D6"/>
    <w:rsid w:val="1AB83CA5"/>
    <w:rsid w:val="1AD05916"/>
    <w:rsid w:val="1C671E73"/>
    <w:rsid w:val="1D1125A5"/>
    <w:rsid w:val="1D322C47"/>
    <w:rsid w:val="20050B6D"/>
    <w:rsid w:val="23616034"/>
    <w:rsid w:val="23D4607E"/>
    <w:rsid w:val="24480FA2"/>
    <w:rsid w:val="24AD6EF4"/>
    <w:rsid w:val="25227A45"/>
    <w:rsid w:val="26AC3A6A"/>
    <w:rsid w:val="281178FD"/>
    <w:rsid w:val="29E704EE"/>
    <w:rsid w:val="2B9D7E25"/>
    <w:rsid w:val="2C7C7A3B"/>
    <w:rsid w:val="2E755089"/>
    <w:rsid w:val="2EFC0D68"/>
    <w:rsid w:val="2F364819"/>
    <w:rsid w:val="2FD63906"/>
    <w:rsid w:val="306710B7"/>
    <w:rsid w:val="34DC7958"/>
    <w:rsid w:val="37215DAE"/>
    <w:rsid w:val="37C413D4"/>
    <w:rsid w:val="38CA40DD"/>
    <w:rsid w:val="395F2B56"/>
    <w:rsid w:val="3B770939"/>
    <w:rsid w:val="3BBA0580"/>
    <w:rsid w:val="3BECE841"/>
    <w:rsid w:val="3CDE204C"/>
    <w:rsid w:val="3D363C36"/>
    <w:rsid w:val="3D836657"/>
    <w:rsid w:val="3E9C3F6D"/>
    <w:rsid w:val="3F9A196C"/>
    <w:rsid w:val="3FF7797D"/>
    <w:rsid w:val="418A4550"/>
    <w:rsid w:val="43CB745A"/>
    <w:rsid w:val="46690BD8"/>
    <w:rsid w:val="49F70BF1"/>
    <w:rsid w:val="4A4A0D22"/>
    <w:rsid w:val="4B4340EE"/>
    <w:rsid w:val="4BF06537"/>
    <w:rsid w:val="4D7F189F"/>
    <w:rsid w:val="4F5120AC"/>
    <w:rsid w:val="503D507A"/>
    <w:rsid w:val="51FA74D0"/>
    <w:rsid w:val="52AA4A52"/>
    <w:rsid w:val="52E06360"/>
    <w:rsid w:val="551C3B07"/>
    <w:rsid w:val="56176058"/>
    <w:rsid w:val="56D3746E"/>
    <w:rsid w:val="59943D66"/>
    <w:rsid w:val="59E051FD"/>
    <w:rsid w:val="59E6355E"/>
    <w:rsid w:val="5A805058"/>
    <w:rsid w:val="5B821531"/>
    <w:rsid w:val="5BFF6039"/>
    <w:rsid w:val="5D733855"/>
    <w:rsid w:val="5D76A616"/>
    <w:rsid w:val="5D7F20B9"/>
    <w:rsid w:val="5DAC7D0E"/>
    <w:rsid w:val="5F750471"/>
    <w:rsid w:val="5F98B5AF"/>
    <w:rsid w:val="5FFE8511"/>
    <w:rsid w:val="5FFEACE2"/>
    <w:rsid w:val="609D5BF6"/>
    <w:rsid w:val="61073070"/>
    <w:rsid w:val="61B9080E"/>
    <w:rsid w:val="61DF3FED"/>
    <w:rsid w:val="62611BC8"/>
    <w:rsid w:val="642B176B"/>
    <w:rsid w:val="643EE26D"/>
    <w:rsid w:val="656019A0"/>
    <w:rsid w:val="65F242EE"/>
    <w:rsid w:val="666D7E19"/>
    <w:rsid w:val="68376930"/>
    <w:rsid w:val="68F91E38"/>
    <w:rsid w:val="69767E03"/>
    <w:rsid w:val="6B3158B9"/>
    <w:rsid w:val="6BA02A3F"/>
    <w:rsid w:val="6C1E5A53"/>
    <w:rsid w:val="6DD20F3C"/>
    <w:rsid w:val="6EC5513E"/>
    <w:rsid w:val="6F5C41AC"/>
    <w:rsid w:val="6FAF6C78"/>
    <w:rsid w:val="6FD65C0C"/>
    <w:rsid w:val="716167CC"/>
    <w:rsid w:val="718A7AD1"/>
    <w:rsid w:val="72A44BC2"/>
    <w:rsid w:val="7317C656"/>
    <w:rsid w:val="733A711F"/>
    <w:rsid w:val="734ED73F"/>
    <w:rsid w:val="73C82B32"/>
    <w:rsid w:val="73F94DAE"/>
    <w:rsid w:val="74220495"/>
    <w:rsid w:val="745D07C6"/>
    <w:rsid w:val="747D1B6F"/>
    <w:rsid w:val="749E5641"/>
    <w:rsid w:val="76271066"/>
    <w:rsid w:val="776FF713"/>
    <w:rsid w:val="77FD8BE9"/>
    <w:rsid w:val="78000AED"/>
    <w:rsid w:val="79A9BD3F"/>
    <w:rsid w:val="7B776F12"/>
    <w:rsid w:val="7BFFFDD0"/>
    <w:rsid w:val="7C336E5F"/>
    <w:rsid w:val="7C8D4919"/>
    <w:rsid w:val="7C8F43AC"/>
    <w:rsid w:val="7D7A5F86"/>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777374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3"/>
    <w:basedOn w:val="1"/>
    <w:next w:val="1"/>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5">
    <w:name w:val="Default Paragraph Font"/>
    <w:unhideWhenUsed/>
    <w:qFormat/>
    <w:uiPriority w:val="1"/>
  </w:style>
  <w:style w:type="table" w:default="1" w:styleId="14">
    <w:name w:val="Normal Table"/>
    <w:unhideWhenUsed/>
    <w:qFormat/>
    <w:uiPriority w:val="99"/>
    <w:tblPr>
      <w:tblLayout w:type="fixed"/>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rPr>
      <w:rFonts w:ascii="Calibri" w:hAnsi="Calibri"/>
    </w:rPr>
  </w:style>
  <w:style w:type="paragraph" w:styleId="5">
    <w:name w:val="annotation text"/>
    <w:basedOn w:val="1"/>
    <w:link w:val="22"/>
    <w:qFormat/>
    <w:uiPriority w:val="0"/>
    <w:pPr>
      <w:jc w:val="left"/>
    </w:pPr>
  </w:style>
  <w:style w:type="paragraph" w:styleId="6">
    <w:name w:val="Body Text"/>
    <w:basedOn w:val="1"/>
    <w:qFormat/>
    <w:uiPriority w:val="0"/>
    <w:pPr>
      <w:spacing w:after="120"/>
    </w:pPr>
  </w:style>
  <w:style w:type="paragraph" w:styleId="7">
    <w:name w:val="Balloon Text"/>
    <w:basedOn w:val="1"/>
    <w:link w:val="20"/>
    <w:qFormat/>
    <w:uiPriority w:val="0"/>
    <w:rPr>
      <w:sz w:val="18"/>
      <w:szCs w:val="18"/>
    </w:rPr>
  </w:style>
  <w:style w:type="paragraph" w:styleId="8">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9">
    <w:name w:val="header"/>
    <w:basedOn w:val="1"/>
    <w:link w:val="21"/>
    <w:qFormat/>
    <w:uiPriority w:val="0"/>
    <w:pPr>
      <w:pBdr>
        <w:bottom w:val="single" w:color="auto" w:sz="6" w:space="1"/>
      </w:pBdr>
      <w:tabs>
        <w:tab w:val="center" w:pos="4153"/>
        <w:tab w:val="right" w:pos="8306"/>
      </w:tabs>
      <w:snapToGrid w:val="0"/>
      <w:jc w:val="center"/>
    </w:pPr>
    <w:rPr>
      <w:sz w:val="18"/>
      <w:szCs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1">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subject"/>
    <w:basedOn w:val="5"/>
    <w:next w:val="5"/>
    <w:link w:val="23"/>
    <w:qFormat/>
    <w:uiPriority w:val="0"/>
    <w:rPr>
      <w:b/>
      <w:bCs/>
    </w:rPr>
  </w:style>
  <w:style w:type="paragraph" w:styleId="13">
    <w:name w:val="Body Text First Indent"/>
    <w:basedOn w:val="6"/>
    <w:qFormat/>
    <w:uiPriority w:val="0"/>
    <w:pPr>
      <w:spacing w:after="0"/>
      <w:ind w:firstLine="200" w:firstLineChars="200"/>
    </w:p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character" w:customStyle="1" w:styleId="18">
    <w:name w:val="fontstyle01"/>
    <w:qFormat/>
    <w:uiPriority w:val="0"/>
    <w:rPr>
      <w:rFonts w:ascii="仿宋_GB2312" w:hAnsi="仿宋_GB2312" w:eastAsia="仿宋_GB2312" w:cs="仿宋_GB2312"/>
      <w:color w:val="000000"/>
      <w:sz w:val="32"/>
      <w:szCs w:val="32"/>
    </w:rPr>
  </w:style>
  <w:style w:type="paragraph" w:customStyle="1" w:styleId="19">
    <w:name w:val="闻政-正文段落文字"/>
    <w:basedOn w:val="1"/>
    <w:qFormat/>
    <w:uiPriority w:val="3"/>
    <w:pPr>
      <w:spacing w:line="500" w:lineRule="exact"/>
      <w:ind w:firstLine="200"/>
    </w:pPr>
    <w:rPr>
      <w:kern w:val="0"/>
      <w:szCs w:val="28"/>
    </w:rPr>
  </w:style>
  <w:style w:type="character" w:customStyle="1" w:styleId="20">
    <w:name w:val="批注框文本 字符"/>
    <w:basedOn w:val="15"/>
    <w:link w:val="7"/>
    <w:qFormat/>
    <w:uiPriority w:val="0"/>
    <w:rPr>
      <w:rFonts w:ascii="Times New Roman" w:hAnsi="Times New Roman" w:eastAsia="宋体" w:cs="Times New Roman"/>
      <w:kern w:val="2"/>
      <w:sz w:val="18"/>
      <w:szCs w:val="18"/>
    </w:rPr>
  </w:style>
  <w:style w:type="character" w:customStyle="1" w:styleId="21">
    <w:name w:val="页眉 字符"/>
    <w:basedOn w:val="15"/>
    <w:link w:val="9"/>
    <w:qFormat/>
    <w:uiPriority w:val="0"/>
    <w:rPr>
      <w:rFonts w:ascii="Times New Roman" w:hAnsi="Times New Roman" w:eastAsia="宋体" w:cs="Times New Roman"/>
      <w:kern w:val="2"/>
      <w:sz w:val="18"/>
      <w:szCs w:val="18"/>
    </w:rPr>
  </w:style>
  <w:style w:type="character" w:customStyle="1" w:styleId="22">
    <w:name w:val="批注文字 字符"/>
    <w:basedOn w:val="15"/>
    <w:link w:val="5"/>
    <w:qFormat/>
    <w:uiPriority w:val="0"/>
    <w:rPr>
      <w:rFonts w:ascii="Times New Roman" w:hAnsi="Times New Roman" w:eastAsia="宋体" w:cs="Times New Roman"/>
      <w:kern w:val="2"/>
      <w:sz w:val="21"/>
      <w:szCs w:val="24"/>
    </w:rPr>
  </w:style>
  <w:style w:type="character" w:customStyle="1" w:styleId="23">
    <w:name w:val="批注主题 字符"/>
    <w:basedOn w:val="22"/>
    <w:link w:val="12"/>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28</Pages>
  <Words>9826</Words>
  <Characters>10028</Characters>
  <Lines>58</Lines>
  <Paragraphs>16</Paragraphs>
  <TotalTime>5</TotalTime>
  <ScaleCrop>false</ScaleCrop>
  <LinksUpToDate>false</LinksUpToDate>
  <CharactersWithSpaces>10082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2023-03-09T05:13:00Z</dcterms:created>
  <dc:creator>审核人</dc:creator>
  <cp:lastModifiedBy>Administrator</cp:lastModifiedBy>
  <dcterms:modified xsi:type="dcterms:W3CDTF">2025-08-27T08:28:51Z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EC99773F21B349659AE205148812517A_13</vt:lpwstr>
  </property>
  <property fmtid="{D5CDD505-2E9C-101B-9397-08002B2CF9AE}" pid="4" name="KSOTemplateDocerSaveRecord">
    <vt:lpwstr>eyJoZGlkIjoiY2RiNjU1NDQwNTFkZjdiNDUzMjUwMDJkNTQxYzAzOWMiLCJ1c2VySWQiOiIxNDgwODQ2NDExIn0=</vt:lpwstr>
  </property>
</Properties>
</file>