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新疆维吾尔自治区工业和信息化厅</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以下简称自治区工信厅）是根据中共中央办公厅、国务院批准的《新疆维吾尔自治区机构改革方案》（厅字〔2018〕110号）和自治区党委办公厅、自治区人民政府办公厅印发的《关于新疆维吾尔自治区机构改革方案的实施意见》（新党办发〔2018〕52号），在原自治区经济和信息化委员会基础上组建，为自治区人民政府组成部门。​ ​</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国家工业和信息化的法律法规和方针政策，提出自治区工业和信息化发展规划和政策建议；拟订工业和信息化发展的综合性法规、规章、政策，并组织实施和监督检查；推进信息化和工业化融合;（2）拟订工业和信息化发展规划；根据国家产业政策，拟订自治区产业政策，并组织实施和监督检查；指导产业合理布局和结构调整；组织协调重点产业调整和高质量发展规划的拟订与实施；（3）监测分析工业经济运行态势，调节工业经济运行；拟订工业经济运行调控目标、政策措施；统计并发布相关信息，进行预测预警和信息引导；协调解决工业经济运行中的重大问题并提出政策建议；负责协调油地关系；协调解决油气运输等重大问题；组织拟订并实施现代物流业发展的相关政策措施；负责工业经济运行和产业安全有关工作；（4）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5）负责工业和信息产业及信息化建设的技术改造投资管理；拟订技术改造投资的有关政策措施；研究和规划技术改造项目投资方向和布局；负责技术改造投资项目审核、备案；（6）拟订工业和信息化领域技术创新政策措施；培育和发展战略性新兴产业；拟订装备工业发展规划及政策措施；负责推进装备制造产业发展工作；指导工业和信息化领域对外经济技术合作、交流及招商引资工作；（7）指导工业和信息化领域体制改革和管理创新；拟订促进中小企业发展的相关政策措施，负责对中小企业的宏观指导和服务，指导中小企业改革与发展，建立健全服务体系；负责工业和信息化领域人员的培训；负责协调减轻企业负担工作；（8）拟订工业和信息化领域资源节约和综合利用规划、政策；指导工业节能减排综合协调和监督管理工作，负责工业节能执行工作；指导工业和信息化领域循环经济发展；协调工业和信息化领域清洁生产和节能环保产业发展工作；（9）负责民爆行业管理；对民用爆炸物品生产、销售依法实施许可和监督管理；指导、监督工业领域安全生产工作；（10）负责推进信息化工作；指导、协调经济社会各领域信息技术的推广应用工作；推进跨行业、跨部门面向社会服务的互联互通及重要信息资源开发利用和共享；统筹指导工业信息安全管理工作；（11）指导电子信息产业的发展；指导电子信息产品制造业、软件业、信息服务业发展；指导电子信息产业基地建设</w:t>
      </w:r>
      <w:r>
        <w:rPr>
          <w:rFonts w:hint="eastAsia" w:ascii="仿宋_GB2312" w:eastAsia="仿宋_GB2312"/>
          <w:b w:val="0"/>
          <w:sz w:val="32"/>
          <w:szCs w:val="32"/>
          <w:lang w:eastAsia="zh-CN"/>
        </w:rPr>
        <w:t>、</w:t>
      </w:r>
      <w:r>
        <w:rPr>
          <w:rFonts w:ascii="仿宋_GB2312" w:eastAsia="仿宋_GB2312"/>
          <w:b w:val="0"/>
          <w:sz w:val="32"/>
          <w:szCs w:val="32"/>
        </w:rPr>
        <w:t>协调电子信息产业重大专项实施；（12）负责无线电管理工作；根据授权参与涉外无线电管理工作；（13）完成自治区党委、自治区人民政府交办的其他任务。​ ​</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新疆维吾尔自治区工业和信息化厅2024年度，实有人数876人，其中：在职人员246人，减少13人；离休人员13人，减少2人；退休人员617人，增加19人。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无下属预算单位，下设31个处室，分别是：办公室、综合业务处、法规处、产业政策处、运行监测协调局、规划与投资处、科技质量处、装备工业处、园区管理处、企业处（自治区中小企业局）、节能与综合利用处、安全生产处（自治区民用爆炸物品管理办公室）、原材料工业处、消费品工业处、电子信息处、软件服务业处、信息化推进处、工业信息安全处、无线电管理处（自治区无线电管理局）、无线电执法监督处、物流处、石油化工和油区工作处、轻工业行业管理处、纺织工业行业管理处、建材行业管理处、招商协作发展处、财务审计处、培训处、人事处、机关党委、离退休干部工作处。</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2024年度收入总计37,445.64万元，其中：本年收入合计34,514.32万元，使用非财政拨款结余（含专用结余）0.00万元，年初结转和结余2,931.32万元。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2024年度支出总计37,445.64万元，其中：本年支出合计34,855.56万元，结余分配0.00万元，年末结转和结余2,590.08万元。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26,846.01万元，下降41.76%，主要原因是：一是因在职人员减少，行政办公经费减少；二是结转上年中央无线电管理经费减少以及2024年中央无线电管理经费、自治区中小企业发展专项资金、自治区工业节能减排专项资金、自治区无线电安全保障及事业发展专项经费等项目资金年初预算安排减少；三是年中追加人才</w:t>
      </w:r>
      <w:r>
        <w:rPr>
          <w:rFonts w:hint="eastAsia" w:ascii="仿宋_GB2312" w:eastAsia="仿宋_GB2312"/>
          <w:b w:val="0"/>
          <w:sz w:val="32"/>
          <w:szCs w:val="32"/>
          <w:lang w:eastAsia="zh-CN"/>
        </w:rPr>
        <w:t>类</w:t>
      </w:r>
      <w:r>
        <w:rPr>
          <w:rFonts w:ascii="仿宋_GB2312" w:eastAsia="仿宋_GB2312"/>
          <w:b w:val="0"/>
          <w:sz w:val="32"/>
          <w:szCs w:val="32"/>
        </w:rPr>
        <w:t>项目、自治区葡萄酒产业发展专项资金、中国国际工业博览会有关经费、区属国有企业离休干部（遗孀）生活待遇经费等大额项目资金较上年减少。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34,514.32万元，其中：财政拨款收入34,427.82万元,占99.75%；上级补助收入0.00万元,占0.00%；事业收入0.00万元，占0.00%；经营收入0.00万元,占0.00%；附属单位上缴收入0.00万元，占0.00%；其他收入86.49万元，占0.25%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本年支出34,855.56万元，其中：基本支出9,393.18万元，占26.95%；项目支出25,462.38万元，占73.05%；上缴上级支出0.00万元，占0.00%；经营支出0.00万元，占0.00%；对附属单位补助支出0.00万元，占0.00%。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34,427.82万元，其中：年初财政拨款结转和结余0.00万元，本年财政拨款收入34,427.82万元。财政拨款支出总计34,427.82万元，其中：年末财政拨款结转和结余0.00万元，本年财政拨款支出34,427.82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26,789.83万元，下降43.76%，主要原因是：一是因在职人员减少，行政办公经费减少；二是结转上年中央无线电管理经费减少以及2024年中央无线电管理经费、自治区中小企业发展专项资金、自治区工业节能减排专项资金、自治区无线电安全保障及事业发展专项经费等项目资金年初预算安排减少；三是年中追加人才</w:t>
      </w:r>
      <w:r>
        <w:rPr>
          <w:rFonts w:hint="eastAsia" w:ascii="仿宋_GB2312" w:eastAsia="仿宋_GB2312"/>
          <w:b w:val="0"/>
          <w:sz w:val="32"/>
          <w:szCs w:val="32"/>
          <w:lang w:eastAsia="zh-CN"/>
        </w:rPr>
        <w:t>类</w:t>
      </w:r>
      <w:r>
        <w:rPr>
          <w:rFonts w:ascii="仿宋_GB2312" w:eastAsia="仿宋_GB2312"/>
          <w:b w:val="0"/>
          <w:sz w:val="32"/>
          <w:szCs w:val="32"/>
        </w:rPr>
        <w:t>项目、自治区葡萄酒产业发展专项资金、中国国际工业博览会有关经费、区属国有企业离休干部（遗孀）生活待遇经费等大额项目资金较上年减少。与年初预算相比，年初预算数17,759.10万元，决算数34,427.82万元，预决算差异率93.86%，主要原因是：一是结转2024年中央无线电管理经费648.83万元；二是年中追加人才</w:t>
      </w:r>
      <w:r>
        <w:rPr>
          <w:rFonts w:hint="eastAsia" w:ascii="仿宋_GB2312" w:eastAsia="仿宋_GB2312"/>
          <w:b w:val="0"/>
          <w:sz w:val="32"/>
          <w:szCs w:val="32"/>
          <w:lang w:eastAsia="zh-CN"/>
        </w:rPr>
        <w:t>类项目</w:t>
      </w:r>
      <w:r>
        <w:rPr>
          <w:rFonts w:ascii="仿宋_GB2312" w:eastAsia="仿宋_GB2312"/>
          <w:b w:val="0"/>
          <w:sz w:val="32"/>
          <w:szCs w:val="32"/>
        </w:rPr>
        <w:t>、驻村工作经费、丧葬费抚恤金、自治区工信厅办公用房维修改造资金、第八届亚欧时装周活动经费、职业年金等资金共计18,505.45万元；三是年末财政收回未使用资金共计1,187.90万元。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34,427.82万元，占本年支出合计的98.77%。与上年相比，减少26,789.83万元，下降43.76%，主要原因是：一是因在职人员减少，行政办公经费减少；二是结转上年中央无线电管理经费减少以及2024年中央无线电管理经费、自治区中小企业发展专项资金、自治区工业节能减排专项资金、自治区无线电安全保障及事业发展专项经费等项目资金年初预算安排减少；三是年中追加人才</w:t>
      </w:r>
      <w:r>
        <w:rPr>
          <w:rFonts w:hint="eastAsia" w:ascii="仿宋_GB2312" w:eastAsia="仿宋_GB2312"/>
          <w:b w:val="0"/>
          <w:sz w:val="32"/>
          <w:szCs w:val="32"/>
          <w:lang w:eastAsia="zh-CN"/>
        </w:rPr>
        <w:t>类</w:t>
      </w:r>
      <w:r>
        <w:rPr>
          <w:rFonts w:ascii="仿宋_GB2312" w:eastAsia="仿宋_GB2312"/>
          <w:b w:val="0"/>
          <w:sz w:val="32"/>
          <w:szCs w:val="32"/>
        </w:rPr>
        <w:t>项目、自治区葡萄酒产业发展专项资金、中国国际工业博览会有关经费、区属国有企业离休干部（遗孀）生活待遇经费等大额项目资金较上年减少。与年初预算相比，年初预算数17,759.10万元，决算数34,427.82万元，预决算差异率93.86%，主要原因是：一是结转2024年中央无线电管理经费648.83万元；二是年中追加人才</w:t>
      </w:r>
      <w:r>
        <w:rPr>
          <w:rFonts w:hint="eastAsia" w:ascii="仿宋_GB2312" w:eastAsia="仿宋_GB2312"/>
          <w:b w:val="0"/>
          <w:sz w:val="32"/>
          <w:szCs w:val="32"/>
          <w:lang w:eastAsia="zh-CN"/>
        </w:rPr>
        <w:t>类项目</w:t>
      </w:r>
      <w:r>
        <w:rPr>
          <w:rFonts w:ascii="仿宋_GB2312" w:eastAsia="仿宋_GB2312"/>
          <w:b w:val="0"/>
          <w:sz w:val="32"/>
          <w:szCs w:val="32"/>
        </w:rPr>
        <w:t>、驻村工作经费、丧葬费抚恤金、自治区工信厅办公用房维修改造资金、第八届亚欧时装周活动经费、职业年金等资金共计18,505.45万元；三是年末财政收回未使用资金共计1,187.90万元。</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社会保障和就业支出（类）3,258.65万元，占9.47%。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卫生健康支出（类）500.27万元，占1.45%。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节能环保支出（类）328.54万元，占0.95%。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资源勘探工业信息等支出（类）29,875.27万元，占86.78%。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住房保障支出（类）465.10万元，占1.35%。</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1、一般公共服务支出（类）商贸事务（款）行政运行（项）：支出决算数为0.00万元，比上年决算减少58.15万元，下降100.00%，主要原因是：该类款项结转结余资金已于2023年使用完毕。</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2、一般公共服务支出（类）商贸事务（款）一般行政管理事务（项）：支出决算数为0.00万元，比上年决算减少27.85万元，下降100.00%，主要原因是：该类款项结转结余资金已于2023年使用完毕。</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行政单位离退休（项）：支出决算数为1,771.60万元，比上年决算减少291.30万元，下降14.12%，主要原因是：根据自治区工作要求，不再安排退休人员医疗费，以及本年未在此类款项中安排丧葬费抚恤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基本养老保险缴费支出（项）：支出决算数为550.68万元，比上年决算增加40.68万元，增长7.98%，主要原因是：人员晋升增资，养老保险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行政事业单位养老支出（款）机关事业单位职业年金缴费支出（项）：支出决算数为198.91万元，比上年决算增加90.53万元，增长83.53%，主要原因是：退休人员增加，职业年金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社会保障和就业支出（类）企业改革补助（款）其他企业改革发展补助（项）：支出决算数为194.32万元，比上年决算减少64.87万元，下降25.03%，主要原因是：一是区属国有企业离休干部（遗孀）生活待遇经费减少；二是本年未追加国有企业办职教幼教退休人员生活待遇补助资金、区属国有企业办医院退休人员生活待遇补助资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7、社会保障和就业支出（类）抚恤（款）死亡抚恤（项）：支出决算数为543.14万元，比上年决算增加116.29万元，增长27.24%，主要原因是：去世人员增加，支出相应增加。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8、卫生健康支出（类）行政事业单位医疗（款）行政单位医疗（项）：支出决算数为263.33万元，比上年决算增加6.79万元，增长2.65%，主要原因是：人员晋升增资，医疗保险缴费基数上调。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9、卫生健康支出（类）行政事业单位医疗（款）事业单位医疗（项）：支出决算数为7.16万元，比上年决算增加0.16万元，增长2.29%，主要原因是：人员晋升增资，医疗保险缴费基数上调。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10、卫生健康支出（类）行政事业单位医疗（款）公务员医疗补助（项）：支出决算数为229.77万元，比上年决算增加7.12万元，增长3.20%，主要原因是：人员晋升增资，公务员医疗补助缴费基数上调。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节能环保支出（类）能源节约利用（款）能源节约利用（项）：支出决算数为328.54万元，比上年决算增加20.58万元，增长6.68%，主要原因是：一是自治区工业节能减排专项资金减少；二是本年新增2024年第二批自治区全社会节能减排专项资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资源勘探工业信息等支出（类）制造业（款）纺织业（项）：支出决算数为516.51万元，比上年决算增加463.71万元，增长878.24%，主要原因是：本年年中追加纺织服装产业用于开展时装周、展会及相关对接活动的专项经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13、资源勘探工业信息等支出（类）工业和信息产业监管（款）行政运行（项）：支出决算数为5,187.96万元，比上年决算减少417.81万元，下降7.45%，主要原因是：在职人员减少，办公经费相应减少。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14、资源勘探工业信息等支出（类）工业和信息产业监管（款）一般行政管理事务（项）：支出决算数为16,395.39万元，比上年决算减少16,876.91万元，下降50.72%，主要原因是：大额项目</w:t>
      </w:r>
      <w:r>
        <w:rPr>
          <w:rFonts w:hint="eastAsia" w:ascii="仿宋_GB2312" w:eastAsia="仿宋_GB2312"/>
          <w:b w:val="0"/>
          <w:sz w:val="32"/>
          <w:szCs w:val="32"/>
          <w:lang w:eastAsia="zh-CN"/>
        </w:rPr>
        <w:t>如</w:t>
      </w:r>
      <w:r>
        <w:rPr>
          <w:rFonts w:ascii="仿宋_GB2312" w:eastAsia="仿宋_GB2312"/>
          <w:b w:val="0"/>
          <w:sz w:val="32"/>
          <w:szCs w:val="32"/>
        </w:rPr>
        <w:t>人才</w:t>
      </w:r>
      <w:r>
        <w:rPr>
          <w:rFonts w:hint="eastAsia" w:ascii="仿宋_GB2312" w:eastAsia="仿宋_GB2312"/>
          <w:b w:val="0"/>
          <w:sz w:val="32"/>
          <w:szCs w:val="32"/>
          <w:lang w:eastAsia="zh-CN"/>
        </w:rPr>
        <w:t>类项目</w:t>
      </w:r>
      <w:r>
        <w:rPr>
          <w:rFonts w:ascii="仿宋_GB2312" w:eastAsia="仿宋_GB2312"/>
          <w:b w:val="0"/>
          <w:sz w:val="32"/>
          <w:szCs w:val="32"/>
        </w:rPr>
        <w:t>较上年减少。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15、资源勘探工业信息等支出（类）工业和信息产业监管（款）机关服务（项）：支出决算数为116.09万元，比上年决算增加14.50万元，增长14.27%，主要原因是：事业在职人员晋升增资。</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16、资源勘探工业信息等支出（类）工业和信息产业监管（款）无线电及信息通信监管（项）：支出决算数为5,921.83万元，比上年决算减少5,030.57万元，下降45.93%，主要原因是：一是结转上年中央无线电管理经费减少；二是2024年中央无线电管理经费较上年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17、资源勘探工业信息等支出（类）工业和信息产业监管（款）产业发展（项）：支出决算数为35.00万元，比上年决算减少358.72万元，下降91.11%，主要原因是：2023年自治区葡萄酒产业发展专项资金结转至本年35.00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18、资源勘探工业信息等支出（类）工业和信息产业监管（款）其他工业和信息产业监管支出（项）：支出决算数为1,290.35万元，比上年决算减少134.78万元，下降9.46%，主要原因是：</w:t>
      </w:r>
      <w:r>
        <w:rPr>
          <w:rFonts w:hint="eastAsia" w:ascii="仿宋_GB2312" w:eastAsia="仿宋_GB2312"/>
          <w:b w:val="0"/>
          <w:sz w:val="32"/>
          <w:szCs w:val="32"/>
          <w:lang w:eastAsia="zh-CN"/>
        </w:rPr>
        <w:t>物流类专项</w:t>
      </w:r>
      <w:r>
        <w:rPr>
          <w:rFonts w:ascii="仿宋_GB2312" w:eastAsia="仿宋_GB2312"/>
          <w:b w:val="0"/>
          <w:sz w:val="32"/>
          <w:szCs w:val="32"/>
        </w:rPr>
        <w:t>资金减少。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19、资源勘探工业信息等支出（类）支持中小企业发展和管理支出（款）中小企业发展专项（项）：支出决算数为412.12万元，比上年决算减少4,337.88万元，下降91.32%，主要原因是：自治区中小企业发展专项专精特新补贴资金本年调整至204001转移支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20、住房保障支出（类）住房改革支出（款）住房公积金（项）：支出决算数为465.10万元，比上年决算增加53.62万元，增长13.03%，主要原因是：人员晋升增资，住房公积金缴费基数上调。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21、灾害防治及应急管理支出（类）应急管理事务（款）安全监管（项）：支出决算数为0.00万元，比上年决算减少5.00万元，下降100.00%，主要原因是：本年未追加自治区安全生产</w:t>
      </w:r>
      <w:r>
        <w:rPr>
          <w:rFonts w:hint="eastAsia" w:ascii="仿宋_GB2312" w:eastAsia="仿宋_GB2312"/>
          <w:b w:val="0"/>
          <w:sz w:val="32"/>
          <w:szCs w:val="32"/>
          <w:lang w:eastAsia="zh-CN"/>
        </w:rPr>
        <w:t>类资金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9,314.74万元，其中：人员经费8,182.56万元，包括：基本工资、津贴补贴、奖金、机关事业单位基本养老保险缴费、职业年金缴费、职工基本医疗保险缴费、公务员医疗补助缴费、其他社会保障缴费、住房公积金、其他工资福利支出、离休费、退休费、抚恤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公用经费1,132.18万元，包括：办公费、电费、邮电费、取暖费、差旅费、公务接待费、工会经费、福利费、公务用车运行维护费、其他商品和服务支出和公务用车购置。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130.33万元，比上年减少3.10万元，下降2.32%，主要原因是：严格执行中央八项规定及实施细则，做到“三公”经费只减不增，无预算不支出。其中：因公出国（境）费支出0.00万元,占0.00%，比上年减少2.97万元，下降100%，主要原因是：本年无因公出国（境）事项；公务用车购置及运行维护费支出129.59万元，占99.43%，比上年减少0.12万元，下降0.09%，主要原因是：严格执行公务</w:t>
      </w:r>
      <w:r>
        <w:rPr>
          <w:rFonts w:hint="eastAsia" w:ascii="仿宋_GB2312" w:eastAsia="仿宋_GB2312"/>
          <w:b w:val="0"/>
          <w:sz w:val="32"/>
          <w:szCs w:val="32"/>
          <w:lang w:eastAsia="zh-CN"/>
        </w:rPr>
        <w:t>用车</w:t>
      </w:r>
      <w:r>
        <w:rPr>
          <w:rFonts w:ascii="仿宋_GB2312" w:eastAsia="仿宋_GB2312"/>
          <w:b w:val="0"/>
          <w:sz w:val="32"/>
          <w:szCs w:val="32"/>
        </w:rPr>
        <w:t>管理制度，合理压减公务用车运行费用；公务接待费支出0.74万元，占0.57%，比上年减少0.01万元，下降1.33%，主要原因是：严格执行中央八项规定及实施细则，严格控制公务接待事项。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因公出国（境）费支出0.00万元，开支内容包括无。单位全年安排的因公出国（境）团组0个，因公出国（境）0人次。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129.59万元，其中：公务用车购置费17.98万元，公务用车运行维护费111.61万元。公务用车运行维护费开支内容包括车辆保险、停车过路费、车辆加油、车辆维修等费用。公务用车购置数1辆，公务用车保有量40辆。国有资产占用情况中固定资产车辆40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公务接待费0.74万元，开支内容包括公务接待相关部门人员发生的餐费。单位全年安排的国内公务接待7批次，44人次。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130.34万元，决算数130.33万元，预决算差异率-0.01%，主要原因是：严格执行中央八项规定及实施细则，做到“三公”经费只减不增，无预算不支出。其中：因公出国（境）费全年预算数0.00万元，决算数0.00万元，预决算差异率0.00%，主要原因是：本年无因公出国（境）事项；公务用车购置费全年预算数17.98万元，决算数17.98万元，预决算差异率0.00%，主要原因是：本年购置公务用车1辆；公务用车运行维护费全年预算数111.61万元，决算数111.61万元，预决算差异率0.00%，主要原因是：严格执行公务</w:t>
      </w:r>
      <w:r>
        <w:rPr>
          <w:rFonts w:hint="eastAsia" w:ascii="仿宋_GB2312" w:eastAsia="仿宋_GB2312"/>
          <w:b w:val="0"/>
          <w:sz w:val="32"/>
          <w:szCs w:val="32"/>
          <w:lang w:eastAsia="zh-CN"/>
        </w:rPr>
        <w:t>用车</w:t>
      </w:r>
      <w:r>
        <w:rPr>
          <w:rFonts w:ascii="仿宋_GB2312" w:eastAsia="仿宋_GB2312"/>
          <w:b w:val="0"/>
          <w:sz w:val="32"/>
          <w:szCs w:val="32"/>
        </w:rPr>
        <w:t>管理制度，严格控制公务用车运行费用；公务接待费全年预算数0.75万元，决算数0.74万元，预决算差异率-1.33%，主要原因是</w:t>
      </w:r>
      <w:r>
        <w:rPr>
          <w:rFonts w:hint="eastAsia" w:ascii="仿宋_GB2312" w:eastAsia="仿宋_GB2312"/>
          <w:b w:val="0"/>
          <w:sz w:val="32"/>
          <w:szCs w:val="32"/>
          <w:lang w:eastAsia="zh-CN"/>
        </w:rPr>
        <w:t>：</w:t>
      </w:r>
      <w:r>
        <w:rPr>
          <w:rFonts w:ascii="仿宋_GB2312" w:eastAsia="仿宋_GB2312"/>
          <w:b w:val="0"/>
          <w:sz w:val="32"/>
          <w:szCs w:val="32"/>
        </w:rPr>
        <w:t>严格执行中央八项规定及实施细则，严格控制公务接待事项。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2024年度新疆维吾尔自治区工业和信息化厅单位（行政单位和参照公务员法管理事业单位）机关运行经费支出1,132.18万元，比上年减少114.98万元，下降9.22%，主要原因是：在职人员减少，办公经费相应减少。</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2024年度政府采购支出总额7,360.88万元，其中：政府采购货物支出4,153.67万元、政府采购工程支出323.85万元、政府采购服务支出2,883.36万元。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授予中小企业合同金额7,148.56万元，占政府采购支出总额的97.12%，其中：授予小微企业合同金额5,030.99万元，占政府采购支出总额的68.35%。</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127,314.17平方米，价值17,010.49万元。车辆40辆，价值1,174.78万元，其中：副部（省）级及以上领导用车0辆、主要负责人用车1辆、机要通信用车0辆、应急保障用车0辆、执法执勤用车0辆、特种专业技术用车0辆、离退休干部服务用车0辆、其他用车39辆，其他用车主要是：公务用车;单价100万元（含）以上设备（不含车辆）4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根据预算绩效管理要求，本单位2024年度预算绩效管理形成整体支出绩效自评表1个，全年预算总额4</w:t>
      </w:r>
      <w:r>
        <w:rPr>
          <w:rFonts w:hint="eastAsia" w:ascii="仿宋_GB2312" w:eastAsia="仿宋_GB2312"/>
          <w:b w:val="0"/>
          <w:sz w:val="32"/>
          <w:szCs w:val="32"/>
          <w:lang w:val="en-US" w:eastAsia="zh-CN"/>
        </w:rPr>
        <w:t>9</w:t>
      </w:r>
      <w:r>
        <w:rPr>
          <w:rFonts w:ascii="仿宋_GB2312" w:eastAsia="仿宋_GB2312"/>
          <w:b w:val="0"/>
          <w:sz w:val="32"/>
          <w:szCs w:val="32"/>
        </w:rPr>
        <w:t>,1</w:t>
      </w:r>
      <w:r>
        <w:rPr>
          <w:rFonts w:hint="eastAsia" w:ascii="仿宋_GB2312" w:eastAsia="仿宋_GB2312"/>
          <w:b w:val="0"/>
          <w:sz w:val="32"/>
          <w:szCs w:val="32"/>
          <w:lang w:val="en-US" w:eastAsia="zh-CN"/>
        </w:rPr>
        <w:t>49</w:t>
      </w:r>
      <w:r>
        <w:rPr>
          <w:rFonts w:ascii="仿宋_GB2312" w:eastAsia="仿宋_GB2312"/>
          <w:b w:val="0"/>
          <w:sz w:val="32"/>
          <w:szCs w:val="32"/>
        </w:rPr>
        <w:t>.</w:t>
      </w:r>
      <w:r>
        <w:rPr>
          <w:rFonts w:hint="eastAsia" w:ascii="仿宋_GB2312" w:eastAsia="仿宋_GB2312"/>
          <w:b w:val="0"/>
          <w:sz w:val="32"/>
          <w:szCs w:val="32"/>
          <w:lang w:val="en-US" w:eastAsia="zh-CN"/>
        </w:rPr>
        <w:t>62</w:t>
      </w:r>
      <w:r>
        <w:rPr>
          <w:rFonts w:ascii="仿宋_GB2312" w:eastAsia="仿宋_GB2312"/>
          <w:b w:val="0"/>
          <w:sz w:val="32"/>
          <w:szCs w:val="32"/>
        </w:rPr>
        <w:t>万元，实际执行总额4</w:t>
      </w:r>
      <w:r>
        <w:rPr>
          <w:rFonts w:hint="eastAsia" w:ascii="仿宋_GB2312" w:eastAsia="仿宋_GB2312"/>
          <w:b w:val="0"/>
          <w:sz w:val="32"/>
          <w:szCs w:val="32"/>
          <w:lang w:val="en-US" w:eastAsia="zh-CN"/>
        </w:rPr>
        <w:t>7</w:t>
      </w:r>
      <w:r>
        <w:rPr>
          <w:rFonts w:ascii="仿宋_GB2312" w:eastAsia="仿宋_GB2312"/>
          <w:b w:val="0"/>
          <w:sz w:val="32"/>
          <w:szCs w:val="32"/>
        </w:rPr>
        <w:t>,</w:t>
      </w:r>
      <w:r>
        <w:rPr>
          <w:rFonts w:hint="eastAsia" w:ascii="仿宋_GB2312" w:eastAsia="仿宋_GB2312"/>
          <w:b w:val="0"/>
          <w:sz w:val="32"/>
          <w:szCs w:val="32"/>
          <w:lang w:val="en-US" w:eastAsia="zh-CN"/>
        </w:rPr>
        <w:t>844</w:t>
      </w:r>
      <w:r>
        <w:rPr>
          <w:rFonts w:ascii="仿宋_GB2312" w:eastAsia="仿宋_GB2312"/>
          <w:b w:val="0"/>
          <w:sz w:val="32"/>
          <w:szCs w:val="32"/>
        </w:rPr>
        <w:t>.</w:t>
      </w:r>
      <w:r>
        <w:rPr>
          <w:rFonts w:hint="eastAsia" w:ascii="仿宋_GB2312" w:eastAsia="仿宋_GB2312"/>
          <w:b w:val="0"/>
          <w:sz w:val="32"/>
          <w:szCs w:val="32"/>
          <w:lang w:val="en-US" w:eastAsia="zh-CN"/>
        </w:rPr>
        <w:t>16</w:t>
      </w:r>
      <w:r>
        <w:rPr>
          <w:rFonts w:ascii="仿宋_GB2312" w:eastAsia="仿宋_GB2312"/>
          <w:b w:val="0"/>
          <w:sz w:val="32"/>
          <w:szCs w:val="32"/>
        </w:rPr>
        <w:t>万元；预算绩效评价项目3</w:t>
      </w:r>
      <w:r>
        <w:rPr>
          <w:rFonts w:hint="eastAsia" w:ascii="仿宋_GB2312" w:eastAsia="仿宋_GB2312"/>
          <w:b w:val="0"/>
          <w:sz w:val="32"/>
          <w:szCs w:val="32"/>
          <w:lang w:val="en-US" w:eastAsia="zh-CN"/>
        </w:rPr>
        <w:t>8</w:t>
      </w:r>
      <w:r>
        <w:rPr>
          <w:rFonts w:ascii="仿宋_GB2312" w:eastAsia="仿宋_GB2312"/>
          <w:b w:val="0"/>
          <w:sz w:val="32"/>
          <w:szCs w:val="32"/>
        </w:rPr>
        <w:t>个，全年预算数4</w:t>
      </w:r>
      <w:r>
        <w:rPr>
          <w:rFonts w:hint="eastAsia" w:ascii="仿宋_GB2312" w:eastAsia="仿宋_GB2312"/>
          <w:b w:val="0"/>
          <w:sz w:val="32"/>
          <w:szCs w:val="32"/>
          <w:lang w:val="en-US" w:eastAsia="zh-CN"/>
        </w:rPr>
        <w:t>9</w:t>
      </w:r>
      <w:r>
        <w:rPr>
          <w:rFonts w:ascii="仿宋_GB2312" w:eastAsia="仿宋_GB2312"/>
          <w:b w:val="0"/>
          <w:sz w:val="32"/>
          <w:szCs w:val="32"/>
        </w:rPr>
        <w:t>,1</w:t>
      </w:r>
      <w:r>
        <w:rPr>
          <w:rFonts w:hint="eastAsia" w:ascii="仿宋_GB2312" w:eastAsia="仿宋_GB2312"/>
          <w:b w:val="0"/>
          <w:sz w:val="32"/>
          <w:szCs w:val="32"/>
          <w:lang w:val="en-US" w:eastAsia="zh-CN"/>
        </w:rPr>
        <w:t>49</w:t>
      </w:r>
      <w:r>
        <w:rPr>
          <w:rFonts w:ascii="仿宋_GB2312" w:eastAsia="仿宋_GB2312"/>
          <w:b w:val="0"/>
          <w:sz w:val="32"/>
          <w:szCs w:val="32"/>
        </w:rPr>
        <w:t>.</w:t>
      </w:r>
      <w:r>
        <w:rPr>
          <w:rFonts w:hint="eastAsia" w:ascii="仿宋_GB2312" w:eastAsia="仿宋_GB2312"/>
          <w:b w:val="0"/>
          <w:sz w:val="32"/>
          <w:szCs w:val="32"/>
          <w:lang w:val="en-US" w:eastAsia="zh-CN"/>
        </w:rPr>
        <w:t>62</w:t>
      </w:r>
      <w:r>
        <w:rPr>
          <w:rFonts w:ascii="仿宋_GB2312" w:eastAsia="仿宋_GB2312"/>
          <w:b w:val="0"/>
          <w:sz w:val="32"/>
          <w:szCs w:val="32"/>
        </w:rPr>
        <w:t>万元，全年执行数4</w:t>
      </w:r>
      <w:r>
        <w:rPr>
          <w:rFonts w:hint="eastAsia" w:ascii="仿宋_GB2312" w:eastAsia="仿宋_GB2312"/>
          <w:b w:val="0"/>
          <w:sz w:val="32"/>
          <w:szCs w:val="32"/>
          <w:lang w:val="en-US" w:eastAsia="zh-CN"/>
        </w:rPr>
        <w:t>7</w:t>
      </w:r>
      <w:r>
        <w:rPr>
          <w:rFonts w:ascii="仿宋_GB2312" w:eastAsia="仿宋_GB2312"/>
          <w:b w:val="0"/>
          <w:sz w:val="32"/>
          <w:szCs w:val="32"/>
        </w:rPr>
        <w:t>,</w:t>
      </w:r>
      <w:r>
        <w:rPr>
          <w:rFonts w:hint="eastAsia" w:ascii="仿宋_GB2312" w:eastAsia="仿宋_GB2312"/>
          <w:b w:val="0"/>
          <w:sz w:val="32"/>
          <w:szCs w:val="32"/>
          <w:lang w:val="en-US" w:eastAsia="zh-CN"/>
        </w:rPr>
        <w:t>844</w:t>
      </w:r>
      <w:r>
        <w:rPr>
          <w:rFonts w:ascii="仿宋_GB2312" w:eastAsia="仿宋_GB2312"/>
          <w:b w:val="0"/>
          <w:sz w:val="32"/>
          <w:szCs w:val="32"/>
        </w:rPr>
        <w:t>.</w:t>
      </w:r>
      <w:r>
        <w:rPr>
          <w:rFonts w:hint="eastAsia" w:ascii="仿宋_GB2312" w:eastAsia="仿宋_GB2312"/>
          <w:b w:val="0"/>
          <w:sz w:val="32"/>
          <w:szCs w:val="32"/>
          <w:lang w:val="en-US" w:eastAsia="zh-CN"/>
        </w:rPr>
        <w:t>16</w:t>
      </w:r>
      <w:r>
        <w:rPr>
          <w:rFonts w:ascii="仿宋_GB2312" w:eastAsia="仿宋_GB2312"/>
          <w:b w:val="0"/>
          <w:sz w:val="32"/>
          <w:szCs w:val="32"/>
        </w:rPr>
        <w:t>万元。预算绩效管理取得的成效：</w:t>
      </w:r>
      <w:bookmarkStart w:id="0" w:name="_GoBack"/>
      <w:bookmarkEnd w:id="0"/>
      <w:r>
        <w:rPr>
          <w:rFonts w:ascii="仿宋_GB2312" w:eastAsia="仿宋_GB2312"/>
          <w:b w:val="0"/>
          <w:sz w:val="32"/>
          <w:szCs w:val="32"/>
        </w:rPr>
        <w:t>一是全面预算绩效管理理念进一步强化。各单位、各部门能够主动履行绩效主体职责，严格落实全面实施预算绩效管理各项工作任务，进一步增强了支出责任和效率意识，提高了使用财政资金的科学决策意识、责任意识、效率意识和服务意识。二是预算绩效管理责任进一步压实。加强与自治区财政厅协调对接，不断强化绩效评价管理与财政资金监管、财政监督检查工作的相互融合，绩效评价在预算分配、预算执行、结果应用的全过程管理机制不断完善。建立由厅财务部门牵头，其他业务处室（单位）积极配合的工作机制，明确各责任单位工作重点及承担的具体工作职责，压实了具体资金使用处室（所属单位）和项目负责人的绩效责任，切实将“花钱必问效、无效必问责”的绩效约束，落实到项目支出全生命周期管理上。三是预算绩效管理结果进一步公开透明。及时公开本部门单位预算绩效管理情况，主动接受社会监督。四是预算绩效管理促进高质量发展成效进一步显现。通过加强预算绩效管理，进一步提高了财政资金的使用效率，较好地发挥了各项财政资金聚力增效、支持工业和信息化高质量发展的重要作用。发现的问题及原因：一是在现有的绩效目标管理基础上，突出核心指标，深化、完善绩效指标体系，根据部门工作的具体情况和实际需求，按照明确性、可衡量性、可实现性、相关性、时限性等原则科学、合理的设置绩效目标；二是充分落实和应用预算执行分析机制，加强对预算执行情况监督，注重分析预算执行中存在的问题，积极采取应对措施，提高预算执行的效率；三是加强日常预算绩效管理的政策宣贯和业务培训，牢固树立绩效理念，提高部门项目人员和财务人员的业务水平和能力，提升预算管理精细化、科学化水平。具体项目自评情况附绩效自评表及自评报告。。下一步改进措施：一是极个别项目资金预算执行进度较慢，需要不断督促项目负责单位，影响了绩效监控、评价工作成绩；二是预算绩效观念不强，工作质量待提高，部分预算单位对预算绩效管理工作重视高度程度还不足，工作缺乏主动性；对预算绩效管理工作对意义、框架、思路、操作规程认识不深入，申报绩效目标不够明确，设计的评价指标体系不科学、不严谨；三是评价指标体系不完善，实际操作有难度，绩效指标具体设置没有统一的明确规定，没有针对性较强的个性评价指标体系可供预算部门及单位借鉴。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2024年，新疆维吾尔自治区工业和信息化厅本机财政拨款资金安排sm项目</w:t>
      </w:r>
      <w:r>
        <w:rPr>
          <w:rFonts w:hint="eastAsia" w:ascii="仿宋_GB2312" w:eastAsia="仿宋_GB2312"/>
          <w:b w:val="0"/>
          <w:sz w:val="32"/>
          <w:szCs w:val="32"/>
          <w:lang w:val="en-US" w:eastAsia="zh-CN"/>
        </w:rPr>
        <w:t>5</w:t>
      </w:r>
      <w:r>
        <w:rPr>
          <w:rFonts w:ascii="仿宋_GB2312" w:eastAsia="仿宋_GB2312"/>
          <w:b w:val="0"/>
          <w:sz w:val="32"/>
          <w:szCs w:val="32"/>
        </w:rPr>
        <w:t>个，预算金额6,421.01万元，执行金额</w:t>
      </w:r>
      <w:r>
        <w:rPr>
          <w:rFonts w:hint="eastAsia" w:ascii="仿宋_GB2312" w:eastAsia="仿宋_GB2312"/>
          <w:b w:val="0"/>
          <w:sz w:val="32"/>
          <w:szCs w:val="32"/>
          <w:lang w:val="en-US" w:eastAsia="zh-CN"/>
        </w:rPr>
        <w:t>5</w:t>
      </w:r>
      <w:r>
        <w:rPr>
          <w:rFonts w:ascii="仿宋_GB2312" w:eastAsia="仿宋_GB2312"/>
          <w:b w:val="0"/>
          <w:sz w:val="32"/>
          <w:szCs w:val="32"/>
        </w:rPr>
        <w:t>,</w:t>
      </w:r>
      <w:r>
        <w:rPr>
          <w:rFonts w:hint="eastAsia" w:ascii="仿宋_GB2312" w:eastAsia="仿宋_GB2312"/>
          <w:b w:val="0"/>
          <w:sz w:val="32"/>
          <w:szCs w:val="32"/>
          <w:lang w:val="en-US" w:eastAsia="zh-CN"/>
        </w:rPr>
        <w:t>556.36</w:t>
      </w:r>
      <w:r>
        <w:rPr>
          <w:rFonts w:ascii="仿宋_GB2312" w:eastAsia="仿宋_GB2312"/>
          <w:b w:val="0"/>
          <w:sz w:val="32"/>
          <w:szCs w:val="32"/>
        </w:rPr>
        <w:t>万元。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A77770"/>
    <w:rsid w:val="3FDDE6DB"/>
    <w:rsid w:val="57751945"/>
    <w:rsid w:val="67FB195C"/>
    <w:rsid w:val="6FBF83A2"/>
    <w:rsid w:val="7DBB1B83"/>
    <w:rsid w:val="7F3F60CE"/>
    <w:rsid w:val="7F3F96AD"/>
    <w:rsid w:val="7F6D7EC3"/>
    <w:rsid w:val="7FEF78FC"/>
    <w:rsid w:val="D13CF642"/>
    <w:rsid w:val="DDF4C70F"/>
    <w:rsid w:val="E33BBF9A"/>
    <w:rsid w:val="E79FB345"/>
    <w:rsid w:val="E7EAB847"/>
    <w:rsid w:val="FFAE6897"/>
    <w:rsid w:val="FFEB61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2025-08-27T01:29:00Z</dcterms:created>
  <dc:creator>fusiyao</dc:creator>
  <cp:lastModifiedBy>user</cp:lastModifiedBy>
  <dcterms:modified xsi:type="dcterms:W3CDTF">2025-08-27T17:07:15Z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